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125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德意志（联邦共和国）</w:t>
            </w:r>
          </w:p>
        </w:tc>
      </w:tr>
      <w:tr w:rsidR="008221A4">
        <w:trPr>
          <w:cantSplit/>
        </w:trPr>
        <w:tc>
          <w:tcPr>
            <w:tcW w:w="10031" w:type="dxa"/>
            <w:gridSpan w:val="2"/>
          </w:tcPr>
          <w:p w:rsidR="008221A4" w:rsidRDefault="008C2BF3" w:rsidP="008221A4">
            <w:pPr>
              <w:pStyle w:val="Title1"/>
              <w:rPr>
                <w:lang w:eastAsia="zh-CN"/>
              </w:rPr>
            </w:pPr>
            <w:bookmarkStart w:id="5" w:name="dtitle1" w:colFirst="0" w:colLast="0"/>
            <w:bookmarkEnd w:id="4"/>
            <w:r>
              <w:rPr>
                <w:rFonts w:hint="eastAsia"/>
                <w:lang w:eastAsia="zh-CN"/>
              </w:rPr>
              <w:t>有关大会</w:t>
            </w:r>
            <w:r>
              <w:rPr>
                <w:lang w:eastAsia="zh-CN"/>
              </w:rPr>
              <w:t>的工作提案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8B60D0" w:rsidRPr="00111152" w:rsidRDefault="00265CA6" w:rsidP="0012545A">
      <w:pPr>
        <w:rPr>
          <w:lang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622560" w:rsidRDefault="00622560" w:rsidP="0083672D">
      <w:pPr>
        <w:rPr>
          <w:lang w:eastAsia="zh-CN"/>
        </w:rPr>
      </w:pPr>
    </w:p>
    <w:p w:rsidR="004F409C" w:rsidRDefault="004F409C" w:rsidP="002A30D4">
      <w:pPr>
        <w:pStyle w:val="headingb0"/>
        <w:rPr>
          <w:rFonts w:eastAsiaTheme="minorEastAsia"/>
          <w:lang w:val="en-GB" w:eastAsia="zh-CN"/>
        </w:rPr>
      </w:pPr>
      <w:r>
        <w:rPr>
          <w:rFonts w:eastAsiaTheme="minorEastAsia" w:hint="eastAsia"/>
          <w:lang w:val="en-GB" w:eastAsia="zh-CN"/>
        </w:rPr>
        <w:t>引言</w:t>
      </w:r>
    </w:p>
    <w:p w:rsidR="004F409C" w:rsidRDefault="002A30D4" w:rsidP="009A47A6">
      <w:pPr>
        <w:ind w:firstLineChars="200" w:firstLine="480"/>
        <w:rPr>
          <w:lang w:eastAsia="zh-CN"/>
        </w:rPr>
      </w:pPr>
      <w:r>
        <w:rPr>
          <w:lang w:eastAsia="zh-CN"/>
        </w:rPr>
        <w:t>ITU-R</w:t>
      </w:r>
      <w:r w:rsidR="004F409C">
        <w:rPr>
          <w:rFonts w:hint="eastAsia"/>
          <w:lang w:eastAsia="zh-CN"/>
        </w:rPr>
        <w:t xml:space="preserve"> 5B</w:t>
      </w:r>
      <w:r w:rsidR="004F409C">
        <w:rPr>
          <w:rFonts w:hint="eastAsia"/>
          <w:lang w:eastAsia="zh-CN"/>
        </w:rPr>
        <w:t>工作组（</w:t>
      </w:r>
      <w:r>
        <w:rPr>
          <w:lang w:eastAsia="zh-CN"/>
        </w:rPr>
        <w:t>WP5B</w:t>
      </w:r>
      <w:r w:rsidR="004F409C">
        <w:rPr>
          <w:rFonts w:hint="eastAsia"/>
          <w:lang w:eastAsia="zh-CN"/>
        </w:rPr>
        <w:t>）对现有业务进行了详细的</w:t>
      </w:r>
      <w:r w:rsidR="00E01457">
        <w:rPr>
          <w:rFonts w:hint="eastAsia"/>
          <w:lang w:eastAsia="zh-CN"/>
        </w:rPr>
        <w:t>共用研究，以确定无人</w:t>
      </w:r>
      <w:r w:rsidR="009A47A6">
        <w:rPr>
          <w:rFonts w:hint="eastAsia"/>
          <w:lang w:eastAsia="zh-CN"/>
        </w:rPr>
        <w:t>航空器</w:t>
      </w:r>
      <w:r w:rsidR="00E01457">
        <w:rPr>
          <w:rFonts w:hint="eastAsia"/>
          <w:lang w:eastAsia="zh-CN"/>
        </w:rPr>
        <w:t>系统（</w:t>
      </w:r>
      <w:r w:rsidR="00E01457">
        <w:rPr>
          <w:rFonts w:hint="eastAsia"/>
          <w:lang w:eastAsia="zh-CN"/>
        </w:rPr>
        <w:t>UAS</w:t>
      </w:r>
      <w:r w:rsidR="00E01457">
        <w:rPr>
          <w:rFonts w:hint="eastAsia"/>
          <w:lang w:eastAsia="zh-CN"/>
        </w:rPr>
        <w:t>）</w:t>
      </w:r>
      <w:r w:rsidR="00E01457" w:rsidRPr="00E01457">
        <w:rPr>
          <w:rFonts w:hint="eastAsia"/>
          <w:lang w:eastAsia="zh-CN"/>
        </w:rPr>
        <w:t>超视距控制（</w:t>
      </w:r>
      <w:r w:rsidR="00E01457" w:rsidRPr="00E01457">
        <w:rPr>
          <w:rFonts w:hint="eastAsia"/>
          <w:lang w:eastAsia="zh-CN"/>
        </w:rPr>
        <w:t>BLOS</w:t>
      </w:r>
      <w:r w:rsidR="00E01457" w:rsidRPr="00E01457">
        <w:rPr>
          <w:rFonts w:hint="eastAsia"/>
          <w:lang w:eastAsia="zh-CN"/>
        </w:rPr>
        <w:t>）和非载荷通信（</w:t>
      </w:r>
      <w:r w:rsidR="00E01457" w:rsidRPr="00E01457">
        <w:rPr>
          <w:rFonts w:hint="eastAsia"/>
          <w:lang w:eastAsia="zh-CN"/>
        </w:rPr>
        <w:t>CNPC</w:t>
      </w:r>
      <w:r w:rsidR="00E01457" w:rsidRPr="00E01457">
        <w:rPr>
          <w:rFonts w:hint="eastAsia"/>
          <w:lang w:eastAsia="zh-CN"/>
        </w:rPr>
        <w:t>）</w:t>
      </w:r>
      <w:r w:rsidR="00E01457">
        <w:rPr>
          <w:rFonts w:hint="eastAsia"/>
          <w:lang w:eastAsia="zh-CN"/>
        </w:rPr>
        <w:t>无线电链路的操作条件。</w:t>
      </w:r>
      <w:r w:rsidR="00E01457">
        <w:rPr>
          <w:lang w:eastAsia="zh-CN"/>
        </w:rPr>
        <w:t>UAS BLOS CNPC</w:t>
      </w:r>
      <w:r w:rsidR="00E01457">
        <w:rPr>
          <w:rFonts w:hint="eastAsia"/>
          <w:lang w:eastAsia="zh-CN"/>
        </w:rPr>
        <w:t>无线电链路是作为在卫星固定业务（</w:t>
      </w:r>
      <w:r w:rsidR="00E01457">
        <w:rPr>
          <w:rFonts w:hint="eastAsia"/>
          <w:lang w:eastAsia="zh-CN"/>
        </w:rPr>
        <w:t>FSS</w:t>
      </w:r>
      <w:r w:rsidR="00E01457">
        <w:rPr>
          <w:rFonts w:hint="eastAsia"/>
          <w:lang w:eastAsia="zh-CN"/>
        </w:rPr>
        <w:t>）操作的卫星系统和网络的应用加以研究。</w:t>
      </w:r>
    </w:p>
    <w:p w:rsidR="00E01457" w:rsidRDefault="00E01457" w:rsidP="00E10F98">
      <w:pPr>
        <w:ind w:firstLineChars="200" w:firstLine="480"/>
        <w:rPr>
          <w:lang w:eastAsia="zh-CN"/>
        </w:rPr>
      </w:pPr>
      <w:r>
        <w:rPr>
          <w:rFonts w:hint="eastAsia"/>
          <w:lang w:eastAsia="zh-CN"/>
        </w:rPr>
        <w:t>研究结果显示，为保持在</w:t>
      </w:r>
      <w:r w:rsidR="003E530E">
        <w:rPr>
          <w:rFonts w:hint="eastAsia"/>
          <w:lang w:eastAsia="zh-CN"/>
        </w:rPr>
        <w:t>FSS</w:t>
      </w:r>
      <w:r w:rsidR="003E530E">
        <w:rPr>
          <w:rFonts w:hint="eastAsia"/>
          <w:lang w:eastAsia="zh-CN"/>
        </w:rPr>
        <w:t>规则框架所规定的条件范围内，并为确保船载</w:t>
      </w:r>
      <w:r w:rsidR="003E530E">
        <w:rPr>
          <w:rFonts w:hint="eastAsia"/>
          <w:lang w:eastAsia="zh-CN"/>
        </w:rPr>
        <w:t>UA/RPA</w:t>
      </w:r>
      <w:r w:rsidR="003E530E">
        <w:rPr>
          <w:rFonts w:hint="eastAsia"/>
          <w:lang w:eastAsia="zh-CN"/>
        </w:rPr>
        <w:t>操作台站与固定业务（</w:t>
      </w:r>
      <w:r w:rsidR="003E530E">
        <w:rPr>
          <w:rFonts w:hint="eastAsia"/>
          <w:lang w:eastAsia="zh-CN"/>
        </w:rPr>
        <w:t>FS</w:t>
      </w:r>
      <w:r w:rsidR="003E530E">
        <w:rPr>
          <w:rFonts w:hint="eastAsia"/>
          <w:lang w:eastAsia="zh-CN"/>
        </w:rPr>
        <w:t>）操作台站的兼容性，必须满足一定的技术和操作条件。这些技术、操作和规则条件已经确定，并在此建议作为</w:t>
      </w:r>
      <w:r w:rsidR="009A47A6">
        <w:rPr>
          <w:rFonts w:hint="eastAsia"/>
          <w:lang w:eastAsia="zh-CN"/>
        </w:rPr>
        <w:t>一项</w:t>
      </w:r>
      <w:r w:rsidR="003E530E">
        <w:rPr>
          <w:rFonts w:hint="eastAsia"/>
          <w:lang w:eastAsia="zh-CN"/>
        </w:rPr>
        <w:t>WRC</w:t>
      </w:r>
      <w:r w:rsidR="003E530E">
        <w:rPr>
          <w:rFonts w:hint="eastAsia"/>
          <w:lang w:eastAsia="zh-CN"/>
        </w:rPr>
        <w:t>新决议的一部分。</w:t>
      </w:r>
    </w:p>
    <w:p w:rsidR="003E530E" w:rsidRDefault="003E530E" w:rsidP="00E10F98">
      <w:pPr>
        <w:ind w:firstLineChars="200" w:firstLine="480"/>
        <w:rPr>
          <w:lang w:eastAsia="zh-CN"/>
        </w:rPr>
      </w:pPr>
      <w:r>
        <w:rPr>
          <w:rFonts w:hint="eastAsia"/>
          <w:lang w:eastAsia="zh-CN"/>
        </w:rPr>
        <w:t>研究采用的方法和所做的假设在</w:t>
      </w:r>
      <w:r>
        <w:rPr>
          <w:rFonts w:hint="eastAsia"/>
          <w:lang w:eastAsia="zh-CN"/>
        </w:rPr>
        <w:t>ITU-R</w:t>
      </w:r>
      <w:r>
        <w:rPr>
          <w:rFonts w:hint="eastAsia"/>
          <w:lang w:eastAsia="zh-CN"/>
        </w:rPr>
        <w:t>报告中作了详细说明，出于多种原因未能最后确定并在布加勒斯特的</w:t>
      </w:r>
      <w:r>
        <w:rPr>
          <w:rFonts w:hint="eastAsia"/>
          <w:lang w:eastAsia="zh-CN"/>
        </w:rPr>
        <w:t>5B</w:t>
      </w:r>
      <w:r>
        <w:rPr>
          <w:rFonts w:hint="eastAsia"/>
          <w:lang w:eastAsia="zh-CN"/>
        </w:rPr>
        <w:t>工作组最后一次会议上获得批准。但是，一些主管部门</w:t>
      </w:r>
      <w:r w:rsidR="00743A3A">
        <w:rPr>
          <w:rFonts w:hint="eastAsia"/>
          <w:lang w:eastAsia="zh-CN"/>
        </w:rPr>
        <w:t>（</w:t>
      </w:r>
      <w:r>
        <w:rPr>
          <w:rFonts w:hint="eastAsia"/>
          <w:lang w:eastAsia="zh-CN"/>
        </w:rPr>
        <w:t>包括</w:t>
      </w:r>
      <w:r w:rsidR="00743A3A">
        <w:rPr>
          <w:rFonts w:hint="eastAsia"/>
          <w:lang w:eastAsia="zh-CN"/>
        </w:rPr>
        <w:t>提交材料的主管部门）把提交给布加勒斯特会议的所有文稿考虑在内，努力完成了</w:t>
      </w:r>
      <w:r w:rsidR="00743A3A">
        <w:rPr>
          <w:rFonts w:hint="eastAsia"/>
          <w:lang w:eastAsia="zh-CN"/>
        </w:rPr>
        <w:t>WD DN</w:t>
      </w:r>
      <w:r w:rsidR="00743A3A" w:rsidRPr="00743A3A">
        <w:rPr>
          <w:lang w:eastAsia="zh-CN"/>
        </w:rPr>
        <w:t xml:space="preserve"> </w:t>
      </w:r>
      <w:r w:rsidR="00743A3A">
        <w:rPr>
          <w:lang w:eastAsia="zh-CN"/>
        </w:rPr>
        <w:t>ITU-R M.[UAS-FSS]</w:t>
      </w:r>
      <w:r w:rsidR="00743A3A">
        <w:rPr>
          <w:rFonts w:hint="eastAsia"/>
          <w:lang w:eastAsia="zh-CN"/>
        </w:rPr>
        <w:t>报告，并将此报告提交给</w:t>
      </w:r>
      <w:r w:rsidR="00743A3A">
        <w:rPr>
          <w:rFonts w:hint="eastAsia"/>
          <w:lang w:eastAsia="zh-CN"/>
        </w:rPr>
        <w:t>5B</w:t>
      </w:r>
      <w:r w:rsidR="00743A3A">
        <w:rPr>
          <w:rFonts w:hint="eastAsia"/>
          <w:lang w:eastAsia="zh-CN"/>
        </w:rPr>
        <w:t>工作组下次会议以供通过以及继续提交给第</w:t>
      </w:r>
      <w:r w:rsidR="00743A3A">
        <w:rPr>
          <w:rFonts w:hint="eastAsia"/>
          <w:lang w:eastAsia="zh-CN"/>
        </w:rPr>
        <w:t>5</w:t>
      </w:r>
      <w:r w:rsidR="00743A3A">
        <w:rPr>
          <w:rFonts w:hint="eastAsia"/>
          <w:lang w:eastAsia="zh-CN"/>
        </w:rPr>
        <w:t>研究组以供批准。本报告可见于</w:t>
      </w:r>
      <w:r w:rsidR="00743A3A">
        <w:rPr>
          <w:rFonts w:hint="eastAsia"/>
          <w:lang w:eastAsia="zh-CN"/>
        </w:rPr>
        <w:t xml:space="preserve">ITU-R </w:t>
      </w:r>
      <w:r w:rsidR="00743A3A">
        <w:rPr>
          <w:lang w:eastAsia="zh-CN"/>
        </w:rPr>
        <w:t>5B/886</w:t>
      </w:r>
      <w:r w:rsidR="00743A3A">
        <w:rPr>
          <w:rFonts w:hint="eastAsia"/>
          <w:lang w:eastAsia="zh-CN"/>
        </w:rPr>
        <w:t>号参考文件。</w:t>
      </w:r>
    </w:p>
    <w:p w:rsidR="00DC519E" w:rsidRDefault="00DC519E" w:rsidP="00E10F98">
      <w:pPr>
        <w:ind w:firstLineChars="200" w:firstLine="480"/>
        <w:rPr>
          <w:lang w:eastAsia="zh-CN"/>
        </w:rPr>
      </w:pPr>
      <w:r>
        <w:rPr>
          <w:rFonts w:hint="eastAsia"/>
          <w:lang w:eastAsia="zh-CN"/>
        </w:rPr>
        <w:t>基于本报告的研究结果，推导出了为在</w:t>
      </w:r>
      <w:r w:rsidR="00FD1850">
        <w:rPr>
          <w:lang w:eastAsia="zh-CN"/>
        </w:rPr>
        <w:t>14/11GHz</w:t>
      </w:r>
      <w:r>
        <w:rPr>
          <w:rFonts w:hint="eastAsia"/>
          <w:lang w:eastAsia="zh-CN"/>
        </w:rPr>
        <w:t>和</w:t>
      </w:r>
      <w:r>
        <w:rPr>
          <w:lang w:eastAsia="zh-CN"/>
        </w:rPr>
        <w:t>30/20 GHz</w:t>
      </w:r>
      <w:r>
        <w:rPr>
          <w:rFonts w:hint="eastAsia"/>
          <w:lang w:eastAsia="zh-CN"/>
        </w:rPr>
        <w:t>频率范围操作的</w:t>
      </w:r>
      <w:r>
        <w:rPr>
          <w:rFonts w:hint="eastAsia"/>
          <w:lang w:eastAsia="zh-CN"/>
        </w:rPr>
        <w:t>FS</w:t>
      </w:r>
      <w:r>
        <w:rPr>
          <w:rFonts w:hint="eastAsia"/>
          <w:lang w:eastAsia="zh-CN"/>
        </w:rPr>
        <w:t>台站提供保护的操作条件和</w:t>
      </w:r>
      <w:proofErr w:type="spellStart"/>
      <w:r>
        <w:rPr>
          <w:rFonts w:hint="eastAsia"/>
          <w:lang w:eastAsia="zh-CN"/>
        </w:rPr>
        <w:t>p</w:t>
      </w:r>
      <w:r>
        <w:rPr>
          <w:lang w:eastAsia="zh-CN"/>
        </w:rPr>
        <w:t>fd</w:t>
      </w:r>
      <w:proofErr w:type="spellEnd"/>
      <w:r w:rsidR="00EA2A3C">
        <w:rPr>
          <w:rFonts w:hint="eastAsia"/>
          <w:lang w:eastAsia="zh-CN"/>
        </w:rPr>
        <w:t>掩膜</w:t>
      </w:r>
      <w:r>
        <w:rPr>
          <w:rFonts w:hint="eastAsia"/>
          <w:lang w:eastAsia="zh-CN"/>
        </w:rPr>
        <w:t>。这些条件列于下示新决议草案的附件</w:t>
      </w:r>
      <w:r>
        <w:rPr>
          <w:rFonts w:hint="eastAsia"/>
          <w:lang w:eastAsia="zh-CN"/>
        </w:rPr>
        <w:t>2</w:t>
      </w:r>
      <w:r>
        <w:rPr>
          <w:rFonts w:hint="eastAsia"/>
          <w:lang w:eastAsia="zh-CN"/>
        </w:rPr>
        <w:t>。</w:t>
      </w:r>
    </w:p>
    <w:p w:rsidR="00DC519E" w:rsidRDefault="00DC519E" w:rsidP="00E10F98">
      <w:pPr>
        <w:ind w:firstLineChars="200" w:firstLine="480"/>
        <w:rPr>
          <w:lang w:eastAsia="zh-CN"/>
        </w:rPr>
      </w:pPr>
      <w:r>
        <w:rPr>
          <w:rFonts w:hint="eastAsia"/>
          <w:lang w:eastAsia="zh-CN"/>
        </w:rPr>
        <w:t>因此，提交材料的主管部门建议把作为</w:t>
      </w:r>
      <w:r>
        <w:rPr>
          <w:rFonts w:hint="eastAsia"/>
          <w:lang w:eastAsia="zh-CN"/>
        </w:rPr>
        <w:t>WRC-15 115</w:t>
      </w:r>
      <w:r>
        <w:rPr>
          <w:rFonts w:hint="eastAsia"/>
          <w:lang w:eastAsia="zh-CN"/>
        </w:rPr>
        <w:t>号文件多国提案提交的第</w:t>
      </w:r>
      <w:r>
        <w:rPr>
          <w:lang w:eastAsia="zh-CN"/>
        </w:rPr>
        <w:t>[115-A15]</w:t>
      </w:r>
      <w:r>
        <w:rPr>
          <w:rFonts w:hint="eastAsia"/>
          <w:lang w:eastAsia="zh-CN"/>
        </w:rPr>
        <w:t>号新决议草案附件</w:t>
      </w:r>
      <w:r>
        <w:rPr>
          <w:rFonts w:hint="eastAsia"/>
          <w:lang w:eastAsia="zh-CN"/>
        </w:rPr>
        <w:t>2</w:t>
      </w:r>
      <w:r>
        <w:rPr>
          <w:rFonts w:hint="eastAsia"/>
          <w:lang w:eastAsia="zh-CN"/>
        </w:rPr>
        <w:t>替换为以下所示的第</w:t>
      </w:r>
      <w:r>
        <w:rPr>
          <w:lang w:eastAsia="zh-CN"/>
        </w:rPr>
        <w:t>[D-A15]</w:t>
      </w:r>
      <w:r>
        <w:rPr>
          <w:rFonts w:hint="eastAsia"/>
          <w:lang w:eastAsia="zh-CN"/>
        </w:rPr>
        <w:t>号新决议草案的附件</w:t>
      </w:r>
      <w:r>
        <w:rPr>
          <w:rFonts w:hint="eastAsia"/>
          <w:lang w:eastAsia="zh-CN"/>
        </w:rPr>
        <w:t>2</w:t>
      </w:r>
      <w:r>
        <w:rPr>
          <w:rFonts w:hint="eastAsia"/>
          <w:lang w:eastAsia="zh-CN"/>
        </w:rPr>
        <w:t>。</w:t>
      </w:r>
    </w:p>
    <w:p w:rsidR="002A30D4" w:rsidRDefault="003E530E" w:rsidP="003E530E">
      <w:pPr>
        <w:pStyle w:val="Headingb"/>
        <w:rPr>
          <w:lang w:eastAsia="zh-CN"/>
        </w:rPr>
      </w:pPr>
      <w:r>
        <w:rPr>
          <w:rFonts w:hint="eastAsia"/>
          <w:lang w:eastAsia="zh-CN"/>
        </w:rPr>
        <w:lastRenderedPageBreak/>
        <w:t>提案</w:t>
      </w:r>
    </w:p>
    <w:p w:rsidR="002A30D4" w:rsidRDefault="002A30D4" w:rsidP="002A30D4">
      <w:pPr>
        <w:pStyle w:val="Proposal"/>
        <w:rPr>
          <w:lang w:eastAsia="zh-CN"/>
        </w:rPr>
      </w:pPr>
      <w:r>
        <w:rPr>
          <w:lang w:eastAsia="zh-CN"/>
        </w:rPr>
        <w:t>ADD</w:t>
      </w:r>
      <w:r>
        <w:rPr>
          <w:lang w:eastAsia="zh-CN"/>
        </w:rPr>
        <w:tab/>
        <w:t>D/125/1</w:t>
      </w:r>
    </w:p>
    <w:p w:rsidR="007B02AF" w:rsidRDefault="00DC519E" w:rsidP="003E530E">
      <w:pPr>
        <w:pStyle w:val="ResNo"/>
        <w:rPr>
          <w:lang w:eastAsia="zh-CN"/>
        </w:rPr>
      </w:pPr>
      <w:r>
        <w:rPr>
          <w:rFonts w:hint="eastAsia"/>
          <w:lang w:eastAsia="zh-CN"/>
        </w:rPr>
        <w:t>第</w:t>
      </w:r>
      <w:r w:rsidR="007B02AF">
        <w:rPr>
          <w:lang w:eastAsia="zh-CN"/>
        </w:rPr>
        <w:t>[D-A15]</w:t>
      </w:r>
      <w:r w:rsidR="003E530E">
        <w:rPr>
          <w:rFonts w:hint="eastAsia"/>
          <w:lang w:eastAsia="zh-CN"/>
        </w:rPr>
        <w:t>号新决议草案（</w:t>
      </w:r>
      <w:r w:rsidR="007B02AF">
        <w:rPr>
          <w:lang w:eastAsia="zh-CN"/>
        </w:rPr>
        <w:t>WRC-15</w:t>
      </w:r>
      <w:r w:rsidR="003E530E">
        <w:rPr>
          <w:rFonts w:hint="eastAsia"/>
          <w:lang w:eastAsia="zh-CN"/>
        </w:rPr>
        <w:t>）</w:t>
      </w:r>
    </w:p>
    <w:p w:rsidR="0081149A" w:rsidRDefault="009A47A6" w:rsidP="004952E7">
      <w:pPr>
        <w:pStyle w:val="Restitle"/>
        <w:rPr>
          <w:lang w:eastAsia="zh-CN"/>
        </w:rPr>
      </w:pPr>
      <w:r>
        <w:rPr>
          <w:rFonts w:hint="eastAsia"/>
          <w:lang w:eastAsia="zh-CN"/>
        </w:rPr>
        <w:t>针对</w:t>
      </w:r>
      <w:r>
        <w:rPr>
          <w:lang w:eastAsia="zh-CN"/>
        </w:rPr>
        <w:t>用于</w:t>
      </w:r>
      <w:r>
        <w:rPr>
          <w:rFonts w:hint="eastAsia"/>
          <w:lang w:eastAsia="zh-CN"/>
        </w:rPr>
        <w:t>无人航空器系统的控制</w:t>
      </w:r>
      <w:r>
        <w:rPr>
          <w:rFonts w:hint="eastAsia"/>
          <w:lang w:eastAsia="zh-CN"/>
        </w:rPr>
        <w:t>和非载荷通信</w:t>
      </w:r>
      <w:r>
        <w:rPr>
          <w:lang w:eastAsia="zh-CN"/>
        </w:rPr>
        <w:br/>
      </w:r>
      <w:r>
        <w:rPr>
          <w:rFonts w:hint="eastAsia"/>
          <w:lang w:eastAsia="zh-CN"/>
        </w:rPr>
        <w:t>并在</w:t>
      </w:r>
      <w:r>
        <w:rPr>
          <w:lang w:eastAsia="zh-CN"/>
        </w:rPr>
        <w:t>非隔离空域使用某些不属于规划的频段且</w:t>
      </w:r>
      <w:r>
        <w:rPr>
          <w:lang w:eastAsia="zh-CN"/>
        </w:rPr>
        <w:br/>
      </w:r>
      <w:r>
        <w:rPr>
          <w:lang w:eastAsia="zh-CN"/>
        </w:rPr>
        <w:t>与</w:t>
      </w:r>
      <w:r w:rsidR="0081149A">
        <w:rPr>
          <w:rFonts w:hint="eastAsia"/>
          <w:lang w:eastAsia="zh-CN"/>
        </w:rPr>
        <w:t>卫星固定业务</w:t>
      </w:r>
      <w:r>
        <w:rPr>
          <w:rFonts w:hint="eastAsia"/>
          <w:lang w:eastAsia="zh-CN"/>
        </w:rPr>
        <w:t>的对地静止卫星网络</w:t>
      </w:r>
      <w:r>
        <w:rPr>
          <w:lang w:eastAsia="zh-CN"/>
        </w:rPr>
        <w:t>操作的</w:t>
      </w:r>
      <w:r>
        <w:rPr>
          <w:lang w:eastAsia="zh-CN"/>
        </w:rPr>
        <w:br/>
      </w:r>
      <w:r w:rsidR="0081149A">
        <w:rPr>
          <w:rFonts w:hint="eastAsia"/>
          <w:lang w:eastAsia="zh-CN"/>
        </w:rPr>
        <w:t>无人</w:t>
      </w:r>
      <w:r>
        <w:rPr>
          <w:rFonts w:hint="eastAsia"/>
          <w:lang w:eastAsia="zh-CN"/>
        </w:rPr>
        <w:t>机机载地球站的</w:t>
      </w:r>
      <w:r w:rsidR="0081149A">
        <w:rPr>
          <w:rFonts w:hint="eastAsia"/>
          <w:lang w:eastAsia="zh-CN"/>
        </w:rPr>
        <w:t>规则规定</w:t>
      </w:r>
    </w:p>
    <w:p w:rsidR="007B02AF" w:rsidRDefault="0081149A" w:rsidP="0081149A">
      <w:pPr>
        <w:pStyle w:val="Normalaftertitle0"/>
        <w:rPr>
          <w:lang w:eastAsia="zh-CN"/>
        </w:rPr>
      </w:pPr>
      <w:r>
        <w:rPr>
          <w:rFonts w:hint="eastAsia"/>
          <w:lang w:eastAsia="zh-CN"/>
        </w:rPr>
        <w:t>世界无线电通信大会（</w:t>
      </w:r>
      <w:r>
        <w:rPr>
          <w:lang w:eastAsia="zh-CN"/>
        </w:rPr>
        <w:t>2015</w:t>
      </w:r>
      <w:r>
        <w:rPr>
          <w:rFonts w:hint="eastAsia"/>
          <w:lang w:eastAsia="zh-CN"/>
        </w:rPr>
        <w:t>年，日内瓦）</w:t>
      </w:r>
      <w:r>
        <w:rPr>
          <w:lang w:eastAsia="zh-CN"/>
        </w:rPr>
        <w:t>，</w:t>
      </w:r>
    </w:p>
    <w:p w:rsidR="007B02AF" w:rsidRDefault="007B02AF" w:rsidP="007B02AF">
      <w:pPr>
        <w:rPr>
          <w:lang w:eastAsia="zh-CN"/>
        </w:rPr>
      </w:pPr>
      <w:r>
        <w:rPr>
          <w:lang w:eastAsia="zh-CN"/>
        </w:rPr>
        <w:t>…</w:t>
      </w:r>
    </w:p>
    <w:p w:rsidR="007B02AF" w:rsidRDefault="00DC519E" w:rsidP="00DC519E">
      <w:pPr>
        <w:pStyle w:val="AnnexNo"/>
        <w:rPr>
          <w:lang w:eastAsia="zh-CN"/>
        </w:rPr>
      </w:pPr>
      <w:r w:rsidRPr="00DC519E">
        <w:rPr>
          <w:rFonts w:hint="eastAsia"/>
          <w:lang w:eastAsia="zh-CN"/>
        </w:rPr>
        <w:t>第</w:t>
      </w:r>
      <w:r w:rsidRPr="00DC519E">
        <w:rPr>
          <w:rFonts w:hint="eastAsia"/>
          <w:lang w:eastAsia="zh-CN"/>
        </w:rPr>
        <w:t>[D-A15]</w:t>
      </w:r>
      <w:r w:rsidRPr="00DC519E">
        <w:rPr>
          <w:rFonts w:hint="eastAsia"/>
          <w:lang w:eastAsia="zh-CN"/>
        </w:rPr>
        <w:t>号新决议草案（</w:t>
      </w:r>
      <w:r w:rsidRPr="00DC519E">
        <w:rPr>
          <w:rFonts w:hint="eastAsia"/>
          <w:lang w:eastAsia="zh-CN"/>
        </w:rPr>
        <w:t>WRC-15</w:t>
      </w:r>
      <w:r w:rsidRPr="00DC519E">
        <w:rPr>
          <w:rFonts w:hint="eastAsia"/>
          <w:lang w:eastAsia="zh-CN"/>
        </w:rPr>
        <w:t>）</w:t>
      </w:r>
      <w:r>
        <w:rPr>
          <w:rFonts w:hint="eastAsia"/>
          <w:lang w:eastAsia="zh-CN"/>
        </w:rPr>
        <w:t>附件</w:t>
      </w:r>
      <w:r>
        <w:rPr>
          <w:rFonts w:hint="eastAsia"/>
          <w:lang w:eastAsia="zh-CN"/>
        </w:rPr>
        <w:t>2</w:t>
      </w:r>
    </w:p>
    <w:p w:rsidR="007B02AF" w:rsidRDefault="00FE00D0" w:rsidP="007B02AF">
      <w:pPr>
        <w:pStyle w:val="Appendixtitle"/>
        <w:rPr>
          <w:lang w:eastAsia="zh-CN"/>
        </w:rPr>
      </w:pPr>
      <w:r>
        <w:rPr>
          <w:rFonts w:hint="eastAsia"/>
          <w:lang w:eastAsia="zh-CN"/>
        </w:rPr>
        <w:t>保护固定业务和卫星固定业务网络免受</w:t>
      </w:r>
      <w:r>
        <w:rPr>
          <w:lang w:eastAsia="zh-CN"/>
        </w:rPr>
        <w:t>UA CNPC</w:t>
      </w:r>
      <w:r>
        <w:rPr>
          <w:rFonts w:hint="eastAsia"/>
          <w:lang w:eastAsia="zh-CN"/>
        </w:rPr>
        <w:t>的发射干扰</w:t>
      </w:r>
    </w:p>
    <w:p w:rsidR="007B02AF" w:rsidRDefault="007B02AF" w:rsidP="008A265E">
      <w:pPr>
        <w:pStyle w:val="Heading1"/>
        <w:rPr>
          <w:rFonts w:eastAsia="Calibri"/>
          <w:lang w:eastAsia="zh-CN"/>
        </w:rPr>
      </w:pPr>
      <w:r>
        <w:rPr>
          <w:rFonts w:eastAsia="Calibri"/>
          <w:lang w:eastAsia="zh-CN"/>
        </w:rPr>
        <w:t>1</w:t>
      </w:r>
      <w:r>
        <w:rPr>
          <w:rFonts w:eastAsia="Calibri"/>
          <w:lang w:eastAsia="zh-CN"/>
        </w:rPr>
        <w:tab/>
      </w:r>
      <w:r w:rsidR="008A265E">
        <w:rPr>
          <w:rFonts w:hint="eastAsia"/>
          <w:lang w:eastAsia="zh-CN"/>
        </w:rPr>
        <w:t>引言</w:t>
      </w:r>
    </w:p>
    <w:p w:rsidR="007B02AF" w:rsidRDefault="008A265E" w:rsidP="00FD1850">
      <w:pPr>
        <w:ind w:firstLineChars="200" w:firstLine="480"/>
        <w:rPr>
          <w:rFonts w:eastAsia="Calibri"/>
          <w:lang w:eastAsia="zh-CN"/>
        </w:rPr>
      </w:pPr>
      <w:r>
        <w:rPr>
          <w:rFonts w:hint="eastAsia"/>
          <w:lang w:eastAsia="zh-CN"/>
        </w:rPr>
        <w:t>由于所做的基本假设是，</w:t>
      </w:r>
      <w:r>
        <w:rPr>
          <w:lang w:eastAsia="zh-CN"/>
        </w:rPr>
        <w:t>UAS CNPC</w:t>
      </w:r>
      <w:r>
        <w:rPr>
          <w:rFonts w:hint="eastAsia"/>
          <w:lang w:eastAsia="zh-CN"/>
        </w:rPr>
        <w:t>链路使用划分给</w:t>
      </w:r>
      <w:r>
        <w:rPr>
          <w:lang w:eastAsia="zh-CN"/>
        </w:rPr>
        <w:t>FSS</w:t>
      </w:r>
      <w:r>
        <w:rPr>
          <w:rFonts w:hint="eastAsia"/>
          <w:lang w:eastAsia="zh-CN"/>
        </w:rPr>
        <w:t>的频段时，必须遵守任何其它</w:t>
      </w:r>
      <w:r>
        <w:rPr>
          <w:lang w:eastAsia="zh-CN"/>
        </w:rPr>
        <w:t>FSS</w:t>
      </w:r>
      <w:r>
        <w:rPr>
          <w:rFonts w:hint="eastAsia"/>
          <w:lang w:eastAsia="zh-CN"/>
        </w:rPr>
        <w:t>地球站所须遵守的相同规则和性能限值，因此，从干扰角度讲，这一链路必须以与任何其它</w:t>
      </w:r>
      <w:r>
        <w:rPr>
          <w:lang w:eastAsia="zh-CN"/>
        </w:rPr>
        <w:t>FSS</w:t>
      </w:r>
      <w:r>
        <w:rPr>
          <w:rFonts w:hint="eastAsia"/>
          <w:lang w:eastAsia="zh-CN"/>
        </w:rPr>
        <w:t>地球站完全相同的方式发挥功能，所以，为确保与共用相关频段的其它业务之间的兼容性，对</w:t>
      </w:r>
      <w:r w:rsidR="00FD1850" w:rsidRPr="00C73774">
        <w:rPr>
          <w:rFonts w:eastAsia="Calibri"/>
          <w:lang w:eastAsia="zh-CN"/>
        </w:rPr>
        <w:t>UAS</w:t>
      </w:r>
      <w:r>
        <w:rPr>
          <w:lang w:eastAsia="zh-CN"/>
        </w:rPr>
        <w:t xml:space="preserve"> CNPC</w:t>
      </w:r>
      <w:r>
        <w:rPr>
          <w:rFonts w:hint="eastAsia"/>
          <w:lang w:eastAsia="zh-CN"/>
        </w:rPr>
        <w:t>运行提出的附加要求不会超过有关典型</w:t>
      </w:r>
      <w:r>
        <w:rPr>
          <w:lang w:eastAsia="zh-CN"/>
        </w:rPr>
        <w:t>FSS</w:t>
      </w:r>
      <w:r>
        <w:rPr>
          <w:rFonts w:hint="eastAsia"/>
          <w:lang w:eastAsia="zh-CN"/>
        </w:rPr>
        <w:t>地球站要求太多。这些附加要求在本附件第</w:t>
      </w:r>
      <w:r>
        <w:rPr>
          <w:lang w:eastAsia="zh-CN"/>
        </w:rPr>
        <w:t>2</w:t>
      </w:r>
      <w:r>
        <w:rPr>
          <w:rFonts w:hint="eastAsia"/>
          <w:lang w:eastAsia="zh-CN"/>
        </w:rPr>
        <w:t>、</w:t>
      </w:r>
      <w:r>
        <w:rPr>
          <w:lang w:eastAsia="zh-CN"/>
        </w:rPr>
        <w:t>3</w:t>
      </w:r>
      <w:r>
        <w:rPr>
          <w:rFonts w:hint="eastAsia"/>
          <w:lang w:eastAsia="zh-CN"/>
        </w:rPr>
        <w:t>和</w:t>
      </w:r>
      <w:r>
        <w:rPr>
          <w:lang w:eastAsia="zh-CN"/>
        </w:rPr>
        <w:t>4</w:t>
      </w:r>
      <w:r>
        <w:rPr>
          <w:rFonts w:hint="eastAsia"/>
          <w:lang w:eastAsia="zh-CN"/>
        </w:rPr>
        <w:t>节中阐明。</w:t>
      </w:r>
    </w:p>
    <w:p w:rsidR="007B02AF" w:rsidRDefault="007B02AF" w:rsidP="008A265E">
      <w:pPr>
        <w:pStyle w:val="Heading1"/>
        <w:rPr>
          <w:rFonts w:eastAsia="Calibri"/>
          <w:lang w:eastAsia="zh-CN"/>
        </w:rPr>
      </w:pPr>
      <w:r>
        <w:rPr>
          <w:rFonts w:eastAsia="Calibri"/>
          <w:lang w:eastAsia="zh-CN"/>
        </w:rPr>
        <w:t>2</w:t>
      </w:r>
      <w:r>
        <w:rPr>
          <w:rFonts w:eastAsia="Calibri"/>
          <w:lang w:eastAsia="zh-CN"/>
        </w:rPr>
        <w:tab/>
      </w:r>
      <w:r w:rsidR="008A265E">
        <w:rPr>
          <w:rFonts w:hint="eastAsia"/>
          <w:lang w:eastAsia="zh-CN"/>
        </w:rPr>
        <w:t>保护固定业务</w:t>
      </w:r>
    </w:p>
    <w:p w:rsidR="008A265E" w:rsidRDefault="008A265E" w:rsidP="00EA2A3C">
      <w:pPr>
        <w:ind w:firstLineChars="200" w:firstLine="480"/>
        <w:rPr>
          <w:lang w:eastAsia="zh-CN"/>
        </w:rPr>
      </w:pPr>
      <w:r>
        <w:rPr>
          <w:rFonts w:hint="eastAsia"/>
          <w:lang w:eastAsia="zh-CN"/>
        </w:rPr>
        <w:t>若干国家通过</w:t>
      </w:r>
      <w:r w:rsidR="00EA2A3C">
        <w:rPr>
          <w:rFonts w:hint="eastAsia"/>
          <w:lang w:eastAsia="zh-CN"/>
        </w:rPr>
        <w:t>表项和</w:t>
      </w:r>
      <w:r>
        <w:rPr>
          <w:rFonts w:hint="eastAsia"/>
          <w:lang w:eastAsia="zh-CN"/>
        </w:rPr>
        <w:t>脚注将固定业务与</w:t>
      </w:r>
      <w:r>
        <w:rPr>
          <w:lang w:eastAsia="zh-CN"/>
        </w:rPr>
        <w:t>FSS</w:t>
      </w:r>
      <w:r>
        <w:rPr>
          <w:rFonts w:hint="eastAsia"/>
          <w:lang w:eastAsia="zh-CN"/>
        </w:rPr>
        <w:t>置于共同主要划分地位。</w:t>
      </w:r>
      <w:r w:rsidR="00EA2A3C">
        <w:rPr>
          <w:rFonts w:hint="eastAsia"/>
          <w:lang w:eastAsia="zh-CN"/>
        </w:rPr>
        <w:t>使用</w:t>
      </w:r>
      <w:r>
        <w:rPr>
          <w:lang w:eastAsia="zh-CN"/>
        </w:rPr>
        <w:t>CNPC</w:t>
      </w:r>
      <w:r>
        <w:rPr>
          <w:rFonts w:hint="eastAsia"/>
          <w:lang w:eastAsia="zh-CN"/>
        </w:rPr>
        <w:t>的</w:t>
      </w:r>
      <w:r>
        <w:rPr>
          <w:lang w:eastAsia="zh-CN"/>
        </w:rPr>
        <w:t>UA</w:t>
      </w:r>
      <w:r w:rsidR="00EA2A3C">
        <w:rPr>
          <w:rFonts w:hint="eastAsia"/>
          <w:lang w:eastAsia="zh-CN"/>
        </w:rPr>
        <w:t>的条件</w:t>
      </w:r>
      <w:r w:rsidR="00EB784D">
        <w:rPr>
          <w:rFonts w:hint="eastAsia"/>
          <w:lang w:eastAsia="zh-CN"/>
        </w:rPr>
        <w:t>须为</w:t>
      </w:r>
      <w:r w:rsidR="00EA2A3C">
        <w:rPr>
          <w:rFonts w:hint="eastAsia"/>
          <w:lang w:eastAsia="zh-CN"/>
        </w:rPr>
        <w:t>，以下述方式保护固定业务免受任何</w:t>
      </w:r>
      <w:r>
        <w:rPr>
          <w:rFonts w:hint="eastAsia"/>
          <w:lang w:eastAsia="zh-CN"/>
        </w:rPr>
        <w:t>有害干扰</w:t>
      </w:r>
      <w:r w:rsidR="00EB784D">
        <w:rPr>
          <w:rFonts w:hint="eastAsia"/>
          <w:lang w:eastAsia="zh-CN"/>
        </w:rPr>
        <w:t>影响</w:t>
      </w:r>
      <w:r w:rsidR="00EA2A3C">
        <w:rPr>
          <w:rFonts w:hint="eastAsia"/>
          <w:lang w:eastAsia="zh-CN"/>
        </w:rPr>
        <w:t>：</w:t>
      </w:r>
    </w:p>
    <w:p w:rsidR="008A265E" w:rsidRDefault="008A265E" w:rsidP="008A2683">
      <w:pPr>
        <w:pStyle w:val="enumlev1"/>
        <w:rPr>
          <w:rFonts w:eastAsia="Calibri"/>
          <w:lang w:eastAsia="zh-CN"/>
        </w:rPr>
      </w:pPr>
      <w:r>
        <w:rPr>
          <w:rFonts w:eastAsia="Calibri"/>
          <w:lang w:eastAsia="zh-CN"/>
        </w:rPr>
        <w:t>1</w:t>
      </w:r>
      <w:r>
        <w:rPr>
          <w:rFonts w:eastAsia="Calibri"/>
          <w:lang w:eastAsia="zh-CN"/>
        </w:rPr>
        <w:tab/>
        <w:t>UA</w:t>
      </w:r>
      <w:r>
        <w:rPr>
          <w:rFonts w:eastAsiaTheme="minorEastAsia" w:hint="eastAsia"/>
          <w:lang w:eastAsia="zh-CN"/>
        </w:rPr>
        <w:t>不得在高于</w:t>
      </w:r>
      <w:r>
        <w:rPr>
          <w:rFonts w:eastAsiaTheme="minorEastAsia"/>
          <w:lang w:eastAsia="zh-CN"/>
        </w:rPr>
        <w:t>70</w:t>
      </w:r>
      <w:r>
        <w:rPr>
          <w:rFonts w:eastAsiaTheme="minorEastAsia" w:hint="eastAsia"/>
          <w:lang w:eastAsia="zh-CN"/>
        </w:rPr>
        <w:t>度的纬度运行；</w:t>
      </w:r>
    </w:p>
    <w:p w:rsidR="008A265E" w:rsidRDefault="008A265E" w:rsidP="008A2683">
      <w:pPr>
        <w:pStyle w:val="enumlev1"/>
        <w:rPr>
          <w:rFonts w:eastAsia="Calibri"/>
          <w:lang w:eastAsia="zh-CN"/>
        </w:rPr>
      </w:pPr>
      <w:r>
        <w:rPr>
          <w:rFonts w:eastAsia="Calibri"/>
          <w:lang w:eastAsia="zh-CN"/>
        </w:rPr>
        <w:t>2</w:t>
      </w:r>
      <w:r>
        <w:rPr>
          <w:rFonts w:eastAsia="Calibri"/>
          <w:lang w:eastAsia="zh-CN"/>
        </w:rPr>
        <w:tab/>
      </w:r>
      <w:r>
        <w:rPr>
          <w:rFonts w:eastAsiaTheme="minorEastAsia" w:hint="eastAsia"/>
          <w:lang w:eastAsia="zh-CN"/>
        </w:rPr>
        <w:t>在高度低于</w:t>
      </w:r>
      <w:r>
        <w:rPr>
          <w:rFonts w:eastAsiaTheme="minorEastAsia"/>
          <w:lang w:eastAsia="zh-CN"/>
        </w:rPr>
        <w:t>5 000</w:t>
      </w:r>
      <w:r>
        <w:rPr>
          <w:rFonts w:eastAsiaTheme="minorEastAsia" w:hint="eastAsia"/>
          <w:lang w:eastAsia="zh-CN"/>
        </w:rPr>
        <w:t>英尺时，</w:t>
      </w:r>
      <w:r>
        <w:rPr>
          <w:rFonts w:eastAsia="Calibri"/>
          <w:lang w:eastAsia="zh-CN"/>
        </w:rPr>
        <w:t>UA</w:t>
      </w:r>
      <w:r>
        <w:rPr>
          <w:rFonts w:eastAsiaTheme="minorEastAsia" w:hint="eastAsia"/>
          <w:lang w:eastAsia="zh-CN"/>
        </w:rPr>
        <w:t>不得在</w:t>
      </w:r>
      <w:r>
        <w:rPr>
          <w:rFonts w:eastAsia="Calibri"/>
          <w:lang w:eastAsia="zh-CN"/>
        </w:rPr>
        <w:t>14.0</w:t>
      </w:r>
      <w:r>
        <w:rPr>
          <w:rFonts w:eastAsiaTheme="minorEastAsia" w:hint="eastAsia"/>
          <w:lang w:eastAsia="zh-CN"/>
        </w:rPr>
        <w:t>至</w:t>
      </w:r>
      <w:r>
        <w:rPr>
          <w:rFonts w:eastAsia="Calibri"/>
          <w:lang w:eastAsia="zh-CN"/>
        </w:rPr>
        <w:t>14.5 GHz</w:t>
      </w:r>
      <w:r>
        <w:rPr>
          <w:rFonts w:eastAsiaTheme="minorEastAsia" w:hint="eastAsia"/>
          <w:lang w:eastAsia="zh-CN"/>
        </w:rPr>
        <w:t>频段的频率上运行；</w:t>
      </w:r>
    </w:p>
    <w:p w:rsidR="008A265E" w:rsidRDefault="008A265E" w:rsidP="008A2683">
      <w:pPr>
        <w:pStyle w:val="enumlev1"/>
        <w:rPr>
          <w:rFonts w:eastAsia="Calibri"/>
          <w:lang w:eastAsia="zh-CN"/>
        </w:rPr>
      </w:pPr>
      <w:r>
        <w:rPr>
          <w:rFonts w:eastAsia="Calibri"/>
          <w:lang w:eastAsia="zh-CN"/>
        </w:rPr>
        <w:t>3</w:t>
      </w:r>
      <w:r>
        <w:rPr>
          <w:rFonts w:eastAsia="Calibri"/>
          <w:lang w:eastAsia="zh-CN"/>
        </w:rPr>
        <w:tab/>
      </w:r>
      <w:r>
        <w:rPr>
          <w:rFonts w:eastAsiaTheme="minorEastAsia" w:hint="eastAsia"/>
          <w:lang w:eastAsia="zh-CN"/>
        </w:rPr>
        <w:t>在高度低于</w:t>
      </w:r>
      <w:r>
        <w:rPr>
          <w:rFonts w:eastAsiaTheme="minorEastAsia"/>
          <w:lang w:eastAsia="zh-CN"/>
        </w:rPr>
        <w:t>3 000</w:t>
      </w:r>
      <w:r>
        <w:rPr>
          <w:rFonts w:eastAsiaTheme="minorEastAsia" w:hint="eastAsia"/>
          <w:lang w:eastAsia="zh-CN"/>
        </w:rPr>
        <w:t>英尺时，</w:t>
      </w:r>
      <w:r>
        <w:rPr>
          <w:rFonts w:eastAsia="Calibri"/>
          <w:lang w:eastAsia="zh-CN"/>
        </w:rPr>
        <w:t>UA</w:t>
      </w:r>
      <w:r>
        <w:rPr>
          <w:rFonts w:eastAsiaTheme="minorEastAsia" w:hint="eastAsia"/>
          <w:lang w:eastAsia="zh-CN"/>
        </w:rPr>
        <w:t>不得在</w:t>
      </w:r>
      <w:r>
        <w:rPr>
          <w:rFonts w:eastAsia="Calibri"/>
          <w:lang w:eastAsia="zh-CN"/>
        </w:rPr>
        <w:t>27.5</w:t>
      </w:r>
      <w:r w:rsidR="00EA2A3C">
        <w:rPr>
          <w:rFonts w:asciiTheme="minorEastAsia" w:eastAsiaTheme="minorEastAsia" w:hAnsiTheme="minorEastAsia" w:hint="eastAsia"/>
          <w:lang w:eastAsia="zh-CN"/>
        </w:rPr>
        <w:t>至</w:t>
      </w:r>
      <w:r>
        <w:rPr>
          <w:rFonts w:eastAsia="Calibri"/>
          <w:lang w:eastAsia="zh-CN"/>
        </w:rPr>
        <w:t>28.6 GHz</w:t>
      </w:r>
      <w:r>
        <w:rPr>
          <w:rFonts w:eastAsiaTheme="minorEastAsia" w:hint="eastAsia"/>
          <w:lang w:eastAsia="zh-CN"/>
        </w:rPr>
        <w:t>频段的频率上运行；</w:t>
      </w:r>
      <w:bookmarkStart w:id="8" w:name="_GoBack"/>
      <w:bookmarkEnd w:id="8"/>
    </w:p>
    <w:p w:rsidR="008A265E" w:rsidRDefault="008A265E" w:rsidP="008A2683">
      <w:pPr>
        <w:pStyle w:val="enumlev1"/>
        <w:rPr>
          <w:rFonts w:eastAsiaTheme="minorEastAsia"/>
          <w:lang w:eastAsia="zh-CN"/>
        </w:rPr>
      </w:pPr>
      <w:r>
        <w:rPr>
          <w:rFonts w:eastAsia="Calibri"/>
          <w:lang w:eastAsia="zh-CN"/>
        </w:rPr>
        <w:t>4</w:t>
      </w:r>
      <w:r>
        <w:rPr>
          <w:rFonts w:eastAsia="Calibri"/>
          <w:lang w:eastAsia="zh-CN"/>
        </w:rPr>
        <w:tab/>
        <w:t>UA</w:t>
      </w:r>
      <w:r>
        <w:rPr>
          <w:rFonts w:eastAsiaTheme="minorEastAsia" w:hint="eastAsia"/>
          <w:lang w:eastAsia="zh-CN"/>
        </w:rPr>
        <w:t>地球站须遵守下述的具体针对两个频段的功率通量密度限值（</w:t>
      </w:r>
      <w:proofErr w:type="spellStart"/>
      <w:r>
        <w:rPr>
          <w:rFonts w:eastAsiaTheme="minorEastAsia"/>
          <w:lang w:eastAsia="zh-CN"/>
        </w:rPr>
        <w:t>pfd</w:t>
      </w:r>
      <w:proofErr w:type="spellEnd"/>
      <w:r>
        <w:rPr>
          <w:rFonts w:eastAsiaTheme="minorEastAsia" w:hint="eastAsia"/>
          <w:lang w:eastAsia="zh-CN"/>
        </w:rPr>
        <w:t>）</w:t>
      </w:r>
      <w:r>
        <w:rPr>
          <w:rFonts w:hint="eastAsia"/>
          <w:szCs w:val="24"/>
          <w:lang w:eastAsia="zh-CN"/>
        </w:rPr>
        <w:t>掩膜</w:t>
      </w:r>
      <w:r>
        <w:rPr>
          <w:rFonts w:eastAsiaTheme="minorEastAsia" w:hint="eastAsia"/>
          <w:lang w:eastAsia="zh-CN"/>
        </w:rPr>
        <w:t>。</w:t>
      </w:r>
    </w:p>
    <w:p w:rsidR="008A265E" w:rsidRDefault="008A265E" w:rsidP="008A265E">
      <w:pPr>
        <w:ind w:firstLineChars="200" w:firstLine="480"/>
        <w:rPr>
          <w:lang w:eastAsia="zh-CN"/>
        </w:rPr>
      </w:pPr>
      <w:r>
        <w:rPr>
          <w:rFonts w:hint="eastAsia"/>
          <w:lang w:val="en-US" w:eastAsia="zh-CN"/>
        </w:rPr>
        <w:t>在固定业务网络使用的</w:t>
      </w:r>
      <w:r>
        <w:rPr>
          <w:lang w:val="en-US" w:eastAsia="zh-CN"/>
        </w:rPr>
        <w:t>14-14.</w:t>
      </w:r>
      <w:r w:rsidR="00EA2A3C">
        <w:rPr>
          <w:rFonts w:hint="eastAsia"/>
          <w:lang w:val="en-US" w:eastAsia="zh-CN"/>
        </w:rPr>
        <w:t>47</w:t>
      </w:r>
      <w:r>
        <w:rPr>
          <w:lang w:val="en-US" w:eastAsia="zh-CN"/>
        </w:rPr>
        <w:t xml:space="preserve"> GHz</w:t>
      </w:r>
      <w:r w:rsidR="00EA2A3C">
        <w:rPr>
          <w:rFonts w:hint="eastAsia"/>
          <w:lang w:val="en-US" w:eastAsia="zh-CN"/>
        </w:rPr>
        <w:t>频率范围</w:t>
      </w:r>
      <w:r>
        <w:rPr>
          <w:rFonts w:hint="eastAsia"/>
          <w:lang w:val="en-US" w:eastAsia="zh-CN"/>
        </w:rPr>
        <w:t>内，在某主管部门视线可及的领土上如有固定业务网络运行，则单个</w:t>
      </w:r>
      <w:r>
        <w:rPr>
          <w:lang w:val="en-US" w:eastAsia="zh-CN"/>
        </w:rPr>
        <w:t>UA</w:t>
      </w:r>
      <w:r>
        <w:rPr>
          <w:rFonts w:hint="eastAsia"/>
          <w:lang w:val="en-US" w:eastAsia="zh-CN"/>
        </w:rPr>
        <w:t>在地球表面产生的最大</w:t>
      </w:r>
      <w:proofErr w:type="spellStart"/>
      <w:r>
        <w:rPr>
          <w:lang w:val="en-US" w:eastAsia="zh-CN"/>
        </w:rPr>
        <w:t>pfd</w:t>
      </w:r>
      <w:proofErr w:type="spellEnd"/>
      <w:r w:rsidR="00EA2A3C">
        <w:rPr>
          <w:rFonts w:hint="eastAsia"/>
          <w:lang w:val="en-US" w:eastAsia="zh-CN"/>
        </w:rPr>
        <w:t>不得</w:t>
      </w:r>
      <w:r>
        <w:rPr>
          <w:rFonts w:hint="eastAsia"/>
          <w:lang w:val="en-US" w:eastAsia="zh-CN"/>
        </w:rPr>
        <w:t>超过</w:t>
      </w:r>
      <w:r>
        <w:rPr>
          <w:rFonts w:hint="eastAsia"/>
          <w:lang w:eastAsia="zh-CN"/>
        </w:rPr>
        <w:t>：</w:t>
      </w:r>
    </w:p>
    <w:tbl>
      <w:tblPr>
        <w:tblW w:w="9000" w:type="dxa"/>
        <w:tblInd w:w="198" w:type="dxa"/>
        <w:tblLook w:val="04A0" w:firstRow="1" w:lastRow="0" w:firstColumn="1" w:lastColumn="0" w:noHBand="0" w:noVBand="1"/>
      </w:tblPr>
      <w:tblGrid>
        <w:gridCol w:w="5400"/>
        <w:gridCol w:w="3600"/>
      </w:tblGrid>
      <w:tr w:rsidR="008A2683" w:rsidTr="008A2683">
        <w:tc>
          <w:tcPr>
            <w:tcW w:w="5400" w:type="dxa"/>
          </w:tcPr>
          <w:p w:rsidR="008A2683" w:rsidRPr="000E64FF" w:rsidRDefault="008A2683" w:rsidP="008A2683">
            <w:pPr>
              <w:pStyle w:val="Tabletext"/>
              <w:rPr>
                <w:rFonts w:ascii="Symbol" w:eastAsia="Calibri" w:hAnsi="Symbol" w:cs="Symbol"/>
              </w:rPr>
            </w:pPr>
            <w:r w:rsidRPr="000E64FF">
              <w:tab/>
              <w:t>-97</w:t>
            </w:r>
            <w:r>
              <w:t>.0</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tcPr>
          <w:p w:rsidR="008A2683" w:rsidRPr="000E64FF" w:rsidRDefault="008A2683" w:rsidP="008A2683">
            <w:pPr>
              <w:pStyle w:val="Tabletext"/>
              <w:rPr>
                <w:rFonts w:ascii="Symbol" w:eastAsia="Calibri" w:hAnsi="Symbol" w:cs="Symbol"/>
              </w:rPr>
            </w:pPr>
            <w:r>
              <w:rPr>
                <w:rFonts w:hint="eastAsia"/>
                <w:lang w:eastAsia="zh-CN"/>
              </w:rPr>
              <w:t>对于</w:t>
            </w:r>
            <w:r w:rsidRPr="000E64FF">
              <w:tab/>
            </w:r>
            <w:r w:rsidRPr="000E64FF">
              <w:sym w:font="Symbol" w:char="F071"/>
            </w:r>
            <w:r w:rsidRPr="000E64FF">
              <w:t xml:space="preserve">    ≤   5°</w:t>
            </w:r>
          </w:p>
        </w:tc>
      </w:tr>
      <w:tr w:rsidR="008A2683" w:rsidTr="008A2683">
        <w:tc>
          <w:tcPr>
            <w:tcW w:w="5400" w:type="dxa"/>
          </w:tcPr>
          <w:p w:rsidR="008A2683" w:rsidRPr="000E64FF" w:rsidRDefault="008A2683" w:rsidP="008A2683">
            <w:pPr>
              <w:pStyle w:val="Tabletext"/>
              <w:rPr>
                <w:rFonts w:ascii="Symbol" w:eastAsia="Calibri" w:hAnsi="Symbol" w:cs="Symbol"/>
              </w:rPr>
            </w:pPr>
            <w:r w:rsidRPr="000E64FF">
              <w:tab/>
              <w:t>-97</w:t>
            </w:r>
            <w:r>
              <w:t>.0</w:t>
            </w:r>
            <w:r w:rsidRPr="000E64FF">
              <w:t xml:space="preserve"> + 2.1 </w:t>
            </w:r>
            <w:r w:rsidRPr="000E64FF">
              <w:sym w:font="Symbol" w:char="F0D7"/>
            </w:r>
            <w:r w:rsidRPr="000E64FF">
              <w:t xml:space="preserve"> (</w:t>
            </w:r>
            <w:r w:rsidRPr="000E64FF">
              <w:sym w:font="Symbol" w:char="F071"/>
            </w:r>
            <w:r w:rsidRPr="000E64FF">
              <w:t xml:space="preserve"> - 5°)</w:t>
            </w:r>
            <w:r w:rsidRPr="000E64FF">
              <w:rPr>
                <w:vertAlign w:val="superscript"/>
              </w:rPr>
              <w:t>2</w:t>
            </w:r>
            <w:r w:rsidRPr="000E64FF">
              <w:tab/>
            </w:r>
            <w:r>
              <w:t xml:space="preserve"> </w:t>
            </w:r>
            <w:r w:rsidRPr="000E64FF">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tcPr>
          <w:p w:rsidR="008A2683" w:rsidRPr="000E64FF" w:rsidRDefault="008A2683" w:rsidP="008A2683">
            <w:pPr>
              <w:pStyle w:val="Tabletext"/>
              <w:rPr>
                <w:rFonts w:ascii="Symbol" w:eastAsia="Calibri" w:hAnsi="Symbol" w:cs="Symbol"/>
              </w:rPr>
            </w:pPr>
            <w:r>
              <w:rPr>
                <w:rFonts w:hint="eastAsia"/>
                <w:lang w:eastAsia="zh-CN"/>
              </w:rPr>
              <w:t>对于</w:t>
            </w:r>
            <w:r w:rsidRPr="000E64FF">
              <w:tab/>
              <w:t xml:space="preserve">5°    &lt;   </w:t>
            </w:r>
            <w:r w:rsidRPr="000E64FF">
              <w:sym w:font="Symbol" w:char="F071"/>
            </w:r>
            <w:r w:rsidRPr="000E64FF">
              <w:t xml:space="preserve">   ≤   7.5°</w:t>
            </w:r>
          </w:p>
        </w:tc>
      </w:tr>
      <w:tr w:rsidR="008A2683" w:rsidTr="008A2683">
        <w:tc>
          <w:tcPr>
            <w:tcW w:w="5400" w:type="dxa"/>
          </w:tcPr>
          <w:p w:rsidR="008A2683" w:rsidRPr="000E64FF" w:rsidRDefault="008A2683" w:rsidP="008A2683">
            <w:pPr>
              <w:pStyle w:val="Tabletext"/>
              <w:rPr>
                <w:rFonts w:ascii="Symbol" w:eastAsia="Calibri" w:hAnsi="Symbol" w:cs="Symbol"/>
                <w:lang w:val="de-DE"/>
              </w:rPr>
            </w:pPr>
            <w:r w:rsidRPr="00493057">
              <w:rPr>
                <w:lang w:val="de-DE"/>
              </w:rPr>
              <w:tab/>
            </w:r>
            <w:r w:rsidRPr="005E2987">
              <w:rPr>
                <w:lang w:val="de-DE"/>
              </w:rPr>
              <w:t xml:space="preserve">-91.7 + 25 </w:t>
            </w:r>
            <w:r w:rsidRPr="000E64FF">
              <w:sym w:font="Symbol" w:char="F0D7"/>
            </w:r>
            <w:r w:rsidRPr="005E2987">
              <w:rPr>
                <w:lang w:val="de-DE"/>
              </w:rPr>
              <w:t xml:space="preserve"> log</w:t>
            </w:r>
            <w:r w:rsidRPr="005E2987">
              <w:rPr>
                <w:vertAlign w:val="subscript"/>
                <w:lang w:val="de-DE"/>
              </w:rPr>
              <w:t>10</w:t>
            </w:r>
            <w:r w:rsidRPr="005E2987">
              <w:rPr>
                <w:lang w:val="de-DE"/>
              </w:rPr>
              <w:t xml:space="preserve"> (</w:t>
            </w:r>
            <w:r w:rsidRPr="000E64FF">
              <w:sym w:font="Symbol" w:char="F071"/>
            </w:r>
            <w:r w:rsidRPr="00CF5ED0">
              <w:rPr>
                <w:lang w:val="de-DE"/>
              </w:rPr>
              <w:t xml:space="preserve"> - </w:t>
            </w:r>
            <w:r w:rsidRPr="005E2987">
              <w:rPr>
                <w:lang w:val="de-DE"/>
              </w:rPr>
              <w:t>5°</w:t>
            </w:r>
            <w:r>
              <w:rPr>
                <w:lang w:val="de-DE"/>
              </w:rPr>
              <w:t xml:space="preserve">) </w:t>
            </w:r>
            <w:r w:rsidRPr="005E2987">
              <w:rPr>
                <w:lang w:val="de-DE"/>
              </w:rPr>
              <w:t>dB (W/(m</w:t>
            </w:r>
            <w:r w:rsidRPr="005E2987">
              <w:rPr>
                <w:vertAlign w:val="superscript"/>
                <w:lang w:val="de-DE"/>
              </w:rPr>
              <w:t xml:space="preserve">2 </w:t>
            </w:r>
            <w:r w:rsidRPr="005E2987">
              <w:rPr>
                <w:lang w:val="de-DE"/>
              </w:rPr>
              <w:t xml:space="preserve"> </w:t>
            </w:r>
            <w:r w:rsidRPr="000E64FF">
              <w:sym w:font="Symbol" w:char="F0D7"/>
            </w:r>
            <w:r w:rsidRPr="005E2987">
              <w:rPr>
                <w:lang w:val="de-DE"/>
              </w:rPr>
              <w:t xml:space="preserve"> 1</w:t>
            </w:r>
            <w:r w:rsidRPr="000E64FF">
              <w:rPr>
                <w:lang w:val="de-DE"/>
              </w:rPr>
              <w:t>4MHz))</w:t>
            </w:r>
          </w:p>
        </w:tc>
        <w:tc>
          <w:tcPr>
            <w:tcW w:w="3600" w:type="dxa"/>
          </w:tcPr>
          <w:p w:rsidR="008A2683" w:rsidRPr="000E64FF" w:rsidRDefault="008A2683" w:rsidP="008A2683">
            <w:pPr>
              <w:pStyle w:val="Tabletext"/>
              <w:rPr>
                <w:rFonts w:ascii="Symbol" w:eastAsia="Calibri" w:hAnsi="Symbol" w:cs="Symbol"/>
              </w:rPr>
            </w:pPr>
            <w:r>
              <w:rPr>
                <w:rFonts w:hint="eastAsia"/>
                <w:lang w:eastAsia="zh-CN"/>
              </w:rPr>
              <w:t>对于</w:t>
            </w:r>
            <w:r w:rsidRPr="000E64FF">
              <w:tab/>
              <w:t xml:space="preserve">7.5°   &lt;   </w:t>
            </w:r>
            <w:r w:rsidRPr="000E64FF">
              <w:sym w:font="Symbol" w:char="F071"/>
            </w:r>
            <w:r w:rsidRPr="000E64FF">
              <w:t xml:space="preserve">   ≤   53°</w:t>
            </w:r>
          </w:p>
        </w:tc>
      </w:tr>
      <w:tr w:rsidR="008A2683" w:rsidTr="008A2683">
        <w:tc>
          <w:tcPr>
            <w:tcW w:w="5400" w:type="dxa"/>
          </w:tcPr>
          <w:p w:rsidR="008A2683" w:rsidRPr="000E64FF" w:rsidRDefault="008A2683" w:rsidP="008A2683">
            <w:pPr>
              <w:pStyle w:val="Tabletext"/>
              <w:rPr>
                <w:rFonts w:ascii="Symbol" w:eastAsia="Calibri" w:hAnsi="Symbol" w:cs="Symbol"/>
              </w:rPr>
            </w:pPr>
            <w:r w:rsidRPr="000E64FF">
              <w:tab/>
              <w:t>-49.7</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tcPr>
          <w:p w:rsidR="008A2683" w:rsidRPr="000E64FF" w:rsidRDefault="008A2683" w:rsidP="008A2683">
            <w:pPr>
              <w:pStyle w:val="Tabletext"/>
              <w:rPr>
                <w:rFonts w:ascii="Symbol" w:eastAsia="Calibri" w:hAnsi="Symbol" w:cs="Symbol"/>
              </w:rPr>
            </w:pPr>
            <w:r>
              <w:rPr>
                <w:rFonts w:hint="eastAsia"/>
                <w:lang w:eastAsia="zh-CN"/>
              </w:rPr>
              <w:t>对于</w:t>
            </w:r>
            <w:r w:rsidRPr="000E64FF">
              <w:tab/>
              <w:t xml:space="preserve">53°   &lt;   </w:t>
            </w:r>
            <w:r w:rsidRPr="000E64FF">
              <w:sym w:font="Symbol" w:char="F071"/>
            </w:r>
            <w:r w:rsidRPr="000E64FF">
              <w:t xml:space="preserve">   ≤   90°</w:t>
            </w:r>
          </w:p>
        </w:tc>
      </w:tr>
    </w:tbl>
    <w:p w:rsidR="008A265E" w:rsidRDefault="008A265E" w:rsidP="008A2683">
      <w:pPr>
        <w:ind w:firstLineChars="200" w:firstLine="480"/>
        <w:rPr>
          <w:lang w:eastAsia="zh-CN"/>
        </w:rPr>
      </w:pPr>
      <w:r>
        <w:rPr>
          <w:rFonts w:hint="eastAsia"/>
          <w:lang w:eastAsia="zh-CN"/>
        </w:rPr>
        <w:t>其中</w:t>
      </w:r>
      <w:r>
        <w:sym w:font="Symbol" w:char="F071"/>
      </w:r>
      <w:r>
        <w:rPr>
          <w:rFonts w:hint="eastAsia"/>
          <w:lang w:eastAsia="zh-CN"/>
        </w:rPr>
        <w:t>是射频波的入射角（地平线以上的角度）。</w:t>
      </w:r>
    </w:p>
    <w:p w:rsidR="008A265E" w:rsidRDefault="008A265E" w:rsidP="008A265E">
      <w:pPr>
        <w:pStyle w:val="Note"/>
        <w:rPr>
          <w:lang w:eastAsia="zh-CN"/>
        </w:rPr>
      </w:pPr>
      <w:r>
        <w:rPr>
          <w:rFonts w:hint="eastAsia"/>
          <w:lang w:eastAsia="zh-CN"/>
        </w:rPr>
        <w:t>注</w:t>
      </w:r>
      <w:r>
        <w:rPr>
          <w:rFonts w:hint="eastAsia"/>
          <w:lang w:eastAsia="zh-CN"/>
        </w:rPr>
        <w:t xml:space="preserve"> </w:t>
      </w:r>
      <w:r>
        <w:rPr>
          <w:lang w:eastAsia="zh-CN"/>
        </w:rPr>
        <w:t xml:space="preserve">1– </w:t>
      </w:r>
      <w:r>
        <w:rPr>
          <w:rFonts w:hint="eastAsia"/>
          <w:lang w:val="en-US" w:eastAsia="zh-CN"/>
        </w:rPr>
        <w:t>上述限值相应于自由空间传播条件下所得到的</w:t>
      </w:r>
      <w:proofErr w:type="spellStart"/>
      <w:r>
        <w:rPr>
          <w:lang w:val="en-US" w:eastAsia="zh-CN"/>
        </w:rPr>
        <w:t>pfd</w:t>
      </w:r>
      <w:proofErr w:type="spellEnd"/>
      <w:r>
        <w:rPr>
          <w:rFonts w:hint="eastAsia"/>
          <w:lang w:val="en-US" w:eastAsia="zh-CN"/>
        </w:rPr>
        <w:t>和入射角。</w:t>
      </w:r>
    </w:p>
    <w:p w:rsidR="007B02AF" w:rsidRPr="008A265E" w:rsidRDefault="008A265E" w:rsidP="008A2683">
      <w:pPr>
        <w:ind w:firstLineChars="200" w:firstLine="480"/>
        <w:rPr>
          <w:rFonts w:eastAsiaTheme="minorEastAsia"/>
          <w:lang w:eastAsia="zh-CN"/>
        </w:rPr>
      </w:pPr>
      <w:r>
        <w:rPr>
          <w:rFonts w:hint="eastAsia"/>
          <w:lang w:val="en-US" w:eastAsia="zh-CN"/>
        </w:rPr>
        <w:lastRenderedPageBreak/>
        <w:t>在固定业务网络使用的</w:t>
      </w:r>
      <w:r w:rsidR="007B02AF">
        <w:rPr>
          <w:rFonts w:eastAsia="Calibri"/>
          <w:lang w:eastAsia="zh-CN"/>
        </w:rPr>
        <w:t xml:space="preserve">27.5-29.5 </w:t>
      </w:r>
      <w:r w:rsidR="00EA2A3C">
        <w:rPr>
          <w:rFonts w:hint="eastAsia"/>
          <w:lang w:val="en-US" w:eastAsia="zh-CN"/>
        </w:rPr>
        <w:t>频率范围</w:t>
      </w:r>
      <w:r>
        <w:rPr>
          <w:rFonts w:hint="eastAsia"/>
          <w:lang w:val="en-US" w:eastAsia="zh-CN"/>
        </w:rPr>
        <w:t>内，在某主管部门视线可及的领土上如有固定业务网络运行，则单个</w:t>
      </w:r>
      <w:r>
        <w:rPr>
          <w:lang w:val="en-US" w:eastAsia="zh-CN"/>
        </w:rPr>
        <w:t>UA</w:t>
      </w:r>
      <w:r>
        <w:rPr>
          <w:rFonts w:hint="eastAsia"/>
          <w:lang w:val="en-US" w:eastAsia="zh-CN"/>
        </w:rPr>
        <w:t>在地球表面产生的最大</w:t>
      </w:r>
      <w:proofErr w:type="spellStart"/>
      <w:r>
        <w:rPr>
          <w:lang w:val="en-US" w:eastAsia="zh-CN"/>
        </w:rPr>
        <w:t>pfd</w:t>
      </w:r>
      <w:proofErr w:type="spellEnd"/>
      <w:r>
        <w:rPr>
          <w:rFonts w:hint="eastAsia"/>
          <w:lang w:val="en-US" w:eastAsia="zh-CN"/>
        </w:rPr>
        <w:t>应不超过</w:t>
      </w:r>
      <w:r>
        <w:rPr>
          <w:rFonts w:eastAsiaTheme="minorEastAsia" w:hint="eastAsia"/>
          <w:lang w:eastAsia="zh-CN"/>
        </w:rPr>
        <w:t>：</w:t>
      </w:r>
    </w:p>
    <w:p w:rsidR="007B02AF" w:rsidRDefault="007B02AF" w:rsidP="007B02AF">
      <w:pPr>
        <w:rPr>
          <w:rFonts w:eastAsia="Calibri"/>
          <w:lang w:eastAsia="zh-CN"/>
        </w:rPr>
      </w:pPr>
    </w:p>
    <w:tbl>
      <w:tblPr>
        <w:tblW w:w="0" w:type="auto"/>
        <w:tblInd w:w="198" w:type="dxa"/>
        <w:tblLook w:val="04A0" w:firstRow="1" w:lastRow="0" w:firstColumn="1" w:lastColumn="0" w:noHBand="0" w:noVBand="1"/>
      </w:tblPr>
      <w:tblGrid>
        <w:gridCol w:w="5400"/>
        <w:gridCol w:w="3600"/>
      </w:tblGrid>
      <w:tr w:rsidR="008A2683" w:rsidTr="007B02AF">
        <w:tc>
          <w:tcPr>
            <w:tcW w:w="5400" w:type="dxa"/>
            <w:hideMark/>
          </w:tcPr>
          <w:p w:rsidR="008A2683" w:rsidRPr="000E64FF" w:rsidRDefault="008A2683" w:rsidP="008A2683">
            <w:pPr>
              <w:pStyle w:val="Tabletext"/>
              <w:rPr>
                <w:rFonts w:ascii="Symbol" w:eastAsia="Calibri" w:hAnsi="Symbol" w:cs="Symbol"/>
              </w:rPr>
            </w:pPr>
            <w:r w:rsidRPr="000E64FF">
              <w:tab/>
              <w:t>-96</w:t>
            </w:r>
            <w:r>
              <w:t>.0</w:t>
            </w:r>
            <w:r w:rsidRPr="000E64FF">
              <w:tab/>
              <w:t>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8A2683" w:rsidRPr="000E64FF" w:rsidRDefault="008A2683" w:rsidP="008A2683">
            <w:pPr>
              <w:pStyle w:val="Tabletext"/>
              <w:rPr>
                <w:rFonts w:ascii="Symbol" w:eastAsia="Calibri" w:hAnsi="Symbol" w:cs="Symbol"/>
              </w:rPr>
            </w:pPr>
            <w:r>
              <w:rPr>
                <w:rFonts w:hint="eastAsia"/>
                <w:lang w:eastAsia="zh-CN"/>
              </w:rPr>
              <w:t>对于</w:t>
            </w:r>
            <w:r w:rsidRPr="000E64FF">
              <w:tab/>
            </w:r>
            <w:r w:rsidRPr="000E64FF">
              <w:sym w:font="Symbol" w:char="F071"/>
            </w:r>
            <w:r w:rsidRPr="000E64FF">
              <w:t xml:space="preserve">    ≤   5°</w:t>
            </w:r>
          </w:p>
        </w:tc>
      </w:tr>
      <w:tr w:rsidR="008A2683" w:rsidTr="007B02AF">
        <w:tc>
          <w:tcPr>
            <w:tcW w:w="5400" w:type="dxa"/>
            <w:hideMark/>
          </w:tcPr>
          <w:p w:rsidR="008A2683" w:rsidRPr="000E64FF" w:rsidRDefault="008A2683" w:rsidP="008A2683">
            <w:pPr>
              <w:pStyle w:val="Tabletext"/>
              <w:rPr>
                <w:rFonts w:ascii="Symbol" w:eastAsia="Calibri" w:hAnsi="Symbol" w:cs="Symbol"/>
              </w:rPr>
            </w:pPr>
            <w:r w:rsidRPr="000E64FF">
              <w:tab/>
              <w:t>-96</w:t>
            </w:r>
            <w:r>
              <w:t>.0</w:t>
            </w:r>
            <w:r w:rsidRPr="000E64FF">
              <w:t xml:space="preserve"> + 0.6 </w:t>
            </w:r>
            <w:r w:rsidRPr="000E64FF">
              <w:sym w:font="Symbol" w:char="F0D7"/>
            </w:r>
            <w:r w:rsidRPr="000E64FF">
              <w:t xml:space="preserve"> (</w:t>
            </w:r>
            <w:r w:rsidRPr="000E64FF">
              <w:sym w:font="Symbol" w:char="F071"/>
            </w:r>
            <w:r w:rsidRPr="000E64FF">
              <w:t xml:space="preserve"> - 5°)</w:t>
            </w:r>
            <w:r w:rsidRPr="000E64FF">
              <w:rPr>
                <w:vertAlign w:val="superscript"/>
              </w:rPr>
              <w:t>2</w:t>
            </w:r>
            <w:r w:rsidRPr="000E64FF">
              <w:t xml:space="preserve"> 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8A2683" w:rsidRPr="000E64FF" w:rsidRDefault="008A2683" w:rsidP="008A2683">
            <w:pPr>
              <w:pStyle w:val="Tabletext"/>
              <w:rPr>
                <w:rFonts w:ascii="Symbol" w:eastAsia="Calibri" w:hAnsi="Symbol" w:cs="Symbol"/>
              </w:rPr>
            </w:pPr>
            <w:r>
              <w:rPr>
                <w:rFonts w:hint="eastAsia"/>
                <w:lang w:eastAsia="zh-CN"/>
              </w:rPr>
              <w:t>对于</w:t>
            </w:r>
            <w:r w:rsidRPr="000E64FF">
              <w:tab/>
              <w:t xml:space="preserve">5°    &lt;   </w:t>
            </w:r>
            <w:r w:rsidRPr="000E64FF">
              <w:sym w:font="Symbol" w:char="F071"/>
            </w:r>
            <w:r w:rsidRPr="000E64FF">
              <w:t xml:space="preserve">   ≤   9.4°</w:t>
            </w:r>
          </w:p>
        </w:tc>
      </w:tr>
      <w:tr w:rsidR="008A2683" w:rsidTr="007B02AF">
        <w:tc>
          <w:tcPr>
            <w:tcW w:w="5400" w:type="dxa"/>
            <w:hideMark/>
          </w:tcPr>
          <w:p w:rsidR="008A2683" w:rsidRPr="000E64FF" w:rsidRDefault="008A2683" w:rsidP="008A2683">
            <w:pPr>
              <w:pStyle w:val="Tabletext"/>
              <w:rPr>
                <w:rFonts w:ascii="Symbol" w:eastAsia="Calibri" w:hAnsi="Symbol" w:cs="Symbol"/>
              </w:rPr>
            </w:pPr>
            <w:r w:rsidRPr="000E64FF">
              <w:tab/>
              <w:t>-84.4 dB (W/(m</w:t>
            </w:r>
            <w:r w:rsidRPr="000E64FF">
              <w:rPr>
                <w:vertAlign w:val="superscript"/>
              </w:rPr>
              <w:t xml:space="preserve">2 </w:t>
            </w:r>
            <w:r w:rsidRPr="000E64FF">
              <w:t xml:space="preserve"> </w:t>
            </w:r>
            <w:r w:rsidRPr="000E64FF">
              <w:sym w:font="Symbol" w:char="F0D7"/>
            </w:r>
            <w:r w:rsidRPr="000E64FF">
              <w:t xml:space="preserve"> 14MHz))</w:t>
            </w:r>
          </w:p>
        </w:tc>
        <w:tc>
          <w:tcPr>
            <w:tcW w:w="3600" w:type="dxa"/>
            <w:hideMark/>
          </w:tcPr>
          <w:p w:rsidR="008A2683" w:rsidRPr="000E64FF" w:rsidRDefault="008A2683" w:rsidP="008A2683">
            <w:pPr>
              <w:pStyle w:val="Tabletext"/>
              <w:rPr>
                <w:rFonts w:ascii="Symbol" w:eastAsia="Calibri" w:hAnsi="Symbol" w:cs="Symbol"/>
              </w:rPr>
            </w:pPr>
            <w:r>
              <w:rPr>
                <w:rFonts w:hint="eastAsia"/>
                <w:lang w:eastAsia="zh-CN"/>
              </w:rPr>
              <w:t>对于</w:t>
            </w:r>
            <w:r w:rsidRPr="000E64FF">
              <w:tab/>
              <w:t xml:space="preserve">9.4°   &lt;   </w:t>
            </w:r>
            <w:r w:rsidRPr="000E64FF">
              <w:sym w:font="Symbol" w:char="F071"/>
            </w:r>
            <w:r w:rsidRPr="000E64FF">
              <w:t xml:space="preserve">   ≤   90°</w:t>
            </w:r>
          </w:p>
        </w:tc>
      </w:tr>
    </w:tbl>
    <w:p w:rsidR="008A265E" w:rsidRDefault="008A265E" w:rsidP="004C4F82">
      <w:pPr>
        <w:ind w:firstLineChars="200" w:firstLine="480"/>
        <w:rPr>
          <w:lang w:eastAsia="zh-CN"/>
        </w:rPr>
      </w:pPr>
      <w:r>
        <w:rPr>
          <w:rFonts w:hint="eastAsia"/>
          <w:lang w:eastAsia="zh-CN"/>
        </w:rPr>
        <w:t>其中</w:t>
      </w:r>
      <w:r>
        <w:sym w:font="Symbol" w:char="F071"/>
      </w:r>
      <w:r>
        <w:rPr>
          <w:rFonts w:hint="eastAsia"/>
          <w:lang w:eastAsia="zh-CN"/>
        </w:rPr>
        <w:t>是射频波的入射角（地平线以上的角度）。</w:t>
      </w:r>
    </w:p>
    <w:p w:rsidR="007B02AF" w:rsidRDefault="008A265E" w:rsidP="004C4F82">
      <w:pPr>
        <w:pStyle w:val="Note"/>
        <w:rPr>
          <w:rFonts w:eastAsia="Calibri"/>
          <w:lang w:eastAsia="zh-CN"/>
        </w:rPr>
      </w:pPr>
      <w:r>
        <w:rPr>
          <w:rFonts w:hint="eastAsia"/>
          <w:lang w:eastAsia="zh-CN"/>
        </w:rPr>
        <w:t>注</w:t>
      </w:r>
      <w:r>
        <w:rPr>
          <w:rFonts w:hint="eastAsia"/>
          <w:lang w:eastAsia="zh-CN"/>
        </w:rPr>
        <w:t xml:space="preserve"> </w:t>
      </w:r>
      <w:r>
        <w:rPr>
          <w:lang w:eastAsia="zh-CN"/>
        </w:rPr>
        <w:t xml:space="preserve">1– </w:t>
      </w:r>
      <w:r>
        <w:rPr>
          <w:rFonts w:hint="eastAsia"/>
          <w:lang w:val="en-US" w:eastAsia="zh-CN"/>
        </w:rPr>
        <w:t>上述限值相应于自由空间传播条件下所得到的</w:t>
      </w:r>
      <w:proofErr w:type="spellStart"/>
      <w:r>
        <w:rPr>
          <w:lang w:val="en-US" w:eastAsia="zh-CN"/>
        </w:rPr>
        <w:t>pfd</w:t>
      </w:r>
      <w:proofErr w:type="spellEnd"/>
      <w:r>
        <w:rPr>
          <w:rFonts w:hint="eastAsia"/>
          <w:lang w:val="en-US" w:eastAsia="zh-CN"/>
        </w:rPr>
        <w:t>和入射角。</w:t>
      </w:r>
    </w:p>
    <w:p w:rsidR="007B02AF" w:rsidRDefault="007B02AF" w:rsidP="00F65FBC">
      <w:pPr>
        <w:pStyle w:val="Heading1"/>
        <w:rPr>
          <w:rFonts w:eastAsia="Calibri"/>
          <w:lang w:val="da-DK" w:eastAsia="de-DE"/>
        </w:rPr>
      </w:pPr>
      <w:r>
        <w:rPr>
          <w:rFonts w:eastAsia="Calibri"/>
          <w:lang w:val="da-DK" w:eastAsia="de-DE"/>
        </w:rPr>
        <w:t>3</w:t>
      </w:r>
      <w:r>
        <w:rPr>
          <w:rFonts w:eastAsia="Calibri"/>
          <w:lang w:val="da-DK" w:eastAsia="de-DE"/>
        </w:rPr>
        <w:tab/>
      </w:r>
      <w:r w:rsidR="00F65FBC">
        <w:rPr>
          <w:rFonts w:hint="eastAsia"/>
          <w:lang w:eastAsia="zh-CN"/>
        </w:rPr>
        <w:t>保护其它卫星固定业务网络</w:t>
      </w:r>
    </w:p>
    <w:p w:rsidR="007B02AF" w:rsidRPr="00F65FBC" w:rsidRDefault="00F65FBC" w:rsidP="00EB784D">
      <w:pPr>
        <w:ind w:firstLineChars="200" w:firstLine="480"/>
        <w:rPr>
          <w:rFonts w:eastAsia="Calibri"/>
          <w:lang w:val="da-DK" w:eastAsia="zh-CN"/>
        </w:rPr>
      </w:pPr>
      <w:r>
        <w:rPr>
          <w:rFonts w:hint="eastAsia"/>
          <w:lang w:eastAsia="zh-CN"/>
        </w:rPr>
        <w:t>使用</w:t>
      </w:r>
      <w:r w:rsidRPr="00F65FBC">
        <w:rPr>
          <w:lang w:val="da-DK" w:eastAsia="zh-CN"/>
        </w:rPr>
        <w:t>CNPC</w:t>
      </w:r>
      <w:r>
        <w:rPr>
          <w:rFonts w:hint="eastAsia"/>
          <w:lang w:eastAsia="zh-CN"/>
        </w:rPr>
        <w:t>的</w:t>
      </w:r>
      <w:r w:rsidRPr="00F65FBC">
        <w:rPr>
          <w:lang w:val="da-DK" w:eastAsia="zh-CN"/>
        </w:rPr>
        <w:t>UA</w:t>
      </w:r>
      <w:r>
        <w:rPr>
          <w:rFonts w:hint="eastAsia"/>
          <w:lang w:eastAsia="zh-CN"/>
        </w:rPr>
        <w:t>的条件</w:t>
      </w:r>
      <w:r w:rsidR="00EB784D">
        <w:rPr>
          <w:rFonts w:hint="eastAsia"/>
          <w:lang w:eastAsia="zh-CN"/>
        </w:rPr>
        <w:t>须为，</w:t>
      </w:r>
      <w:r>
        <w:rPr>
          <w:rFonts w:hint="eastAsia"/>
          <w:lang w:eastAsia="zh-CN"/>
        </w:rPr>
        <w:t>以下述方式保护</w:t>
      </w:r>
      <w:r w:rsidRPr="00F65FBC">
        <w:rPr>
          <w:lang w:val="da-DK" w:eastAsia="zh-CN"/>
        </w:rPr>
        <w:t>FSS</w:t>
      </w:r>
      <w:r>
        <w:rPr>
          <w:rFonts w:hint="eastAsia"/>
          <w:lang w:eastAsia="zh-CN"/>
        </w:rPr>
        <w:t>免受任何有害干扰影响</w:t>
      </w:r>
      <w:r w:rsidR="00EB784D">
        <w:rPr>
          <w:rFonts w:asciiTheme="minorEastAsia" w:eastAsiaTheme="minorEastAsia" w:hAnsiTheme="minorEastAsia" w:hint="eastAsia"/>
          <w:lang w:val="da-DK" w:eastAsia="zh-CN"/>
        </w:rPr>
        <w:t>：</w:t>
      </w:r>
    </w:p>
    <w:p w:rsidR="007B02AF" w:rsidRDefault="00F65FBC" w:rsidP="00EB784D">
      <w:pPr>
        <w:ind w:firstLineChars="200" w:firstLine="480"/>
        <w:rPr>
          <w:rFonts w:eastAsia="Calibri"/>
          <w:lang w:eastAsia="zh-CN"/>
        </w:rPr>
      </w:pPr>
      <w:r>
        <w:rPr>
          <w:rFonts w:eastAsia="Calibri"/>
          <w:lang w:eastAsia="zh-CN"/>
        </w:rPr>
        <w:t>UAS CNPC</w:t>
      </w:r>
      <w:r w:rsidR="00EB784D">
        <w:rPr>
          <w:rFonts w:eastAsiaTheme="minorEastAsia" w:hint="eastAsia"/>
          <w:lang w:eastAsia="zh-CN"/>
        </w:rPr>
        <w:t>在任何时候均</w:t>
      </w:r>
      <w:r>
        <w:rPr>
          <w:rFonts w:eastAsiaTheme="minorEastAsia" w:hint="eastAsia"/>
          <w:lang w:eastAsia="zh-CN"/>
        </w:rPr>
        <w:t>须遵守</w:t>
      </w:r>
      <w:r>
        <w:rPr>
          <w:rFonts w:eastAsia="Calibri"/>
          <w:lang w:eastAsia="zh-CN"/>
        </w:rPr>
        <w:t>ITU-R S.524</w:t>
      </w:r>
      <w:r>
        <w:rPr>
          <w:rFonts w:eastAsiaTheme="minorEastAsia" w:hint="eastAsia"/>
          <w:lang w:eastAsia="zh-CN"/>
        </w:rPr>
        <w:t>建议书或主管部门之间</w:t>
      </w:r>
      <w:r w:rsidR="00EB784D">
        <w:rPr>
          <w:rFonts w:eastAsiaTheme="minorEastAsia" w:hint="eastAsia"/>
          <w:lang w:eastAsia="zh-CN"/>
        </w:rPr>
        <w:t>同意</w:t>
      </w:r>
      <w:r>
        <w:rPr>
          <w:rFonts w:eastAsiaTheme="minorEastAsia" w:hint="eastAsia"/>
          <w:lang w:eastAsia="zh-CN"/>
        </w:rPr>
        <w:t>的其它协调限值。</w:t>
      </w:r>
    </w:p>
    <w:p w:rsidR="007B02AF" w:rsidRPr="00265CA6" w:rsidRDefault="001B5C77" w:rsidP="00265CA6">
      <w:pPr>
        <w:pStyle w:val="Heading1"/>
        <w:rPr>
          <w:lang w:eastAsia="zh-CN"/>
        </w:rPr>
      </w:pPr>
      <w:r w:rsidRPr="00265CA6">
        <w:rPr>
          <w:lang w:eastAsia="zh-CN"/>
        </w:rPr>
        <w:t>4</w:t>
      </w:r>
      <w:r w:rsidRPr="00265CA6">
        <w:rPr>
          <w:lang w:eastAsia="zh-CN"/>
        </w:rPr>
        <w:tab/>
      </w:r>
      <w:r w:rsidRPr="00265CA6">
        <w:rPr>
          <w:rFonts w:hint="eastAsia"/>
          <w:lang w:eastAsia="zh-CN"/>
        </w:rPr>
        <w:t>保护射电天文业务</w:t>
      </w:r>
    </w:p>
    <w:p w:rsidR="007B02AF" w:rsidRDefault="00F65FBC" w:rsidP="00F65FBC">
      <w:pPr>
        <w:ind w:firstLineChars="200" w:firstLine="480"/>
        <w:rPr>
          <w:lang w:eastAsia="zh-CN"/>
        </w:rPr>
      </w:pPr>
      <w:r>
        <w:rPr>
          <w:rFonts w:hint="eastAsia"/>
          <w:lang w:eastAsia="zh-CN"/>
        </w:rPr>
        <w:t>《无线电规则》第</w:t>
      </w:r>
      <w:r>
        <w:rPr>
          <w:b/>
          <w:bCs/>
          <w:lang w:eastAsia="zh-CN"/>
        </w:rPr>
        <w:t>5.149</w:t>
      </w:r>
      <w:r>
        <w:rPr>
          <w:rFonts w:hint="eastAsia"/>
          <w:lang w:eastAsia="zh-CN"/>
        </w:rPr>
        <w:t>款敦促各主管部门采取一切切实可行的措施，保护某些频段（包括</w:t>
      </w:r>
      <w:r>
        <w:rPr>
          <w:lang w:eastAsia="zh-CN"/>
        </w:rPr>
        <w:t>14.47-14.5 GHz</w:t>
      </w:r>
      <w:r>
        <w:rPr>
          <w:rFonts w:hint="eastAsia"/>
          <w:lang w:eastAsia="zh-CN"/>
        </w:rPr>
        <w:t>）</w:t>
      </w:r>
      <w:r>
        <w:rPr>
          <w:rFonts w:hint="eastAsia"/>
          <w:lang w:val="en-US" w:eastAsia="zh-CN"/>
        </w:rPr>
        <w:t>的</w:t>
      </w:r>
      <w:r>
        <w:rPr>
          <w:rFonts w:hint="eastAsia"/>
          <w:lang w:eastAsia="zh-CN"/>
        </w:rPr>
        <w:t>射电天文业务免受有害干扰影响，并指出，空载台站会特别对射电天文业务造成严重干扰。</w:t>
      </w:r>
    </w:p>
    <w:p w:rsidR="00F65FBC" w:rsidRDefault="00F65FBC" w:rsidP="00F65FBC">
      <w:pPr>
        <w:pStyle w:val="Reasons"/>
        <w:ind w:firstLineChars="200" w:firstLine="480"/>
        <w:rPr>
          <w:lang w:eastAsia="zh-CN"/>
        </w:rPr>
      </w:pPr>
      <w:r>
        <w:rPr>
          <w:rFonts w:hint="eastAsia"/>
          <w:lang w:eastAsia="zh-CN"/>
        </w:rPr>
        <w:t>在</w:t>
      </w:r>
      <w:r>
        <w:rPr>
          <w:lang w:eastAsia="zh-CN"/>
        </w:rPr>
        <w:t>14.47-14.5 GHz</w:t>
      </w:r>
      <w:r>
        <w:rPr>
          <w:rFonts w:hint="eastAsia"/>
          <w:lang w:eastAsia="zh-CN"/>
        </w:rPr>
        <w:t>频段内，需要在射电天文业务观测台无线电视距范围内就射电天文台站与运行同频率</w:t>
      </w:r>
      <w:r>
        <w:rPr>
          <w:lang w:eastAsia="zh-CN"/>
        </w:rPr>
        <w:t>UAS CNPC</w:t>
      </w:r>
      <w:r>
        <w:rPr>
          <w:rFonts w:hint="eastAsia"/>
          <w:lang w:eastAsia="zh-CN"/>
        </w:rPr>
        <w:t>（地对空）的</w:t>
      </w:r>
      <w:r>
        <w:rPr>
          <w:lang w:eastAsia="zh-CN"/>
        </w:rPr>
        <w:t>UAS</w:t>
      </w:r>
      <w:r>
        <w:rPr>
          <w:rFonts w:hint="eastAsia"/>
          <w:lang w:eastAsia="zh-CN"/>
        </w:rPr>
        <w:t>进行协商，以解决潜在的不兼容问题。</w:t>
      </w:r>
    </w:p>
    <w:p w:rsidR="00F65FBC" w:rsidRDefault="00F65FBC" w:rsidP="00F65FBC">
      <w:pPr>
        <w:pStyle w:val="Reasons"/>
        <w:ind w:firstLineChars="200" w:firstLine="480"/>
        <w:rPr>
          <w:lang w:eastAsia="zh-CN"/>
        </w:rPr>
      </w:pPr>
    </w:p>
    <w:p w:rsidR="00CC74CF" w:rsidRDefault="00F65FBC" w:rsidP="00E10F98">
      <w:pPr>
        <w:jc w:val="center"/>
      </w:pPr>
      <w:r>
        <w:t>______________</w:t>
      </w:r>
    </w:p>
    <w:sectPr w:rsidR="00CC74C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75" w:rsidRDefault="00456475">
      <w:r>
        <w:separator/>
      </w:r>
    </w:p>
  </w:endnote>
  <w:endnote w:type="continuationSeparator" w:id="0">
    <w:p w:rsidR="00456475" w:rsidRDefault="0045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E10F98">
    <w:pPr>
      <w:pStyle w:val="Footer"/>
      <w:rPr>
        <w:lang w:val="en-US"/>
      </w:rPr>
    </w:pPr>
    <w:r>
      <w:fldChar w:fldCharType="begin"/>
    </w:r>
    <w:r w:rsidRPr="00DA0469">
      <w:rPr>
        <w:lang w:val="en-US"/>
      </w:rPr>
      <w:instrText xml:space="preserve"> FILENAME \p \* MERGEFORMAT </w:instrText>
    </w:r>
    <w:r>
      <w:fldChar w:fldCharType="separate"/>
    </w:r>
    <w:r w:rsidR="00890169">
      <w:rPr>
        <w:lang w:val="en-US"/>
      </w:rPr>
      <w:t>P:\CHI\ITU-R\CONF-R\CMR15\100\125C.docx</w:t>
    </w:r>
    <w:r>
      <w:fldChar w:fldCharType="end"/>
    </w:r>
    <w:r w:rsidR="00E10F98">
      <w:rPr>
        <w:rFonts w:hint="eastAsia"/>
        <w:lang w:eastAsia="zh-CN"/>
      </w:rPr>
      <w:t xml:space="preserve"> (</w:t>
    </w:r>
    <w:r w:rsidR="002A30D4">
      <w:rPr>
        <w:rFonts w:hint="eastAsia"/>
        <w:lang w:eastAsia="zh-CN"/>
      </w:rPr>
      <w:t>388930</w:t>
    </w:r>
    <w:r w:rsidR="00E10F98">
      <w:rPr>
        <w:rFonts w:hint="eastAsia"/>
        <w:lang w:eastAsia="zh-CN"/>
      </w:rPr>
      <w:t>)</w:t>
    </w:r>
    <w:r w:rsidRPr="00DA0469">
      <w:rPr>
        <w:lang w:val="en-US"/>
      </w:rPr>
      <w:tab/>
    </w:r>
    <w:r>
      <w:fldChar w:fldCharType="begin"/>
    </w:r>
    <w:r>
      <w:instrText xml:space="preserve"> savedate \@ dd.MM.yy </w:instrText>
    </w:r>
    <w:r>
      <w:fldChar w:fldCharType="separate"/>
    </w:r>
    <w:r w:rsidR="00890169">
      <w:t>30.10.15</w:t>
    </w:r>
    <w:r>
      <w:fldChar w:fldCharType="end"/>
    </w:r>
    <w:r w:rsidRPr="00DA0469">
      <w:rPr>
        <w:lang w:val="en-US"/>
      </w:rPr>
      <w:tab/>
    </w:r>
    <w:r>
      <w:fldChar w:fldCharType="begin"/>
    </w:r>
    <w:r>
      <w:instrText xml:space="preserve"> printdate \@ dd.MM.yy </w:instrText>
    </w:r>
    <w:r>
      <w:fldChar w:fldCharType="separate"/>
    </w:r>
    <w:r w:rsidR="00890169">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E10F98">
    <w:pPr>
      <w:pStyle w:val="Footer"/>
      <w:rPr>
        <w:lang w:val="en-US"/>
      </w:rPr>
    </w:pPr>
    <w:r>
      <w:fldChar w:fldCharType="begin"/>
    </w:r>
    <w:r w:rsidRPr="00DA0469">
      <w:rPr>
        <w:lang w:val="en-US"/>
      </w:rPr>
      <w:instrText xml:space="preserve"> FILENAME \p \* MERGEFORMAT </w:instrText>
    </w:r>
    <w:r>
      <w:fldChar w:fldCharType="separate"/>
    </w:r>
    <w:r w:rsidR="00890169">
      <w:rPr>
        <w:lang w:val="en-US"/>
      </w:rPr>
      <w:t>P:\CHI\ITU-R\CONF-R\CMR15\100\125C.docx</w:t>
    </w:r>
    <w:r>
      <w:fldChar w:fldCharType="end"/>
    </w:r>
    <w:r w:rsidR="00E10F98">
      <w:rPr>
        <w:rFonts w:hint="eastAsia"/>
        <w:lang w:eastAsia="zh-CN"/>
      </w:rPr>
      <w:t xml:space="preserve"> (</w:t>
    </w:r>
    <w:r w:rsidR="002A30D4">
      <w:rPr>
        <w:rFonts w:hint="eastAsia"/>
        <w:lang w:eastAsia="zh-CN"/>
      </w:rPr>
      <w:t>388930</w:t>
    </w:r>
    <w:r w:rsidR="00E10F98">
      <w:rPr>
        <w:rFonts w:hint="eastAsia"/>
        <w:lang w:eastAsia="zh-CN"/>
      </w:rPr>
      <w:t>)</w:t>
    </w:r>
    <w:r w:rsidRPr="00DA0469">
      <w:rPr>
        <w:lang w:val="en-US"/>
      </w:rPr>
      <w:tab/>
    </w:r>
    <w:r>
      <w:fldChar w:fldCharType="begin"/>
    </w:r>
    <w:r>
      <w:instrText xml:space="preserve"> savedate \@ dd.MM.yy </w:instrText>
    </w:r>
    <w:r>
      <w:fldChar w:fldCharType="separate"/>
    </w:r>
    <w:r w:rsidR="00890169">
      <w:t>30.10.15</w:t>
    </w:r>
    <w:r>
      <w:fldChar w:fldCharType="end"/>
    </w:r>
    <w:r w:rsidRPr="00DA0469">
      <w:rPr>
        <w:lang w:val="en-US"/>
      </w:rPr>
      <w:tab/>
    </w:r>
    <w:r>
      <w:fldChar w:fldCharType="begin"/>
    </w:r>
    <w:r>
      <w:instrText xml:space="preserve"> printdate \@ dd.MM.yy </w:instrText>
    </w:r>
    <w:r>
      <w:fldChar w:fldCharType="separate"/>
    </w:r>
    <w:r w:rsidR="00890169">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75" w:rsidRDefault="00456475">
      <w:r>
        <w:t>____________________</w:t>
      </w:r>
    </w:p>
  </w:footnote>
  <w:footnote w:type="continuationSeparator" w:id="0">
    <w:p w:rsidR="00456475" w:rsidRDefault="0045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9016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5C77"/>
    <w:rsid w:val="001B6360"/>
    <w:rsid w:val="001F4EA6"/>
    <w:rsid w:val="00214959"/>
    <w:rsid w:val="002260A6"/>
    <w:rsid w:val="00265CA6"/>
    <w:rsid w:val="002742B3"/>
    <w:rsid w:val="002A30D4"/>
    <w:rsid w:val="002A4C9C"/>
    <w:rsid w:val="002B509B"/>
    <w:rsid w:val="002E2A59"/>
    <w:rsid w:val="002E4507"/>
    <w:rsid w:val="00305254"/>
    <w:rsid w:val="003169D2"/>
    <w:rsid w:val="003B4BEF"/>
    <w:rsid w:val="003C6B45"/>
    <w:rsid w:val="003E530E"/>
    <w:rsid w:val="0041282E"/>
    <w:rsid w:val="00437869"/>
    <w:rsid w:val="00456475"/>
    <w:rsid w:val="00465A34"/>
    <w:rsid w:val="004952E7"/>
    <w:rsid w:val="004C4554"/>
    <w:rsid w:val="004C4F82"/>
    <w:rsid w:val="004D2DEC"/>
    <w:rsid w:val="004F2BE6"/>
    <w:rsid w:val="004F409C"/>
    <w:rsid w:val="005220C7"/>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43A3A"/>
    <w:rsid w:val="00770D2A"/>
    <w:rsid w:val="007864F6"/>
    <w:rsid w:val="007B02AF"/>
    <w:rsid w:val="007B7C4B"/>
    <w:rsid w:val="007F0FC5"/>
    <w:rsid w:val="007F5C36"/>
    <w:rsid w:val="008047DB"/>
    <w:rsid w:val="0081149A"/>
    <w:rsid w:val="008129A9"/>
    <w:rsid w:val="008221A4"/>
    <w:rsid w:val="00824BD6"/>
    <w:rsid w:val="0083672D"/>
    <w:rsid w:val="00843621"/>
    <w:rsid w:val="00844734"/>
    <w:rsid w:val="00865DFB"/>
    <w:rsid w:val="00890169"/>
    <w:rsid w:val="008A265E"/>
    <w:rsid w:val="008A2683"/>
    <w:rsid w:val="008A7416"/>
    <w:rsid w:val="008B6852"/>
    <w:rsid w:val="008C26FF"/>
    <w:rsid w:val="008C2BF3"/>
    <w:rsid w:val="008D1D14"/>
    <w:rsid w:val="008E1785"/>
    <w:rsid w:val="008E7127"/>
    <w:rsid w:val="008E7C8E"/>
    <w:rsid w:val="00912959"/>
    <w:rsid w:val="009657F9"/>
    <w:rsid w:val="0099525B"/>
    <w:rsid w:val="009A47A6"/>
    <w:rsid w:val="009C67B5"/>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C74CF"/>
    <w:rsid w:val="00CF0AD7"/>
    <w:rsid w:val="00CF0BE1"/>
    <w:rsid w:val="00D52A14"/>
    <w:rsid w:val="00D6206A"/>
    <w:rsid w:val="00D74599"/>
    <w:rsid w:val="00DA0469"/>
    <w:rsid w:val="00DC519E"/>
    <w:rsid w:val="00DD13B7"/>
    <w:rsid w:val="00DF3B0C"/>
    <w:rsid w:val="00E01457"/>
    <w:rsid w:val="00E10F98"/>
    <w:rsid w:val="00E14984"/>
    <w:rsid w:val="00E22A25"/>
    <w:rsid w:val="00E560F1"/>
    <w:rsid w:val="00E92319"/>
    <w:rsid w:val="00EA2A3C"/>
    <w:rsid w:val="00EB784D"/>
    <w:rsid w:val="00F65FBC"/>
    <w:rsid w:val="00F837F4"/>
    <w:rsid w:val="00FC59C4"/>
    <w:rsid w:val="00FD1850"/>
    <w:rsid w:val="00FE0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CC596D-3AA0-46F2-BF39-25E2C987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b0">
    <w:name w:val="heading_b"/>
    <w:basedOn w:val="Heading3"/>
    <w:next w:val="Normal"/>
    <w:rsid w:val="002A30D4"/>
    <w:pPr>
      <w:tabs>
        <w:tab w:val="left" w:pos="567"/>
        <w:tab w:val="left" w:pos="1701"/>
        <w:tab w:val="left" w:pos="2835"/>
      </w:tabs>
      <w:spacing w:before="160"/>
      <w:ind w:left="0" w:firstLine="0"/>
      <w:textAlignment w:val="auto"/>
      <w:outlineLvl w:val="9"/>
    </w:pPr>
    <w:rPr>
      <w:rFonts w:eastAsia="Times New Roman"/>
      <w:bCs/>
      <w:lang w:val="fr-FR"/>
    </w:rPr>
  </w:style>
  <w:style w:type="character" w:customStyle="1" w:styleId="RestitleChar">
    <w:name w:val="Res_title Char"/>
    <w:link w:val="Restitle"/>
    <w:locked/>
    <w:rsid w:val="0081149A"/>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6456">
      <w:bodyDiv w:val="1"/>
      <w:marLeft w:val="0"/>
      <w:marRight w:val="0"/>
      <w:marTop w:val="0"/>
      <w:marBottom w:val="0"/>
      <w:divBdr>
        <w:top w:val="none" w:sz="0" w:space="0" w:color="auto"/>
        <w:left w:val="none" w:sz="0" w:space="0" w:color="auto"/>
        <w:bottom w:val="none" w:sz="0" w:space="0" w:color="auto"/>
        <w:right w:val="none" w:sz="0" w:space="0" w:color="auto"/>
      </w:divBdr>
    </w:div>
    <w:div w:id="1097945684">
      <w:bodyDiv w:val="1"/>
      <w:marLeft w:val="0"/>
      <w:marRight w:val="0"/>
      <w:marTop w:val="0"/>
      <w:marBottom w:val="0"/>
      <w:divBdr>
        <w:top w:val="none" w:sz="0" w:space="0" w:color="auto"/>
        <w:left w:val="none" w:sz="0" w:space="0" w:color="auto"/>
        <w:bottom w:val="none" w:sz="0" w:space="0" w:color="auto"/>
        <w:right w:val="none" w:sz="0" w:space="0" w:color="auto"/>
      </w:divBdr>
    </w:div>
    <w:div w:id="1125150568">
      <w:bodyDiv w:val="1"/>
      <w:marLeft w:val="0"/>
      <w:marRight w:val="0"/>
      <w:marTop w:val="0"/>
      <w:marBottom w:val="0"/>
      <w:divBdr>
        <w:top w:val="none" w:sz="0" w:space="0" w:color="auto"/>
        <w:left w:val="none" w:sz="0" w:space="0" w:color="auto"/>
        <w:bottom w:val="none" w:sz="0" w:space="0" w:color="auto"/>
        <w:right w:val="none" w:sz="0" w:space="0" w:color="auto"/>
      </w:divBdr>
    </w:div>
    <w:div w:id="162758908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281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3356-BF67-4584-8975-D9C75F3EB92E}">
  <ds:schemaRefs>
    <ds:schemaRef ds:uri="32a1a8c5-2265-4ebc-b7a0-2071e2c5c9bb"/>
    <ds:schemaRef ds:uri="http://schemas.microsoft.com/office/2006/metadata/propertie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1684</Words>
  <Characters>2165</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R15-WRC15-C-0125!!MSW-C</vt:lpstr>
    </vt:vector>
  </TitlesOfParts>
  <Manager>General Secretariat - Pool</Manager>
  <Company>International Telecommunication Union (ITU)</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R15-WRC15-C-0125!!MSW-C</dc:title>
  <dc:subject>World Radiocommunication Conference - 2015</dc:subject>
  <dc:creator>Documents Proposals Manager (DPM)</dc:creator>
  <cp:keywords>DPM_v5.2015.10.230_prod</cp:keywords>
  <dc:description/>
  <cp:lastModifiedBy>Wang, Yujia</cp:lastModifiedBy>
  <cp:revision>10</cp:revision>
  <cp:lastPrinted>2015-10-30T11:15:00Z</cp:lastPrinted>
  <dcterms:created xsi:type="dcterms:W3CDTF">2015-10-30T10:55:00Z</dcterms:created>
  <dcterms:modified xsi:type="dcterms:W3CDTF">2015-10-30T11:15:00Z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