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D2817" w:rsidTr="0050008E">
        <w:trPr>
          <w:cantSplit/>
        </w:trPr>
        <w:tc>
          <w:tcPr>
            <w:tcW w:w="6911" w:type="dxa"/>
          </w:tcPr>
          <w:p w:rsidR="00BB1D82" w:rsidRPr="004D2817" w:rsidRDefault="00851625" w:rsidP="004D2817">
            <w:pPr>
              <w:spacing w:before="400" w:after="48"/>
              <w:rPr>
                <w:rFonts w:ascii="Verdana" w:hAnsi="Verdana"/>
                <w:b/>
                <w:bCs/>
                <w:sz w:val="20"/>
                <w:lang w:val="fr-CH"/>
              </w:rPr>
            </w:pPr>
            <w:r w:rsidRPr="004D2817">
              <w:rPr>
                <w:rFonts w:ascii="Verdana" w:hAnsi="Verdana"/>
                <w:b/>
                <w:bCs/>
                <w:sz w:val="20"/>
                <w:lang w:val="fr-CH"/>
              </w:rPr>
              <w:t>Conférence mondiale des radiocommunications (CMR-15)</w:t>
            </w:r>
            <w:r w:rsidRPr="004D2817">
              <w:rPr>
                <w:rFonts w:ascii="Verdana" w:hAnsi="Verdana"/>
                <w:b/>
                <w:bCs/>
                <w:sz w:val="20"/>
                <w:lang w:val="fr-CH"/>
              </w:rPr>
              <w:br/>
            </w:r>
            <w:r w:rsidRPr="004D2817">
              <w:rPr>
                <w:rFonts w:ascii="Verdana" w:hAnsi="Verdana"/>
                <w:b/>
                <w:bCs/>
                <w:sz w:val="18"/>
                <w:szCs w:val="18"/>
                <w:lang w:val="fr-CH"/>
              </w:rPr>
              <w:t>Genève,</w:t>
            </w:r>
            <w:r w:rsidR="00E537FF" w:rsidRPr="004D2817">
              <w:rPr>
                <w:rFonts w:ascii="Verdana" w:hAnsi="Verdana"/>
                <w:b/>
                <w:bCs/>
                <w:sz w:val="18"/>
                <w:szCs w:val="18"/>
                <w:lang w:val="fr-CH"/>
              </w:rPr>
              <w:t xml:space="preserve"> </w:t>
            </w:r>
            <w:r w:rsidRPr="004D2817">
              <w:rPr>
                <w:rFonts w:ascii="Verdana" w:hAnsi="Verdana"/>
                <w:b/>
                <w:bCs/>
                <w:sz w:val="18"/>
                <w:szCs w:val="18"/>
                <w:lang w:val="fr-CH"/>
              </w:rPr>
              <w:t>2-27 novembre 2015</w:t>
            </w:r>
          </w:p>
        </w:tc>
        <w:tc>
          <w:tcPr>
            <w:tcW w:w="3120" w:type="dxa"/>
          </w:tcPr>
          <w:p w:rsidR="00BB1D82" w:rsidRPr="004D2817" w:rsidRDefault="002C28A4" w:rsidP="004D2817">
            <w:pPr>
              <w:spacing w:before="0"/>
              <w:jc w:val="right"/>
              <w:rPr>
                <w:lang w:val="en-US"/>
              </w:rPr>
            </w:pPr>
            <w:bookmarkStart w:id="0" w:name="ditulogo"/>
            <w:bookmarkEnd w:id="0"/>
            <w:r w:rsidRPr="004D2817">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D2817" w:rsidTr="0050008E">
        <w:trPr>
          <w:cantSplit/>
        </w:trPr>
        <w:tc>
          <w:tcPr>
            <w:tcW w:w="6911" w:type="dxa"/>
            <w:tcBorders>
              <w:bottom w:val="single" w:sz="12" w:space="0" w:color="auto"/>
            </w:tcBorders>
          </w:tcPr>
          <w:p w:rsidR="00BB1D82" w:rsidRPr="004D2817" w:rsidRDefault="002C28A4" w:rsidP="004D2817">
            <w:pPr>
              <w:spacing w:before="0" w:after="48"/>
              <w:rPr>
                <w:b/>
                <w:smallCaps/>
                <w:szCs w:val="24"/>
                <w:lang w:val="en-US"/>
              </w:rPr>
            </w:pPr>
            <w:bookmarkStart w:id="1" w:name="dhead"/>
            <w:r w:rsidRPr="004D2817">
              <w:rPr>
                <w:rFonts w:ascii="Verdana" w:hAnsi="Verdana"/>
                <w:b/>
                <w:bCs/>
                <w:sz w:val="20"/>
              </w:rPr>
              <w:t>UNION INTERNATIONALE DES TÉLÉCOMMUNICATIONS</w:t>
            </w:r>
          </w:p>
        </w:tc>
        <w:tc>
          <w:tcPr>
            <w:tcW w:w="3120" w:type="dxa"/>
            <w:tcBorders>
              <w:bottom w:val="single" w:sz="12" w:space="0" w:color="auto"/>
            </w:tcBorders>
          </w:tcPr>
          <w:p w:rsidR="00BB1D82" w:rsidRPr="004D2817" w:rsidRDefault="00BB1D82" w:rsidP="004D2817">
            <w:pPr>
              <w:spacing w:before="0"/>
              <w:rPr>
                <w:rFonts w:ascii="Verdana" w:hAnsi="Verdana"/>
                <w:szCs w:val="24"/>
                <w:lang w:val="en-US"/>
              </w:rPr>
            </w:pPr>
          </w:p>
        </w:tc>
      </w:tr>
      <w:tr w:rsidR="00BB1D82" w:rsidRPr="004D2817" w:rsidTr="00BB1D82">
        <w:trPr>
          <w:cantSplit/>
        </w:trPr>
        <w:tc>
          <w:tcPr>
            <w:tcW w:w="6911" w:type="dxa"/>
            <w:tcBorders>
              <w:top w:val="single" w:sz="12" w:space="0" w:color="auto"/>
            </w:tcBorders>
          </w:tcPr>
          <w:p w:rsidR="00BB1D82" w:rsidRPr="004D2817" w:rsidRDefault="00BB1D82" w:rsidP="004D2817">
            <w:pPr>
              <w:spacing w:before="0" w:after="48"/>
              <w:rPr>
                <w:rFonts w:ascii="Verdana" w:hAnsi="Verdana"/>
                <w:b/>
                <w:smallCaps/>
                <w:sz w:val="20"/>
                <w:lang w:val="en-US"/>
              </w:rPr>
            </w:pPr>
          </w:p>
        </w:tc>
        <w:tc>
          <w:tcPr>
            <w:tcW w:w="3120" w:type="dxa"/>
            <w:tcBorders>
              <w:top w:val="single" w:sz="12" w:space="0" w:color="auto"/>
            </w:tcBorders>
          </w:tcPr>
          <w:p w:rsidR="00BB1D82" w:rsidRPr="004D2817" w:rsidRDefault="00BB1D82" w:rsidP="004D2817">
            <w:pPr>
              <w:spacing w:before="0"/>
              <w:rPr>
                <w:rFonts w:ascii="Verdana" w:hAnsi="Verdana"/>
                <w:sz w:val="20"/>
                <w:lang w:val="en-US"/>
              </w:rPr>
            </w:pPr>
          </w:p>
        </w:tc>
      </w:tr>
      <w:tr w:rsidR="00BB1D82" w:rsidRPr="004D2817" w:rsidTr="00BB1D82">
        <w:trPr>
          <w:cantSplit/>
        </w:trPr>
        <w:tc>
          <w:tcPr>
            <w:tcW w:w="6911" w:type="dxa"/>
            <w:shd w:val="clear" w:color="auto" w:fill="auto"/>
          </w:tcPr>
          <w:p w:rsidR="00BB1D82" w:rsidRPr="004D2817" w:rsidRDefault="006D4724" w:rsidP="004D2817">
            <w:pPr>
              <w:spacing w:before="0"/>
              <w:rPr>
                <w:rFonts w:ascii="Verdana" w:hAnsi="Verdana"/>
                <w:b/>
                <w:sz w:val="20"/>
                <w:lang w:val="en-US"/>
              </w:rPr>
            </w:pPr>
            <w:r w:rsidRPr="004D2817">
              <w:rPr>
                <w:rFonts w:ascii="Verdana" w:hAnsi="Verdana"/>
                <w:b/>
                <w:sz w:val="20"/>
                <w:lang w:val="en-US"/>
              </w:rPr>
              <w:t>SÉANCE PLÉNIÈRE</w:t>
            </w:r>
          </w:p>
        </w:tc>
        <w:tc>
          <w:tcPr>
            <w:tcW w:w="3120" w:type="dxa"/>
            <w:shd w:val="clear" w:color="auto" w:fill="auto"/>
          </w:tcPr>
          <w:p w:rsidR="00BB1D82" w:rsidRPr="004D2817" w:rsidRDefault="006D4724" w:rsidP="004D2817">
            <w:pPr>
              <w:spacing w:before="0"/>
              <w:rPr>
                <w:rFonts w:ascii="Verdana" w:hAnsi="Verdana"/>
                <w:sz w:val="20"/>
                <w:lang w:val="en-US"/>
              </w:rPr>
            </w:pPr>
            <w:r w:rsidRPr="004D2817">
              <w:rPr>
                <w:rFonts w:ascii="Verdana" w:eastAsia="SimSun" w:hAnsi="Verdana" w:cs="Traditional Arabic"/>
                <w:b/>
                <w:sz w:val="20"/>
                <w:lang w:val="en-US"/>
              </w:rPr>
              <w:t>Document 125</w:t>
            </w:r>
            <w:r w:rsidR="00BB1D82" w:rsidRPr="004D2817">
              <w:rPr>
                <w:rFonts w:ascii="Verdana" w:hAnsi="Verdana"/>
                <w:b/>
                <w:sz w:val="20"/>
                <w:lang w:val="en-US"/>
              </w:rPr>
              <w:t>-</w:t>
            </w:r>
            <w:r w:rsidRPr="004D2817">
              <w:rPr>
                <w:rFonts w:ascii="Verdana" w:hAnsi="Verdana"/>
                <w:b/>
                <w:sz w:val="20"/>
                <w:lang w:val="en-US"/>
              </w:rPr>
              <w:t>F</w:t>
            </w:r>
          </w:p>
        </w:tc>
      </w:tr>
      <w:bookmarkEnd w:id="1"/>
      <w:tr w:rsidR="00690C7B" w:rsidRPr="004D2817" w:rsidTr="00BB1D82">
        <w:trPr>
          <w:cantSplit/>
        </w:trPr>
        <w:tc>
          <w:tcPr>
            <w:tcW w:w="6911" w:type="dxa"/>
            <w:shd w:val="clear" w:color="auto" w:fill="auto"/>
          </w:tcPr>
          <w:p w:rsidR="00690C7B" w:rsidRPr="004D2817" w:rsidRDefault="00690C7B" w:rsidP="004D2817">
            <w:pPr>
              <w:spacing w:before="0"/>
              <w:rPr>
                <w:rFonts w:ascii="Verdana" w:hAnsi="Verdana"/>
                <w:b/>
                <w:sz w:val="20"/>
                <w:lang w:val="en-US"/>
              </w:rPr>
            </w:pPr>
          </w:p>
        </w:tc>
        <w:tc>
          <w:tcPr>
            <w:tcW w:w="3120" w:type="dxa"/>
            <w:shd w:val="clear" w:color="auto" w:fill="auto"/>
          </w:tcPr>
          <w:p w:rsidR="00690C7B" w:rsidRPr="004D2817" w:rsidRDefault="00690C7B" w:rsidP="004D2817">
            <w:pPr>
              <w:spacing w:before="0"/>
              <w:rPr>
                <w:rFonts w:ascii="Verdana" w:hAnsi="Verdana"/>
                <w:b/>
                <w:sz w:val="20"/>
                <w:lang w:val="en-US"/>
              </w:rPr>
            </w:pPr>
            <w:r w:rsidRPr="004D2817">
              <w:rPr>
                <w:rFonts w:ascii="Verdana" w:hAnsi="Verdana"/>
                <w:b/>
                <w:sz w:val="20"/>
                <w:lang w:val="en-US"/>
              </w:rPr>
              <w:t>19 octobre 2015</w:t>
            </w:r>
          </w:p>
        </w:tc>
      </w:tr>
      <w:tr w:rsidR="00690C7B" w:rsidRPr="004D2817" w:rsidTr="00BB1D82">
        <w:trPr>
          <w:cantSplit/>
        </w:trPr>
        <w:tc>
          <w:tcPr>
            <w:tcW w:w="6911" w:type="dxa"/>
          </w:tcPr>
          <w:p w:rsidR="00690C7B" w:rsidRPr="004D2817" w:rsidRDefault="00690C7B" w:rsidP="004D2817">
            <w:pPr>
              <w:spacing w:before="0" w:after="48"/>
              <w:rPr>
                <w:rFonts w:ascii="Verdana" w:hAnsi="Verdana"/>
                <w:b/>
                <w:smallCaps/>
                <w:sz w:val="20"/>
                <w:lang w:val="en-US"/>
              </w:rPr>
            </w:pPr>
          </w:p>
        </w:tc>
        <w:tc>
          <w:tcPr>
            <w:tcW w:w="3120" w:type="dxa"/>
          </w:tcPr>
          <w:p w:rsidR="00690C7B" w:rsidRPr="004D2817" w:rsidRDefault="00690C7B" w:rsidP="004D2817">
            <w:pPr>
              <w:spacing w:before="0"/>
              <w:rPr>
                <w:rFonts w:ascii="Verdana" w:hAnsi="Verdana"/>
                <w:b/>
                <w:sz w:val="20"/>
                <w:lang w:val="en-US"/>
              </w:rPr>
            </w:pPr>
            <w:r w:rsidRPr="004D2817">
              <w:rPr>
                <w:rFonts w:ascii="Verdana" w:hAnsi="Verdana"/>
                <w:b/>
                <w:sz w:val="20"/>
                <w:lang w:val="en-US"/>
              </w:rPr>
              <w:t>Original: anglais</w:t>
            </w:r>
          </w:p>
        </w:tc>
      </w:tr>
      <w:tr w:rsidR="00690C7B" w:rsidRPr="004D2817" w:rsidTr="00C11970">
        <w:trPr>
          <w:cantSplit/>
        </w:trPr>
        <w:tc>
          <w:tcPr>
            <w:tcW w:w="10031" w:type="dxa"/>
            <w:gridSpan w:val="2"/>
          </w:tcPr>
          <w:p w:rsidR="00690C7B" w:rsidRPr="004D2817" w:rsidRDefault="00690C7B" w:rsidP="004D2817">
            <w:pPr>
              <w:spacing w:before="0"/>
              <w:rPr>
                <w:rFonts w:ascii="Verdana" w:hAnsi="Verdana"/>
                <w:b/>
                <w:sz w:val="20"/>
                <w:lang w:val="en-US"/>
              </w:rPr>
            </w:pPr>
          </w:p>
        </w:tc>
      </w:tr>
      <w:tr w:rsidR="00690C7B" w:rsidRPr="004D2817" w:rsidTr="0050008E">
        <w:trPr>
          <w:cantSplit/>
        </w:trPr>
        <w:tc>
          <w:tcPr>
            <w:tcW w:w="10031" w:type="dxa"/>
            <w:gridSpan w:val="2"/>
          </w:tcPr>
          <w:p w:rsidR="00690C7B" w:rsidRPr="004D2817" w:rsidRDefault="00690C7B" w:rsidP="004D2817">
            <w:pPr>
              <w:pStyle w:val="Source"/>
              <w:rPr>
                <w:lang w:val="en-US"/>
              </w:rPr>
            </w:pPr>
            <w:bookmarkStart w:id="2" w:name="dsource" w:colFirst="0" w:colLast="0"/>
            <w:r w:rsidRPr="004D2817">
              <w:rPr>
                <w:lang w:val="en-US"/>
              </w:rPr>
              <w:t>Allemagne (République fédérale d')</w:t>
            </w:r>
          </w:p>
        </w:tc>
      </w:tr>
      <w:tr w:rsidR="00690C7B" w:rsidRPr="004D2817" w:rsidTr="0050008E">
        <w:trPr>
          <w:cantSplit/>
        </w:trPr>
        <w:tc>
          <w:tcPr>
            <w:tcW w:w="10031" w:type="dxa"/>
            <w:gridSpan w:val="2"/>
          </w:tcPr>
          <w:p w:rsidR="00690C7B" w:rsidRPr="004D2817" w:rsidRDefault="004D68B2" w:rsidP="004D2817">
            <w:pPr>
              <w:pStyle w:val="Title1"/>
              <w:rPr>
                <w:lang w:val="fr-CH"/>
              </w:rPr>
            </w:pPr>
            <w:bookmarkStart w:id="3" w:name="dtitle1" w:colFirst="0" w:colLast="0"/>
            <w:bookmarkEnd w:id="2"/>
            <w:r w:rsidRPr="004D2817">
              <w:rPr>
                <w:lang w:val="fr-CH"/>
              </w:rPr>
              <w:t>PROPOSITIONS POUR LES TRAVAUX DE LA CONFÉRENCE</w:t>
            </w:r>
          </w:p>
        </w:tc>
      </w:tr>
      <w:tr w:rsidR="00690C7B" w:rsidRPr="004D2817" w:rsidTr="0050008E">
        <w:trPr>
          <w:cantSplit/>
        </w:trPr>
        <w:tc>
          <w:tcPr>
            <w:tcW w:w="10031" w:type="dxa"/>
            <w:gridSpan w:val="2"/>
          </w:tcPr>
          <w:p w:rsidR="00690C7B" w:rsidRPr="004D2817" w:rsidRDefault="00690C7B" w:rsidP="004D2817">
            <w:pPr>
              <w:pStyle w:val="Title2"/>
              <w:rPr>
                <w:lang w:val="fr-CH"/>
              </w:rPr>
            </w:pPr>
            <w:bookmarkStart w:id="4" w:name="dtitle2" w:colFirst="0" w:colLast="0"/>
            <w:bookmarkEnd w:id="3"/>
          </w:p>
        </w:tc>
      </w:tr>
      <w:tr w:rsidR="00690C7B" w:rsidRPr="004D2817" w:rsidTr="0050008E">
        <w:trPr>
          <w:cantSplit/>
        </w:trPr>
        <w:tc>
          <w:tcPr>
            <w:tcW w:w="10031" w:type="dxa"/>
            <w:gridSpan w:val="2"/>
          </w:tcPr>
          <w:p w:rsidR="00690C7B" w:rsidRPr="004D2817" w:rsidRDefault="00690C7B" w:rsidP="004D2817">
            <w:pPr>
              <w:pStyle w:val="Agendaitem"/>
            </w:pPr>
            <w:bookmarkStart w:id="5" w:name="dtitle3" w:colFirst="0" w:colLast="0"/>
            <w:bookmarkEnd w:id="4"/>
            <w:r w:rsidRPr="004D2817">
              <w:t>Point 1.5 de l'ordre du jour</w:t>
            </w:r>
          </w:p>
        </w:tc>
      </w:tr>
    </w:tbl>
    <w:bookmarkEnd w:id="5"/>
    <w:p w:rsidR="001C0E40" w:rsidRPr="004D2817" w:rsidRDefault="00BA5831" w:rsidP="004D2817">
      <w:pPr>
        <w:rPr>
          <w:lang w:val="fr-CA"/>
        </w:rPr>
      </w:pPr>
      <w:r w:rsidRPr="004D2817">
        <w:rPr>
          <w:lang w:val="fr-CA"/>
        </w:rPr>
        <w:t>1.5</w:t>
      </w:r>
      <w:r w:rsidRPr="004D2817">
        <w:rPr>
          <w:lang w:val="fr-CA"/>
        </w:rPr>
        <w:tab/>
        <w:t xml:space="preserve">examiner l'utilisation des bandes de fréquences attribuées au service fixe par satellite qui ne relèvent pas des Appendices </w:t>
      </w:r>
      <w:r w:rsidRPr="004D2817">
        <w:rPr>
          <w:b/>
          <w:bCs/>
          <w:lang w:val="fr-CA"/>
        </w:rPr>
        <w:t>30</w:t>
      </w:r>
      <w:r w:rsidRPr="004D2817">
        <w:rPr>
          <w:lang w:val="fr-CA"/>
        </w:rPr>
        <w:t xml:space="preserve">, </w:t>
      </w:r>
      <w:r w:rsidRPr="004D2817">
        <w:rPr>
          <w:b/>
          <w:bCs/>
          <w:lang w:val="fr-CA"/>
        </w:rPr>
        <w:t>30A</w:t>
      </w:r>
      <w:r w:rsidRPr="004D2817">
        <w:rPr>
          <w:lang w:val="fr-CA"/>
        </w:rPr>
        <w:t xml:space="preserve"> et </w:t>
      </w:r>
      <w:r w:rsidRPr="004D2817">
        <w:rPr>
          <w:b/>
          <w:bCs/>
          <w:lang w:val="fr-CA"/>
        </w:rPr>
        <w:t>30B</w:t>
      </w:r>
      <w:r w:rsidRPr="004D2817">
        <w:rPr>
          <w:lang w:val="fr-CA"/>
        </w:rPr>
        <w:t xml:space="preserve"> pour les communications de contrôle et non associées à la charge utile des systèmes d'aéronef sans pilote (UAS) dans les espaces aériens non réservés, conformément à la Résolution </w:t>
      </w:r>
      <w:r w:rsidRPr="004D2817">
        <w:rPr>
          <w:b/>
          <w:bCs/>
          <w:lang w:val="fr-CA"/>
        </w:rPr>
        <w:t>153 (CMR-12)</w:t>
      </w:r>
      <w:r w:rsidRPr="004D2817">
        <w:rPr>
          <w:lang w:val="fr-CA"/>
        </w:rPr>
        <w:t>;</w:t>
      </w:r>
    </w:p>
    <w:p w:rsidR="004D68B2" w:rsidRPr="004D2817" w:rsidRDefault="004D68B2" w:rsidP="004D2817">
      <w:pPr>
        <w:pStyle w:val="headingb0"/>
        <w:rPr>
          <w:lang w:val="fr-CH"/>
        </w:rPr>
      </w:pPr>
      <w:r w:rsidRPr="004D2817">
        <w:rPr>
          <w:lang w:val="fr-CH"/>
        </w:rPr>
        <w:t>Introduction</w:t>
      </w:r>
    </w:p>
    <w:p w:rsidR="00A12712" w:rsidRPr="004D2817" w:rsidRDefault="003D0FE7" w:rsidP="004D2817">
      <w:pPr>
        <w:rPr>
          <w:lang w:val="fr-CH"/>
        </w:rPr>
      </w:pPr>
      <w:r w:rsidRPr="004D2817">
        <w:rPr>
          <w:lang w:val="fr-CH"/>
        </w:rPr>
        <w:t>Le Groupe de travail 5B de l'</w:t>
      </w:r>
      <w:r w:rsidR="004D68B2" w:rsidRPr="004D2817">
        <w:rPr>
          <w:lang w:val="fr-CH"/>
        </w:rPr>
        <w:t>U</w:t>
      </w:r>
      <w:r w:rsidRPr="004D2817">
        <w:rPr>
          <w:lang w:val="fr-CH"/>
        </w:rPr>
        <w:t>IT</w:t>
      </w:r>
      <w:r w:rsidR="004D68B2" w:rsidRPr="004D2817">
        <w:rPr>
          <w:lang w:val="fr-CH"/>
        </w:rPr>
        <w:t xml:space="preserve">-R </w:t>
      </w:r>
      <w:r w:rsidRPr="004D2817">
        <w:rPr>
          <w:lang w:val="fr-CH"/>
        </w:rPr>
        <w:t xml:space="preserve">(GT </w:t>
      </w:r>
      <w:r w:rsidR="004D68B2" w:rsidRPr="004D2817">
        <w:rPr>
          <w:lang w:val="fr-CH"/>
        </w:rPr>
        <w:t xml:space="preserve">5B) </w:t>
      </w:r>
      <w:r w:rsidRPr="004D2817">
        <w:rPr>
          <w:lang w:val="fr-CH"/>
        </w:rPr>
        <w:t>a mené des études de partage détaillées avec les services existants pour</w:t>
      </w:r>
      <w:r w:rsidR="004D68B2" w:rsidRPr="004D2817">
        <w:rPr>
          <w:lang w:val="fr-CH"/>
        </w:rPr>
        <w:t xml:space="preserve"> </w:t>
      </w:r>
      <w:r w:rsidR="003D0207" w:rsidRPr="004D2817">
        <w:rPr>
          <w:lang w:val="fr-CH"/>
        </w:rPr>
        <w:t>définir</w:t>
      </w:r>
      <w:r w:rsidRPr="004D2817">
        <w:rPr>
          <w:lang w:val="fr-CH"/>
        </w:rPr>
        <w:t xml:space="preserve"> les</w:t>
      </w:r>
      <w:r w:rsidR="004D68B2" w:rsidRPr="004D2817">
        <w:rPr>
          <w:lang w:val="fr-CH"/>
        </w:rPr>
        <w:t xml:space="preserve"> conditions </w:t>
      </w:r>
      <w:r w:rsidR="003D0207" w:rsidRPr="004D2817">
        <w:rPr>
          <w:lang w:val="fr-CH"/>
        </w:rPr>
        <w:t>applicables à l</w:t>
      </w:r>
      <w:r w:rsidRPr="004D2817">
        <w:rPr>
          <w:lang w:val="fr-CH"/>
        </w:rPr>
        <w:t xml:space="preserve">'exploitation des liaisons radioélectriques </w:t>
      </w:r>
      <w:r w:rsidR="00A12712" w:rsidRPr="004D2817">
        <w:rPr>
          <w:lang w:val="fr-CH"/>
        </w:rPr>
        <w:t>utilisées pour les communications de contrôle et non associées à la charge utile des systèmes d'aéronef sans pilote (UAS) au-delà de la visibilité directe (BLOS). Ces liaisons radioélectriques ont été examinées en tant qu'application des systèmes à satellites et réseaux à satellite exploités dans le service fixe par satellite (SFS).</w:t>
      </w:r>
    </w:p>
    <w:p w:rsidR="004D68B2" w:rsidRPr="004D2817" w:rsidRDefault="00BC25C6" w:rsidP="004D2817">
      <w:pPr>
        <w:rPr>
          <w:lang w:val="fr-CH"/>
        </w:rPr>
      </w:pPr>
      <w:r w:rsidRPr="004D2817">
        <w:rPr>
          <w:lang w:val="fr-CH"/>
        </w:rPr>
        <w:t xml:space="preserve">Les résultats des études montrent que pour </w:t>
      </w:r>
      <w:r w:rsidR="00351258" w:rsidRPr="004D2817">
        <w:rPr>
          <w:lang w:val="fr-CH"/>
        </w:rPr>
        <w:t xml:space="preserve">continuer de respecter le cadre réglementaire du SFS et pour assurer la compatibilité des stations </w:t>
      </w:r>
      <w:r w:rsidR="003D0207" w:rsidRPr="004D2817">
        <w:rPr>
          <w:lang w:val="fr-CH"/>
        </w:rPr>
        <w:t>à bord</w:t>
      </w:r>
      <w:r w:rsidR="00351258" w:rsidRPr="004D2817">
        <w:rPr>
          <w:lang w:val="fr-CH"/>
        </w:rPr>
        <w:t xml:space="preserve"> </w:t>
      </w:r>
      <w:r w:rsidR="00351258" w:rsidRPr="004D2817">
        <w:t>d'</w:t>
      </w:r>
      <w:r w:rsidR="00351258" w:rsidRPr="004D2817">
        <w:rPr>
          <w:lang w:val="fr-CH"/>
        </w:rPr>
        <w:t xml:space="preserve">aéronefs sans pilote/télépilotés et des stations fonctionnant dans le service fixe (SF), certaines conditions techniques et opérationnelles doivent être remplies. Ces conditions techniques, opérationnelles et réglementaires ont été </w:t>
      </w:r>
      <w:r w:rsidR="003D0207" w:rsidRPr="004D2817">
        <w:rPr>
          <w:lang w:val="fr-CH"/>
        </w:rPr>
        <w:t>définies</w:t>
      </w:r>
      <w:r w:rsidR="00351258" w:rsidRPr="004D2817">
        <w:rPr>
          <w:lang w:val="fr-CH"/>
        </w:rPr>
        <w:t xml:space="preserve"> et </w:t>
      </w:r>
      <w:r w:rsidR="003D0207" w:rsidRPr="004D2817">
        <w:rPr>
          <w:lang w:val="fr-CH"/>
        </w:rPr>
        <w:t xml:space="preserve">figurent </w:t>
      </w:r>
      <w:r w:rsidR="00351258" w:rsidRPr="004D2817">
        <w:rPr>
          <w:lang w:val="fr-CH"/>
        </w:rPr>
        <w:t>dans le présent document en tant que partie intégrante d'une nouvelle Résolution de la CMR.</w:t>
      </w:r>
    </w:p>
    <w:p w:rsidR="00351258" w:rsidRPr="004D2817" w:rsidRDefault="00351258" w:rsidP="004D2817">
      <w:pPr>
        <w:rPr>
          <w:lang w:val="fr-CH"/>
        </w:rPr>
      </w:pPr>
      <w:r w:rsidRPr="004D2817">
        <w:rPr>
          <w:lang w:val="fr-CH"/>
        </w:rPr>
        <w:t>Les méthodes</w:t>
      </w:r>
      <w:r w:rsidR="003D0207" w:rsidRPr="004D2817">
        <w:rPr>
          <w:lang w:val="fr-CH"/>
        </w:rPr>
        <w:t xml:space="preserve"> utilisées</w:t>
      </w:r>
      <w:r w:rsidRPr="004D2817">
        <w:rPr>
          <w:lang w:val="fr-CH"/>
        </w:rPr>
        <w:t xml:space="preserve"> et les hypothèses </w:t>
      </w:r>
      <w:r w:rsidR="003D0207" w:rsidRPr="004D2817">
        <w:rPr>
          <w:lang w:val="fr-CH"/>
        </w:rPr>
        <w:t>retenues pour l</w:t>
      </w:r>
      <w:r w:rsidRPr="004D2817">
        <w:rPr>
          <w:lang w:val="fr-CH"/>
        </w:rPr>
        <w:t xml:space="preserve">es études sont décrites en détail dans un Rapport de l'UIT-R, qui, pour plusieurs raisons, n'a pas pu être achevé et n'a pas été approuvé à la dernière réunion du GT 5B tenue à Bucarest. Toutefois, certaines administrations, y compris </w:t>
      </w:r>
      <w:r w:rsidR="004D2817" w:rsidRPr="004D2817">
        <w:rPr>
          <w:lang w:val="fr-CH"/>
        </w:rPr>
        <w:t>celle</w:t>
      </w:r>
      <w:r w:rsidRPr="004D2817">
        <w:rPr>
          <w:lang w:val="fr-CH"/>
        </w:rPr>
        <w:t xml:space="preserve"> </w:t>
      </w:r>
      <w:r w:rsidR="00CE31EC" w:rsidRPr="004D2817">
        <w:rPr>
          <w:lang w:val="fr-CH"/>
        </w:rPr>
        <w:t>qui soumet</w:t>
      </w:r>
      <w:r w:rsidRPr="004D2817">
        <w:rPr>
          <w:lang w:val="fr-CH"/>
        </w:rPr>
        <w:t xml:space="preserve"> le présent document</w:t>
      </w:r>
      <w:r w:rsidR="00CE31EC" w:rsidRPr="004D2817">
        <w:rPr>
          <w:lang w:val="fr-CH"/>
        </w:rPr>
        <w:t xml:space="preserve">, se sont employées à terminer le document de travail </w:t>
      </w:r>
      <w:r w:rsidR="003D0207" w:rsidRPr="004D2817">
        <w:rPr>
          <w:lang w:val="fr-CH"/>
        </w:rPr>
        <w:t>en vue du</w:t>
      </w:r>
      <w:r w:rsidR="00CE31EC" w:rsidRPr="004D2817">
        <w:rPr>
          <w:lang w:val="fr-CH"/>
        </w:rPr>
        <w:t xml:space="preserve"> projet de nouveau Rapport UIT-R.[UAS-FSS], </w:t>
      </w:r>
      <w:r w:rsidR="003D0207" w:rsidRPr="004D2817">
        <w:rPr>
          <w:lang w:val="fr-CH"/>
        </w:rPr>
        <w:t>en tenant compte</w:t>
      </w:r>
      <w:r w:rsidR="00CE31EC" w:rsidRPr="004D2817">
        <w:rPr>
          <w:lang w:val="fr-CH"/>
        </w:rPr>
        <w:t xml:space="preserve"> de toutes les contributions </w:t>
      </w:r>
      <w:r w:rsidR="004D2817" w:rsidRPr="004D2817">
        <w:rPr>
          <w:lang w:val="fr-CH"/>
        </w:rPr>
        <w:t>présentées</w:t>
      </w:r>
      <w:r w:rsidR="00CE31EC" w:rsidRPr="004D2817">
        <w:rPr>
          <w:lang w:val="fr-CH"/>
        </w:rPr>
        <w:t xml:space="preserve"> à la réunion de Bucarest, et </w:t>
      </w:r>
      <w:r w:rsidR="00996527" w:rsidRPr="004D2817">
        <w:rPr>
          <w:lang w:val="fr-CH"/>
        </w:rPr>
        <w:t>ont soumis ce Rapport à la prochaine</w:t>
      </w:r>
      <w:r w:rsidR="009810CE" w:rsidRPr="004D2817">
        <w:rPr>
          <w:lang w:val="fr-CH"/>
        </w:rPr>
        <w:t xml:space="preserve"> réunion du GT 5B pour adoption,</w:t>
      </w:r>
      <w:r w:rsidR="00996527" w:rsidRPr="004D2817">
        <w:rPr>
          <w:lang w:val="fr-CH"/>
        </w:rPr>
        <w:t xml:space="preserve"> </w:t>
      </w:r>
      <w:r w:rsidR="003C48C6" w:rsidRPr="004D2817">
        <w:rPr>
          <w:lang w:val="fr-CH"/>
        </w:rPr>
        <w:t xml:space="preserve">en vue de sa </w:t>
      </w:r>
      <w:r w:rsidR="00996527" w:rsidRPr="004D2817">
        <w:rPr>
          <w:lang w:val="fr-CH"/>
        </w:rPr>
        <w:t>soumission ultérieure à la Commission d'études 5 pour approbation. Ce Rapport est disponible en tant que document de l'UIT-R sous la cote 5B/886.</w:t>
      </w:r>
    </w:p>
    <w:p w:rsidR="004D68B2" w:rsidRPr="004D2817" w:rsidRDefault="003828CF" w:rsidP="004D2817">
      <w:pPr>
        <w:rPr>
          <w:lang w:val="fr-CH"/>
        </w:rPr>
      </w:pPr>
      <w:r w:rsidRPr="004D2817">
        <w:rPr>
          <w:lang w:val="fr-CH"/>
        </w:rPr>
        <w:t>Sur la base des</w:t>
      </w:r>
      <w:r w:rsidR="00996527" w:rsidRPr="004D2817">
        <w:rPr>
          <w:lang w:val="fr-CH"/>
        </w:rPr>
        <w:t xml:space="preserve"> résultats des études figurant dans ce rapport, </w:t>
      </w:r>
      <w:r w:rsidR="003C48C6" w:rsidRPr="004D2817">
        <w:rPr>
          <w:lang w:val="fr-CH"/>
        </w:rPr>
        <w:t>l</w:t>
      </w:r>
      <w:r w:rsidR="00996527" w:rsidRPr="004D2817">
        <w:rPr>
          <w:lang w:val="fr-CH"/>
        </w:rPr>
        <w:t xml:space="preserve">es conditions opérationnelles et </w:t>
      </w:r>
      <w:r w:rsidR="003C48C6" w:rsidRPr="004D2817">
        <w:rPr>
          <w:lang w:val="fr-CH"/>
        </w:rPr>
        <w:t>l</w:t>
      </w:r>
      <w:r w:rsidR="0025604B" w:rsidRPr="004D2817">
        <w:rPr>
          <w:lang w:val="fr-CH"/>
        </w:rPr>
        <w:t>es</w:t>
      </w:r>
      <w:r w:rsidR="00780137" w:rsidRPr="004D2817">
        <w:rPr>
          <w:lang w:val="fr-CH"/>
        </w:rPr>
        <w:t xml:space="preserve"> </w:t>
      </w:r>
      <w:r w:rsidR="00996527" w:rsidRPr="004D2817">
        <w:rPr>
          <w:lang w:val="fr-CH"/>
        </w:rPr>
        <w:t>gabarit</w:t>
      </w:r>
      <w:r w:rsidR="0025604B" w:rsidRPr="004D2817">
        <w:rPr>
          <w:lang w:val="fr-CH"/>
        </w:rPr>
        <w:t>s</w:t>
      </w:r>
      <w:r w:rsidR="00996527" w:rsidRPr="004D2817">
        <w:rPr>
          <w:lang w:val="fr-CH"/>
        </w:rPr>
        <w:t xml:space="preserve"> de puissance surfacique </w:t>
      </w:r>
      <w:r w:rsidR="003C48C6" w:rsidRPr="004D2817">
        <w:rPr>
          <w:lang w:val="fr-CH"/>
        </w:rPr>
        <w:t xml:space="preserve">nécessaires </w:t>
      </w:r>
      <w:r w:rsidR="00780137" w:rsidRPr="004D2817">
        <w:rPr>
          <w:lang w:val="fr-CH"/>
        </w:rPr>
        <w:t xml:space="preserve">pour protéger les stations du SF fonctionnant dans les </w:t>
      </w:r>
      <w:r w:rsidR="00780137" w:rsidRPr="004D2817">
        <w:rPr>
          <w:lang w:val="fr-CH"/>
        </w:rPr>
        <w:lastRenderedPageBreak/>
        <w:t xml:space="preserve">gammes de fréquences </w:t>
      </w:r>
      <w:r w:rsidR="003C48C6" w:rsidRPr="004D2817">
        <w:rPr>
          <w:lang w:val="fr-CH"/>
        </w:rPr>
        <w:t xml:space="preserve">des </w:t>
      </w:r>
      <w:r w:rsidR="00780137" w:rsidRPr="004D2817">
        <w:rPr>
          <w:lang w:val="fr-CH"/>
        </w:rPr>
        <w:t xml:space="preserve">14/11 GHz et </w:t>
      </w:r>
      <w:r w:rsidR="003C48C6" w:rsidRPr="004D2817">
        <w:rPr>
          <w:lang w:val="fr-CH"/>
        </w:rPr>
        <w:t xml:space="preserve">des </w:t>
      </w:r>
      <w:r w:rsidR="00780137" w:rsidRPr="004D2817">
        <w:rPr>
          <w:lang w:val="fr-CH"/>
        </w:rPr>
        <w:t>30/20 GHz</w:t>
      </w:r>
      <w:r w:rsidRPr="004D2817">
        <w:rPr>
          <w:lang w:val="fr-CH"/>
        </w:rPr>
        <w:t xml:space="preserve"> ont été définis</w:t>
      </w:r>
      <w:r w:rsidR="00780137" w:rsidRPr="004D2817">
        <w:rPr>
          <w:lang w:val="fr-CH"/>
        </w:rPr>
        <w:t xml:space="preserve">. Ces conditions </w:t>
      </w:r>
      <w:r w:rsidR="003C48C6" w:rsidRPr="004D2817">
        <w:rPr>
          <w:lang w:val="fr-CH"/>
        </w:rPr>
        <w:t>figurent dans</w:t>
      </w:r>
      <w:r w:rsidR="00780137" w:rsidRPr="004D2817">
        <w:rPr>
          <w:lang w:val="fr-CH"/>
        </w:rPr>
        <w:t xml:space="preserve"> l'Annexe 2 du projet de nouvelle Résolu</w:t>
      </w:r>
      <w:r w:rsidR="004D2817">
        <w:rPr>
          <w:lang w:val="fr-CH"/>
        </w:rPr>
        <w:t>tion, comme indiqué ci-dessous.</w:t>
      </w:r>
    </w:p>
    <w:p w:rsidR="004D68B2" w:rsidRPr="004D2817" w:rsidRDefault="00780137" w:rsidP="004D2817">
      <w:pPr>
        <w:rPr>
          <w:lang w:val="fr-CH"/>
        </w:rPr>
      </w:pPr>
      <w:r w:rsidRPr="004D2817">
        <w:rPr>
          <w:lang w:val="fr-CH"/>
        </w:rPr>
        <w:t>En conséquence, l'administration qui a soumis la présente contribution propose de remplacer l'Annexe 2 du projet de nouvelle Résolution [115-A15], qui fait l'objet d'une proposition présentée par plusieurs pays dans le Document 115 de la CMR-15, par l'Annexe 2 du projet de nouvelle Résolution [D-A15] présenté ci-après.</w:t>
      </w:r>
    </w:p>
    <w:p w:rsidR="003A583E" w:rsidRDefault="00BA5831" w:rsidP="004D2817">
      <w:pPr>
        <w:pStyle w:val="Headingb"/>
        <w:rPr>
          <w:lang w:val="fr-CH"/>
        </w:rPr>
      </w:pPr>
      <w:r w:rsidRPr="004D2817">
        <w:rPr>
          <w:lang w:val="fr-CH"/>
        </w:rPr>
        <w:t>Proposition</w:t>
      </w:r>
    </w:p>
    <w:p w:rsidR="006A1702" w:rsidRPr="006A1702" w:rsidRDefault="006A1702" w:rsidP="006A1702">
      <w:pPr>
        <w:rPr>
          <w:lang w:val="fr-CH"/>
        </w:rPr>
      </w:pPr>
    </w:p>
    <w:p w:rsidR="00153B58" w:rsidRPr="004D2817" w:rsidRDefault="00BA5831" w:rsidP="004D2817">
      <w:pPr>
        <w:pStyle w:val="Proposal"/>
      </w:pPr>
      <w:r w:rsidRPr="004D2817">
        <w:t>ADD</w:t>
      </w:r>
      <w:r w:rsidRPr="004D2817">
        <w:tab/>
        <w:t>D/125/1</w:t>
      </w:r>
    </w:p>
    <w:p w:rsidR="00153B58" w:rsidRPr="004D2817" w:rsidRDefault="00BA5831" w:rsidP="004D2817">
      <w:pPr>
        <w:pStyle w:val="ResNo"/>
      </w:pPr>
      <w:r w:rsidRPr="004D2817">
        <w:t>Proje</w:t>
      </w:r>
      <w:r w:rsidR="004D68B2" w:rsidRPr="004D2817">
        <w:t>t de nouvelle Résolution [D-A15</w:t>
      </w:r>
      <w:r w:rsidRPr="004D2817">
        <w:t>]</w:t>
      </w:r>
      <w:r w:rsidR="004D68B2" w:rsidRPr="004D2817">
        <w:t xml:space="preserve"> (CMR-15)</w:t>
      </w:r>
    </w:p>
    <w:p w:rsidR="00153B58" w:rsidRPr="004D2817" w:rsidRDefault="005A7D54" w:rsidP="004D2817">
      <w:pPr>
        <w:pStyle w:val="Restitle"/>
      </w:pPr>
      <w:r w:rsidRPr="004D2817">
        <w:t>Dispositions réglementaires relatives aux stations terriennes à bord d'un aéronef sans pilote qui sont exploitées</w:t>
      </w:r>
      <w:r w:rsidR="003C48C6" w:rsidRPr="004D2817">
        <w:t xml:space="preserve"> dans des espaces aériens non réservés</w:t>
      </w:r>
      <w:r w:rsidRPr="004D2817">
        <w:t xml:space="preserve"> avec des </w:t>
      </w:r>
      <w:r w:rsidR="003C48C6" w:rsidRPr="004D2817">
        <w:t>réseaux à satellite géostationnaire</w:t>
      </w:r>
      <w:r w:rsidRPr="004D2817">
        <w:t xml:space="preserve"> du service fixe par satellite </w:t>
      </w:r>
      <w:r w:rsidR="003C48C6" w:rsidRPr="004D2817">
        <w:t xml:space="preserve">dans certaines bandes de fréquences qui ne sont pas assujetties à un plan </w:t>
      </w:r>
      <w:r w:rsidRPr="004D2817">
        <w:t xml:space="preserve">pour les communications de contrôle et non associées à la charge utile </w:t>
      </w:r>
      <w:r w:rsidR="002C2F36">
        <w:br/>
      </w:r>
      <w:r w:rsidRPr="004D2817">
        <w:t>des systèmes d'aéronef sans pilote</w:t>
      </w:r>
    </w:p>
    <w:p w:rsidR="005A7D54" w:rsidRPr="004D2817" w:rsidRDefault="005A7D54" w:rsidP="00891588">
      <w:pPr>
        <w:pStyle w:val="Normalaftertitle"/>
      </w:pPr>
      <w:r w:rsidRPr="004D2817">
        <w:t>La Conférence mondiale des radiocommunications (Genève, 2015),</w:t>
      </w:r>
    </w:p>
    <w:p w:rsidR="00153B58" w:rsidRPr="004D2817" w:rsidRDefault="005A7D54" w:rsidP="004D2817">
      <w:r w:rsidRPr="004D2817">
        <w:t>...</w:t>
      </w:r>
    </w:p>
    <w:p w:rsidR="005A7D54" w:rsidRPr="004D2817" w:rsidRDefault="005A7D54" w:rsidP="004D2817">
      <w:pPr>
        <w:pStyle w:val="AnnexNo"/>
      </w:pPr>
      <w:r w:rsidRPr="004D2817">
        <w:t>Annexe 2</w:t>
      </w:r>
      <w:r w:rsidRPr="004D2817">
        <w:rPr>
          <w:caps w:val="0"/>
          <w:sz w:val="24"/>
        </w:rPr>
        <w:t xml:space="preserve"> </w:t>
      </w:r>
      <w:r w:rsidRPr="004D2817">
        <w:t>au Projet de LA nouvelle Résolution [d-a15] (CMR-15)</w:t>
      </w:r>
    </w:p>
    <w:p w:rsidR="005A7D54" w:rsidRPr="004D2817" w:rsidRDefault="005A7D54" w:rsidP="004D2817">
      <w:pPr>
        <w:pStyle w:val="Annextitle"/>
      </w:pPr>
      <w:r w:rsidRPr="004D2817">
        <w:t xml:space="preserve">Protection du service fixe et d'autres réseaux du service fixe par satellite </w:t>
      </w:r>
      <w:r w:rsidRPr="004D2817">
        <w:br/>
        <w:t xml:space="preserve">contre les émissions des liaisons CNPC des aéronefs sans pilote </w:t>
      </w:r>
    </w:p>
    <w:p w:rsidR="005A7D54" w:rsidRPr="004D2817" w:rsidRDefault="005A7D54" w:rsidP="004D2817">
      <w:pPr>
        <w:pStyle w:val="Heading1"/>
      </w:pPr>
      <w:bookmarkStart w:id="6" w:name="_Toc416355712"/>
      <w:r w:rsidRPr="004D2817">
        <w:t>1</w:t>
      </w:r>
      <w:r w:rsidRPr="004D2817">
        <w:tab/>
        <w:t>Introduction</w:t>
      </w:r>
      <w:bookmarkEnd w:id="6"/>
    </w:p>
    <w:p w:rsidR="005A7D54" w:rsidRPr="004D2817" w:rsidRDefault="005A7D54" w:rsidP="006A1702">
      <w:pPr>
        <w:rPr>
          <w:lang w:val="fr-CH"/>
        </w:rPr>
      </w:pPr>
      <w:r w:rsidRPr="004D2817">
        <w:t>Etant d</w:t>
      </w:r>
      <w:bookmarkStart w:id="7" w:name="_GoBack"/>
      <w:bookmarkEnd w:id="7"/>
      <w:r w:rsidRPr="004D2817">
        <w:t>onné que l</w:t>
      </w:r>
      <w:r w:rsidR="002C2F36">
        <w:t>'</w:t>
      </w:r>
      <w:r w:rsidRPr="004D2817">
        <w:t xml:space="preserve">on est parti du principe fondamental selon lequel, pour pouvoir utiliser les bandes de fréquences attribuées au SFS, </w:t>
      </w:r>
      <w:r w:rsidRPr="004D2817">
        <w:rPr>
          <w:lang w:val="fr-CH"/>
        </w:rPr>
        <w:t>la liaison CNPC du système UAS devait être assujettie aux mêmes limitations réglementaires et aux mêmes restrictions de qualité de fonctionnement que toute autre station terrienne du SFS, et que du point de vue des brouillages, elle devait remplir ses fonctions exactement de la même manière qu</w:t>
      </w:r>
      <w:r w:rsidR="002C2F36">
        <w:rPr>
          <w:lang w:val="fr-CH"/>
        </w:rPr>
        <w:t>'</w:t>
      </w:r>
      <w:r w:rsidRPr="004D2817">
        <w:rPr>
          <w:lang w:val="fr-CH"/>
        </w:rPr>
        <w:t>une autre station terrienne du SFS, il n</w:t>
      </w:r>
      <w:r w:rsidR="002C2F36">
        <w:rPr>
          <w:lang w:val="fr-CH"/>
        </w:rPr>
        <w:t>'</w:t>
      </w:r>
      <w:r w:rsidRPr="004D2817">
        <w:rPr>
          <w:lang w:val="fr-CH"/>
        </w:rPr>
        <w:t>y a lieu d</w:t>
      </w:r>
      <w:r w:rsidR="002C2F36">
        <w:rPr>
          <w:lang w:val="fr-CH"/>
        </w:rPr>
        <w:t>'</w:t>
      </w:r>
      <w:r w:rsidRPr="004D2817">
        <w:rPr>
          <w:lang w:val="fr-CH"/>
        </w:rPr>
        <w:t>imposer qu</w:t>
      </w:r>
      <w:r w:rsidR="002C2F36">
        <w:rPr>
          <w:lang w:val="fr-CH"/>
        </w:rPr>
        <w:t>'</w:t>
      </w:r>
      <w:r w:rsidRPr="004D2817">
        <w:rPr>
          <w:lang w:val="fr-CH"/>
        </w:rPr>
        <w:t>un petit nombre de prescriptions additionnelles, en plus de celles applicables à une station terrienne type du SFS, à l</w:t>
      </w:r>
      <w:r w:rsidR="002C2F36">
        <w:rPr>
          <w:lang w:val="fr-CH"/>
        </w:rPr>
        <w:t>'</w:t>
      </w:r>
      <w:r w:rsidRPr="004D2817">
        <w:rPr>
          <w:lang w:val="fr-CH"/>
        </w:rPr>
        <w:t>exploitation des liaisons CNPC des systèmes UAS, pour assurer la compatibilité avec les autres services utilisant en partage les mêmes bandes de fréquences. On trouvera la liste de ces prescriptions additionnelles aux § 2, 3 et 4 et de la présente Annexe.</w:t>
      </w:r>
    </w:p>
    <w:p w:rsidR="005A7D54" w:rsidRPr="004D2817" w:rsidRDefault="005A7D54" w:rsidP="004D2817">
      <w:pPr>
        <w:pStyle w:val="Heading1"/>
        <w:rPr>
          <w:lang w:val="fr-CH" w:eastAsia="fr-FR"/>
        </w:rPr>
      </w:pPr>
      <w:bookmarkStart w:id="8" w:name="_Toc416340757"/>
      <w:bookmarkStart w:id="9" w:name="_Toc416340923"/>
      <w:r w:rsidRPr="004D2817">
        <w:t>2</w:t>
      </w:r>
      <w:r w:rsidRPr="004D2817">
        <w:tab/>
        <w:t xml:space="preserve">Protection </w:t>
      </w:r>
      <w:bookmarkEnd w:id="8"/>
      <w:bookmarkEnd w:id="9"/>
      <w:r w:rsidRPr="004D2817">
        <w:t>du service fixe</w:t>
      </w:r>
    </w:p>
    <w:p w:rsidR="005A7D54" w:rsidRPr="004D2817" w:rsidRDefault="005A7D54" w:rsidP="004D2817">
      <w:pPr>
        <w:rPr>
          <w:lang w:val="fr-CH" w:eastAsia="fr-FR"/>
        </w:rPr>
      </w:pPr>
      <w:r w:rsidRPr="004D2817">
        <w:t>Le service fixe bénéficie d</w:t>
      </w:r>
      <w:r w:rsidR="002C2F36">
        <w:t>'</w:t>
      </w:r>
      <w:r w:rsidRPr="004D2817">
        <w:t>attributions dans plusieurs pays, en vertu de renvois</w:t>
      </w:r>
      <w:r w:rsidR="00780137" w:rsidRPr="004D2817">
        <w:t xml:space="preserve"> et de tableaux</w:t>
      </w:r>
      <w:r w:rsidRPr="004D2817">
        <w:t xml:space="preserve">, à titre primaire avec égalité des droits avec le SFS. </w:t>
      </w:r>
      <w:r w:rsidR="0025604B" w:rsidRPr="004D2817">
        <w:t>Le</w:t>
      </w:r>
      <w:r w:rsidRPr="004D2817">
        <w:t>s conditions régissant l</w:t>
      </w:r>
      <w:r w:rsidR="002C2F36">
        <w:t>'</w:t>
      </w:r>
      <w:r w:rsidRPr="004D2817">
        <w:t>utilisation de liaisons CNPC par les aéronefs sans pilote seront telles que le service fixe sera protégé contre tout brouillage préjudiciable, comme indiqué ci-après:</w:t>
      </w:r>
    </w:p>
    <w:p w:rsidR="005A7D54" w:rsidRPr="004D2817" w:rsidRDefault="005A7D54" w:rsidP="004D2817">
      <w:pPr>
        <w:pStyle w:val="enumlev1"/>
        <w:rPr>
          <w:rFonts w:eastAsia="Calibri"/>
          <w:lang w:val="fr-CH"/>
        </w:rPr>
      </w:pPr>
      <w:r w:rsidRPr="004D2817">
        <w:rPr>
          <w:rFonts w:eastAsia="Calibri"/>
          <w:lang w:val="fr-CH"/>
        </w:rPr>
        <w:lastRenderedPageBreak/>
        <w:t>1)</w:t>
      </w:r>
      <w:r w:rsidRPr="004D2817">
        <w:rPr>
          <w:rFonts w:eastAsia="Calibri"/>
          <w:lang w:val="fr-CH"/>
        </w:rPr>
        <w:tab/>
        <w:t xml:space="preserve">les aéronefs sans pilote ne seront pas exploités à des latitudes </w:t>
      </w:r>
      <w:r w:rsidRPr="004D2817">
        <w:rPr>
          <w:color w:val="000000"/>
        </w:rPr>
        <w:t>supérieures à 70 degrés</w:t>
      </w:r>
      <w:r w:rsidRPr="004D2817">
        <w:rPr>
          <w:rFonts w:eastAsia="Calibri"/>
          <w:lang w:val="fr-CH"/>
        </w:rPr>
        <w:t>;</w:t>
      </w:r>
    </w:p>
    <w:p w:rsidR="005A7D54" w:rsidRPr="004D2817" w:rsidRDefault="005A7D54" w:rsidP="004D2817">
      <w:pPr>
        <w:pStyle w:val="enumlev1"/>
        <w:rPr>
          <w:rFonts w:eastAsia="Calibri"/>
          <w:lang w:val="fr-CH"/>
        </w:rPr>
      </w:pPr>
      <w:r w:rsidRPr="004D2817">
        <w:rPr>
          <w:rFonts w:eastAsia="Calibri"/>
          <w:lang w:val="fr-CH"/>
        </w:rPr>
        <w:t>2)</w:t>
      </w:r>
      <w:r w:rsidRPr="004D2817">
        <w:rPr>
          <w:rFonts w:eastAsia="Calibri"/>
          <w:lang w:val="fr-CH"/>
        </w:rPr>
        <w:tab/>
        <w:t>les aéronefs sans pilote ne seront pas exploités sur les fréquences de la bande 14,</w:t>
      </w:r>
      <w:r w:rsidR="00970171">
        <w:rPr>
          <w:rFonts w:eastAsia="Calibri"/>
          <w:lang w:val="fr-CH"/>
        </w:rPr>
        <w:t>0</w:t>
      </w:r>
      <w:r w:rsidR="00970171">
        <w:rPr>
          <w:rFonts w:eastAsia="Calibri"/>
          <w:lang w:val="fr-CH"/>
        </w:rPr>
        <w:noBreakHyphen/>
      </w:r>
      <w:r w:rsidRPr="004D2817">
        <w:rPr>
          <w:rFonts w:eastAsia="Calibri"/>
          <w:lang w:val="fr-CH"/>
        </w:rPr>
        <w:t xml:space="preserve">14,5 GHz </w:t>
      </w:r>
      <w:r w:rsidRPr="004D2817">
        <w:rPr>
          <w:color w:val="000000"/>
        </w:rPr>
        <w:t>à des altitudes inférieures à 5 000 pieds</w:t>
      </w:r>
      <w:r w:rsidRPr="004D2817">
        <w:rPr>
          <w:rFonts w:eastAsia="Calibri"/>
          <w:lang w:val="fr-CH"/>
        </w:rPr>
        <w:t>;</w:t>
      </w:r>
    </w:p>
    <w:p w:rsidR="005A7D54" w:rsidRPr="004D2817" w:rsidRDefault="005A7D54" w:rsidP="004D2817">
      <w:pPr>
        <w:pStyle w:val="enumlev1"/>
        <w:rPr>
          <w:rFonts w:eastAsia="Calibri"/>
          <w:lang w:val="fr-CH"/>
        </w:rPr>
      </w:pPr>
      <w:r w:rsidRPr="004D2817">
        <w:rPr>
          <w:rFonts w:eastAsia="Calibri"/>
          <w:lang w:val="fr-CH"/>
        </w:rPr>
        <w:t>3)</w:t>
      </w:r>
      <w:r w:rsidRPr="004D2817">
        <w:rPr>
          <w:rFonts w:eastAsia="Calibri"/>
          <w:lang w:val="fr-CH"/>
        </w:rPr>
        <w:tab/>
        <w:t xml:space="preserve">les aéronefs sans pilote ne seront pas exploités sur </w:t>
      </w:r>
      <w:r w:rsidR="00970171">
        <w:rPr>
          <w:rFonts w:eastAsia="Calibri"/>
          <w:lang w:val="fr-CH"/>
        </w:rPr>
        <w:t>les fréquences de la bande 27,5</w:t>
      </w:r>
      <w:r w:rsidR="00970171">
        <w:rPr>
          <w:rFonts w:eastAsia="Calibri"/>
          <w:lang w:val="fr-CH"/>
        </w:rPr>
        <w:noBreakHyphen/>
      </w:r>
      <w:r w:rsidRPr="004D2817">
        <w:rPr>
          <w:rFonts w:eastAsia="Calibri"/>
          <w:lang w:val="fr-CH"/>
        </w:rPr>
        <w:t xml:space="preserve">28,6 GHz </w:t>
      </w:r>
      <w:r w:rsidRPr="004D2817">
        <w:rPr>
          <w:color w:val="000000"/>
        </w:rPr>
        <w:t>à des altitudes inférieures à 3 000 pieds</w:t>
      </w:r>
      <w:r w:rsidRPr="004D2817">
        <w:rPr>
          <w:rFonts w:eastAsia="Calibri"/>
          <w:lang w:val="fr-CH"/>
        </w:rPr>
        <w:t>;</w:t>
      </w:r>
    </w:p>
    <w:p w:rsidR="005A7D54" w:rsidRPr="004D2817" w:rsidRDefault="005A7D54" w:rsidP="004D2817">
      <w:pPr>
        <w:pStyle w:val="enumlev1"/>
        <w:rPr>
          <w:lang w:val="fr-CH" w:eastAsia="fr-FR"/>
        </w:rPr>
      </w:pPr>
      <w:r w:rsidRPr="004D2817">
        <w:rPr>
          <w:rFonts w:eastAsia="Calibri"/>
          <w:lang w:val="fr-CH"/>
        </w:rPr>
        <w:t>4)</w:t>
      </w:r>
      <w:r w:rsidRPr="004D2817">
        <w:rPr>
          <w:rFonts w:eastAsia="Calibri"/>
          <w:lang w:val="fr-CH"/>
        </w:rPr>
        <w:tab/>
        <w:t>la station terrienne à bord d</w:t>
      </w:r>
      <w:r w:rsidR="002C2F36">
        <w:rPr>
          <w:rFonts w:eastAsia="Calibri"/>
          <w:lang w:val="fr-CH"/>
        </w:rPr>
        <w:t>'</w:t>
      </w:r>
      <w:r w:rsidRPr="004D2817">
        <w:rPr>
          <w:rFonts w:eastAsia="Calibri"/>
          <w:lang w:val="fr-CH"/>
        </w:rPr>
        <w:t xml:space="preserve">un aéronef sans pilote doit respecter les gabarits de puissance surfacique propres aux deux bandes décrits ci-dessous. </w:t>
      </w:r>
    </w:p>
    <w:p w:rsidR="005A7D54" w:rsidRPr="00970171" w:rsidRDefault="00AA12DF" w:rsidP="00D858E5">
      <w:pPr>
        <w:rPr>
          <w:lang w:val="fr-CH"/>
        </w:rPr>
      </w:pPr>
      <w:r w:rsidRPr="00970171">
        <w:rPr>
          <w:lang w:val="fr-CH"/>
        </w:rPr>
        <w:t xml:space="preserve">Dans la </w:t>
      </w:r>
      <w:r w:rsidR="0025604B" w:rsidRPr="00970171">
        <w:rPr>
          <w:lang w:val="fr-CH"/>
        </w:rPr>
        <w:t>gamme</w:t>
      </w:r>
      <w:r w:rsidRPr="00970171">
        <w:rPr>
          <w:lang w:val="fr-CH"/>
        </w:rPr>
        <w:t xml:space="preserve"> </w:t>
      </w:r>
      <w:r w:rsidR="0025604B" w:rsidRPr="00970171">
        <w:rPr>
          <w:lang w:val="fr-CH"/>
        </w:rPr>
        <w:t xml:space="preserve">de fréquences </w:t>
      </w:r>
      <w:r w:rsidRPr="00970171">
        <w:rPr>
          <w:lang w:val="fr-CH"/>
        </w:rPr>
        <w:t>14-14,47</w:t>
      </w:r>
      <w:r w:rsidR="005A7D54" w:rsidRPr="00970171">
        <w:rPr>
          <w:lang w:val="fr-CH"/>
        </w:rPr>
        <w:t xml:space="preserve"> GHz</w:t>
      </w:r>
      <w:r w:rsidR="0025604B" w:rsidRPr="00970171">
        <w:rPr>
          <w:lang w:val="fr-CH"/>
        </w:rPr>
        <w:t>, lorsqu'e</w:t>
      </w:r>
      <w:r w:rsidR="005A7D54" w:rsidRPr="00970171">
        <w:rPr>
          <w:lang w:val="fr-CH"/>
        </w:rPr>
        <w:t xml:space="preserve">lle est utilisée par les réseaux du service fixe, en visibilité directe du territoire d'une administration où les réseaux du service fixe fonctionnent dans cette bande, la puissance surfacique maximale produite à la surface de la Terre par les émissions d'un seul </w:t>
      </w:r>
      <w:r w:rsidR="005A7D54" w:rsidRPr="00970171">
        <w:rPr>
          <w:rFonts w:eastAsia="Calibri"/>
          <w:lang w:val="fr-CH"/>
        </w:rPr>
        <w:t>aéronef sans pilote</w:t>
      </w:r>
      <w:r w:rsidR="005A7D54" w:rsidRPr="00970171">
        <w:rPr>
          <w:lang w:val="fr-CH"/>
        </w:rPr>
        <w:t xml:space="preserve"> ne </w:t>
      </w:r>
      <w:r w:rsidR="0025604B" w:rsidRPr="00970171">
        <w:rPr>
          <w:lang w:val="fr-CH"/>
        </w:rPr>
        <w:t>doit</w:t>
      </w:r>
      <w:r w:rsidR="005A7D54" w:rsidRPr="00970171">
        <w:rPr>
          <w:lang w:val="fr-CH"/>
        </w:rPr>
        <w:t xml:space="preserve"> pas dépasser:</w:t>
      </w:r>
    </w:p>
    <w:tbl>
      <w:tblPr>
        <w:tblW w:w="0" w:type="auto"/>
        <w:tblInd w:w="198" w:type="dxa"/>
        <w:tblLook w:val="04A0" w:firstRow="1" w:lastRow="0" w:firstColumn="1" w:lastColumn="0" w:noHBand="0" w:noVBand="1"/>
      </w:tblPr>
      <w:tblGrid>
        <w:gridCol w:w="5400"/>
        <w:gridCol w:w="3600"/>
      </w:tblGrid>
      <w:tr w:rsidR="005A7D54" w:rsidRPr="00891588" w:rsidTr="0032200C">
        <w:tc>
          <w:tcPr>
            <w:tcW w:w="5400" w:type="dxa"/>
            <w:shd w:val="clear" w:color="auto" w:fill="auto"/>
          </w:tcPr>
          <w:p w:rsidR="005A7D54" w:rsidRPr="00891588" w:rsidRDefault="005A7D54" w:rsidP="004D2817">
            <w:pPr>
              <w:tabs>
                <w:tab w:val="clear" w:pos="1134"/>
                <w:tab w:val="left" w:pos="828"/>
                <w:tab w:val="center" w:pos="1440"/>
                <w:tab w:val="right" w:pos="5112"/>
              </w:tabs>
              <w:rPr>
                <w:rFonts w:ascii="Symbol" w:eastAsia="Calibri" w:hAnsi="Symbol" w:cs="Symbol"/>
                <w:sz w:val="20"/>
              </w:rPr>
            </w:pPr>
            <w:r w:rsidRPr="00891588">
              <w:rPr>
                <w:sz w:val="20"/>
              </w:rPr>
              <w:tab/>
              <w:t xml:space="preserve">–97 </w:t>
            </w:r>
            <w:r w:rsidRPr="00891588">
              <w:rPr>
                <w:sz w:val="20"/>
              </w:rPr>
              <w:tab/>
              <w:t>dB(W/(m</w:t>
            </w:r>
            <w:r w:rsidRPr="00891588">
              <w:rPr>
                <w:sz w:val="20"/>
                <w:vertAlign w:val="superscript"/>
              </w:rPr>
              <w:t xml:space="preserve">2 </w:t>
            </w:r>
            <w:r w:rsidRPr="00891588">
              <w:rPr>
                <w:sz w:val="20"/>
              </w:rPr>
              <w:t xml:space="preserve"> </w:t>
            </w:r>
            <w:r w:rsidRPr="00891588">
              <w:rPr>
                <w:sz w:val="20"/>
              </w:rPr>
              <w:sym w:font="Symbol" w:char="F0D7"/>
            </w:r>
            <w:r w:rsidRPr="00891588">
              <w:rPr>
                <w:sz w:val="20"/>
              </w:rPr>
              <w:t xml:space="preserve"> 14 MHz))</w:t>
            </w:r>
          </w:p>
        </w:tc>
        <w:tc>
          <w:tcPr>
            <w:tcW w:w="3600" w:type="dxa"/>
            <w:shd w:val="clear" w:color="auto" w:fill="auto"/>
          </w:tcPr>
          <w:p w:rsidR="005A7D54" w:rsidRPr="00891588" w:rsidRDefault="005A7D54" w:rsidP="004D2817">
            <w:pPr>
              <w:tabs>
                <w:tab w:val="center" w:pos="1962"/>
              </w:tabs>
              <w:ind w:left="248"/>
              <w:rPr>
                <w:rFonts w:ascii="Symbol" w:eastAsia="Calibri" w:hAnsi="Symbol" w:cs="Symbol"/>
                <w:sz w:val="20"/>
              </w:rPr>
            </w:pPr>
            <w:r w:rsidRPr="00891588">
              <w:rPr>
                <w:sz w:val="20"/>
              </w:rPr>
              <w:t>pour</w:t>
            </w:r>
            <w:r w:rsidRPr="00891588">
              <w:rPr>
                <w:sz w:val="20"/>
              </w:rPr>
              <w:tab/>
            </w:r>
            <w:r w:rsidRPr="00891588">
              <w:rPr>
                <w:sz w:val="20"/>
              </w:rPr>
              <w:sym w:font="Symbol" w:char="F071"/>
            </w:r>
            <w:r w:rsidRPr="00891588">
              <w:rPr>
                <w:sz w:val="20"/>
              </w:rPr>
              <w:t xml:space="preserve">    ≤   5°</w:t>
            </w:r>
          </w:p>
        </w:tc>
      </w:tr>
      <w:tr w:rsidR="005A7D54" w:rsidRPr="00891588" w:rsidTr="0032200C">
        <w:tc>
          <w:tcPr>
            <w:tcW w:w="5400" w:type="dxa"/>
            <w:shd w:val="clear" w:color="auto" w:fill="auto"/>
          </w:tcPr>
          <w:p w:rsidR="005A7D54" w:rsidRPr="00891588" w:rsidRDefault="005A7D54" w:rsidP="004D2817">
            <w:pPr>
              <w:tabs>
                <w:tab w:val="clear" w:pos="1134"/>
                <w:tab w:val="left" w:pos="828"/>
                <w:tab w:val="center" w:pos="1440"/>
                <w:tab w:val="right" w:pos="5112"/>
              </w:tabs>
              <w:rPr>
                <w:rFonts w:ascii="Symbol" w:eastAsia="Calibri" w:hAnsi="Symbol" w:cs="Symbol"/>
                <w:sz w:val="20"/>
              </w:rPr>
            </w:pPr>
            <w:r w:rsidRPr="00891588">
              <w:rPr>
                <w:sz w:val="20"/>
              </w:rPr>
              <w:tab/>
              <w:t xml:space="preserve">–97 + 2,1 </w:t>
            </w:r>
            <w:r w:rsidRPr="00891588">
              <w:rPr>
                <w:sz w:val="20"/>
              </w:rPr>
              <w:sym w:font="Symbol" w:char="F0D7"/>
            </w:r>
            <w:r w:rsidRPr="00891588">
              <w:rPr>
                <w:sz w:val="20"/>
              </w:rPr>
              <w:t xml:space="preserve"> (</w:t>
            </w:r>
            <w:r w:rsidRPr="00891588">
              <w:rPr>
                <w:sz w:val="20"/>
              </w:rPr>
              <w:sym w:font="Symbol" w:char="F071"/>
            </w:r>
            <w:r w:rsidRPr="00891588">
              <w:rPr>
                <w:sz w:val="20"/>
              </w:rPr>
              <w:t xml:space="preserve"> - 5°)</w:t>
            </w:r>
            <w:r w:rsidRPr="00891588">
              <w:rPr>
                <w:sz w:val="20"/>
                <w:vertAlign w:val="superscript"/>
              </w:rPr>
              <w:t>2</w:t>
            </w:r>
            <w:r w:rsidRPr="00891588">
              <w:rPr>
                <w:sz w:val="20"/>
              </w:rPr>
              <w:t xml:space="preserve"> dB(W/(m</w:t>
            </w:r>
            <w:r w:rsidRPr="00891588">
              <w:rPr>
                <w:sz w:val="20"/>
                <w:vertAlign w:val="superscript"/>
              </w:rPr>
              <w:t xml:space="preserve">2 </w:t>
            </w:r>
            <w:r w:rsidRPr="00891588">
              <w:rPr>
                <w:sz w:val="20"/>
              </w:rPr>
              <w:t xml:space="preserve"> </w:t>
            </w:r>
            <w:r w:rsidRPr="00891588">
              <w:rPr>
                <w:sz w:val="20"/>
              </w:rPr>
              <w:sym w:font="Symbol" w:char="F0D7"/>
            </w:r>
            <w:r w:rsidRPr="00891588">
              <w:rPr>
                <w:sz w:val="20"/>
              </w:rPr>
              <w:t xml:space="preserve"> 14 MHz))</w:t>
            </w:r>
          </w:p>
        </w:tc>
        <w:tc>
          <w:tcPr>
            <w:tcW w:w="3600" w:type="dxa"/>
            <w:shd w:val="clear" w:color="auto" w:fill="auto"/>
          </w:tcPr>
          <w:p w:rsidR="005A7D54" w:rsidRPr="00891588" w:rsidRDefault="005A7D54" w:rsidP="004D2817">
            <w:pPr>
              <w:tabs>
                <w:tab w:val="center" w:pos="1962"/>
              </w:tabs>
              <w:ind w:left="248"/>
              <w:rPr>
                <w:rFonts w:ascii="Symbol" w:eastAsia="Calibri" w:hAnsi="Symbol" w:cs="Symbol"/>
                <w:sz w:val="20"/>
              </w:rPr>
            </w:pPr>
            <w:r w:rsidRPr="00891588">
              <w:rPr>
                <w:sz w:val="20"/>
              </w:rPr>
              <w:t>pour</w:t>
            </w:r>
            <w:r w:rsidRPr="00891588">
              <w:rPr>
                <w:sz w:val="20"/>
              </w:rPr>
              <w:tab/>
              <w:t xml:space="preserve">5°    &lt;   </w:t>
            </w:r>
            <w:r w:rsidRPr="00891588">
              <w:rPr>
                <w:sz w:val="20"/>
              </w:rPr>
              <w:sym w:font="Symbol" w:char="F071"/>
            </w:r>
            <w:r w:rsidRPr="00891588">
              <w:rPr>
                <w:sz w:val="20"/>
              </w:rPr>
              <w:t xml:space="preserve">   ≤   7,5°</w:t>
            </w:r>
          </w:p>
        </w:tc>
      </w:tr>
      <w:tr w:rsidR="005A7D54" w:rsidRPr="00891588" w:rsidTr="0032200C">
        <w:tc>
          <w:tcPr>
            <w:tcW w:w="5400" w:type="dxa"/>
            <w:shd w:val="clear" w:color="auto" w:fill="auto"/>
          </w:tcPr>
          <w:p w:rsidR="005A7D54" w:rsidRPr="00891588" w:rsidRDefault="005A7D54" w:rsidP="004D2817">
            <w:pPr>
              <w:tabs>
                <w:tab w:val="clear" w:pos="1134"/>
                <w:tab w:val="left" w:pos="828"/>
                <w:tab w:val="center" w:pos="1440"/>
                <w:tab w:val="right" w:pos="5112"/>
              </w:tabs>
              <w:rPr>
                <w:rFonts w:ascii="Symbol" w:eastAsia="Calibri" w:hAnsi="Symbol" w:cs="Symbol"/>
                <w:sz w:val="20"/>
                <w:lang w:val="de-CH"/>
              </w:rPr>
            </w:pPr>
            <w:r w:rsidRPr="00891588">
              <w:rPr>
                <w:sz w:val="20"/>
                <w:lang w:val="de-CH"/>
              </w:rPr>
              <w:tab/>
              <w:t xml:space="preserve">–91,7 - 25 </w:t>
            </w:r>
            <w:r w:rsidRPr="00891588">
              <w:rPr>
                <w:sz w:val="20"/>
              </w:rPr>
              <w:sym w:font="Symbol" w:char="F0D7"/>
            </w:r>
            <w:r w:rsidRPr="00891588">
              <w:rPr>
                <w:sz w:val="20"/>
                <w:lang w:val="de-CH"/>
              </w:rPr>
              <w:t xml:space="preserve"> log</w:t>
            </w:r>
            <w:r w:rsidRPr="00891588">
              <w:rPr>
                <w:sz w:val="20"/>
                <w:vertAlign w:val="subscript"/>
                <w:lang w:val="de-CH"/>
              </w:rPr>
              <w:t>10</w:t>
            </w:r>
            <w:r w:rsidRPr="00891588">
              <w:rPr>
                <w:sz w:val="20"/>
                <w:lang w:val="de-CH"/>
              </w:rPr>
              <w:t xml:space="preserve"> (</w:t>
            </w:r>
            <w:r w:rsidRPr="00891588">
              <w:rPr>
                <w:sz w:val="20"/>
              </w:rPr>
              <w:sym w:font="Symbol" w:char="F071"/>
            </w:r>
            <w:r w:rsidRPr="00891588">
              <w:rPr>
                <w:sz w:val="20"/>
                <w:lang w:val="de-CH"/>
              </w:rPr>
              <w:t>) dB(W/(m</w:t>
            </w:r>
            <w:r w:rsidRPr="00891588">
              <w:rPr>
                <w:sz w:val="20"/>
                <w:vertAlign w:val="superscript"/>
                <w:lang w:val="de-CH"/>
              </w:rPr>
              <w:t xml:space="preserve">2 </w:t>
            </w:r>
            <w:r w:rsidRPr="00891588">
              <w:rPr>
                <w:sz w:val="20"/>
                <w:lang w:val="de-CH"/>
              </w:rPr>
              <w:t xml:space="preserve"> </w:t>
            </w:r>
            <w:r w:rsidRPr="00891588">
              <w:rPr>
                <w:sz w:val="20"/>
              </w:rPr>
              <w:sym w:font="Symbol" w:char="F0D7"/>
            </w:r>
            <w:r w:rsidRPr="00891588">
              <w:rPr>
                <w:sz w:val="20"/>
                <w:lang w:val="de-CH"/>
              </w:rPr>
              <w:t xml:space="preserve"> 14 MHz))</w:t>
            </w:r>
          </w:p>
        </w:tc>
        <w:tc>
          <w:tcPr>
            <w:tcW w:w="3600" w:type="dxa"/>
            <w:shd w:val="clear" w:color="auto" w:fill="auto"/>
          </w:tcPr>
          <w:p w:rsidR="005A7D54" w:rsidRPr="00891588" w:rsidRDefault="005A7D54" w:rsidP="004D2817">
            <w:pPr>
              <w:tabs>
                <w:tab w:val="center" w:pos="1962"/>
              </w:tabs>
              <w:ind w:left="248"/>
              <w:rPr>
                <w:rFonts w:ascii="Symbol" w:eastAsia="Calibri" w:hAnsi="Symbol" w:cs="Symbol"/>
                <w:sz w:val="20"/>
              </w:rPr>
            </w:pPr>
            <w:r w:rsidRPr="00891588">
              <w:rPr>
                <w:sz w:val="20"/>
              </w:rPr>
              <w:t>pour</w:t>
            </w:r>
            <w:r w:rsidRPr="00891588">
              <w:rPr>
                <w:sz w:val="20"/>
              </w:rPr>
              <w:tab/>
              <w:t xml:space="preserve">7,5°   &lt;   </w:t>
            </w:r>
            <w:r w:rsidRPr="00891588">
              <w:rPr>
                <w:sz w:val="20"/>
              </w:rPr>
              <w:sym w:font="Symbol" w:char="F071"/>
            </w:r>
            <w:r w:rsidRPr="00891588">
              <w:rPr>
                <w:sz w:val="20"/>
              </w:rPr>
              <w:t xml:space="preserve">   ≤   53°</w:t>
            </w:r>
          </w:p>
        </w:tc>
      </w:tr>
      <w:tr w:rsidR="005A7D54" w:rsidRPr="00891588" w:rsidTr="0032200C">
        <w:tc>
          <w:tcPr>
            <w:tcW w:w="5400" w:type="dxa"/>
            <w:shd w:val="clear" w:color="auto" w:fill="auto"/>
          </w:tcPr>
          <w:p w:rsidR="005A7D54" w:rsidRPr="00891588" w:rsidRDefault="005A7D54" w:rsidP="004D2817">
            <w:pPr>
              <w:tabs>
                <w:tab w:val="clear" w:pos="1134"/>
                <w:tab w:val="left" w:pos="828"/>
                <w:tab w:val="center" w:pos="1440"/>
                <w:tab w:val="right" w:pos="5112"/>
              </w:tabs>
              <w:rPr>
                <w:rFonts w:ascii="Symbol" w:eastAsia="Calibri" w:hAnsi="Symbol" w:cs="Symbol"/>
                <w:sz w:val="20"/>
              </w:rPr>
            </w:pPr>
            <w:r w:rsidRPr="00891588">
              <w:rPr>
                <w:sz w:val="20"/>
              </w:rPr>
              <w:tab/>
              <w:t>–49,7 dB(W/(m</w:t>
            </w:r>
            <w:r w:rsidRPr="00891588">
              <w:rPr>
                <w:sz w:val="20"/>
                <w:vertAlign w:val="superscript"/>
              </w:rPr>
              <w:t xml:space="preserve">2 </w:t>
            </w:r>
            <w:r w:rsidRPr="00891588">
              <w:rPr>
                <w:sz w:val="20"/>
              </w:rPr>
              <w:t xml:space="preserve"> </w:t>
            </w:r>
            <w:r w:rsidRPr="00891588">
              <w:rPr>
                <w:sz w:val="20"/>
              </w:rPr>
              <w:sym w:font="Symbol" w:char="F0D7"/>
            </w:r>
            <w:r w:rsidRPr="00891588">
              <w:rPr>
                <w:sz w:val="20"/>
              </w:rPr>
              <w:t xml:space="preserve"> 14 MHz))</w:t>
            </w:r>
          </w:p>
        </w:tc>
        <w:tc>
          <w:tcPr>
            <w:tcW w:w="3600" w:type="dxa"/>
            <w:shd w:val="clear" w:color="auto" w:fill="auto"/>
          </w:tcPr>
          <w:p w:rsidR="005A7D54" w:rsidRPr="00891588" w:rsidRDefault="005A7D54" w:rsidP="004D2817">
            <w:pPr>
              <w:tabs>
                <w:tab w:val="center" w:pos="1962"/>
              </w:tabs>
              <w:ind w:left="248"/>
              <w:rPr>
                <w:rFonts w:ascii="Symbol" w:eastAsia="Calibri" w:hAnsi="Symbol" w:cs="Symbol"/>
                <w:sz w:val="20"/>
              </w:rPr>
            </w:pPr>
            <w:r w:rsidRPr="00891588">
              <w:rPr>
                <w:sz w:val="20"/>
              </w:rPr>
              <w:t>pour</w:t>
            </w:r>
            <w:r w:rsidRPr="00891588">
              <w:rPr>
                <w:sz w:val="20"/>
              </w:rPr>
              <w:tab/>
              <w:t xml:space="preserve">53°   &lt;   </w:t>
            </w:r>
            <w:r w:rsidRPr="00891588">
              <w:rPr>
                <w:sz w:val="20"/>
              </w:rPr>
              <w:sym w:font="Symbol" w:char="F071"/>
            </w:r>
            <w:r w:rsidRPr="00891588">
              <w:rPr>
                <w:sz w:val="20"/>
              </w:rPr>
              <w:t xml:space="preserve">   ≤   90°</w:t>
            </w:r>
          </w:p>
        </w:tc>
      </w:tr>
    </w:tbl>
    <w:p w:rsidR="005A7D54" w:rsidRPr="004D2817" w:rsidRDefault="005A7D54" w:rsidP="004D2817">
      <w:r w:rsidRPr="004D2817">
        <w:t xml:space="preserve">où </w:t>
      </w:r>
      <w:r w:rsidRPr="004D2817">
        <w:rPr>
          <w:rFonts w:ascii="Symbol" w:hAnsi="Symbol"/>
        </w:rPr>
        <w:t></w:t>
      </w:r>
      <w:r w:rsidRPr="004D2817">
        <w:rPr>
          <w:rFonts w:ascii="Symbol" w:hAnsi="Symbol"/>
        </w:rPr>
        <w:t></w:t>
      </w:r>
      <w:r w:rsidRPr="004D2817">
        <w:t>est l'angle d'incidence de l'onde radioélectrique (degrés au-dessus de l'horizon).</w:t>
      </w:r>
    </w:p>
    <w:p w:rsidR="005A7D54" w:rsidRPr="004D2817" w:rsidRDefault="005A7D54" w:rsidP="004D2817">
      <w:pPr>
        <w:pStyle w:val="Note"/>
      </w:pPr>
      <w:r w:rsidRPr="004D2817">
        <w:t xml:space="preserve">NOTE </w:t>
      </w:r>
      <w:r w:rsidR="00AA12DF" w:rsidRPr="004D2817">
        <w:t xml:space="preserve">1 </w:t>
      </w:r>
      <w:r w:rsidRPr="004D2817">
        <w:t xml:space="preserve">– Les limites ci-dessus se rapportent à la puissance surfacique et aux angles d'incidence qui seraient obtenus </w:t>
      </w:r>
      <w:r w:rsidRPr="004D2817">
        <w:rPr>
          <w:color w:val="000000"/>
        </w:rPr>
        <w:t>dans des conditions</w:t>
      </w:r>
      <w:r w:rsidRPr="004D2817">
        <w:t xml:space="preserve"> de propagation en espace libre.</w:t>
      </w:r>
    </w:p>
    <w:p w:rsidR="00032EF0" w:rsidRPr="004D2817" w:rsidRDefault="00032EF0" w:rsidP="004D2817">
      <w:pPr>
        <w:rPr>
          <w:lang w:val="fr-CH" w:eastAsia="fr-FR"/>
        </w:rPr>
      </w:pPr>
      <w:r w:rsidRPr="004D2817">
        <w:rPr>
          <w:lang w:val="fr-CH"/>
        </w:rPr>
        <w:t xml:space="preserve">Dans la </w:t>
      </w:r>
      <w:r w:rsidR="0048763B" w:rsidRPr="004D2817">
        <w:rPr>
          <w:lang w:val="fr-CH"/>
        </w:rPr>
        <w:t>gamme de fréquences</w:t>
      </w:r>
      <w:r w:rsidRPr="004D2817">
        <w:rPr>
          <w:lang w:val="fr-CH"/>
        </w:rPr>
        <w:t xml:space="preserve"> </w:t>
      </w:r>
      <w:r w:rsidRPr="004D2817">
        <w:t>27,5-29,5 GHz</w:t>
      </w:r>
      <w:r w:rsidR="0048763B" w:rsidRPr="004D2817">
        <w:t>, lorsqu'elle</w:t>
      </w:r>
      <w:r w:rsidRPr="004D2817">
        <w:rPr>
          <w:lang w:val="fr-CH"/>
        </w:rPr>
        <w:t xml:space="preserve"> est utilisée par les réseaux du service fixe, en visibilité directe du territoire d'une administration où les réseaux du service fixe fonctionnent dans cette bande, la puissance surfacique produite à la surface de la Terre par les émissions d'un seul </w:t>
      </w:r>
      <w:r w:rsidRPr="004D2817">
        <w:rPr>
          <w:rFonts w:eastAsia="Calibri"/>
          <w:lang w:val="fr-CH"/>
        </w:rPr>
        <w:t>aéronef sans pilote</w:t>
      </w:r>
      <w:r w:rsidRPr="004D2817">
        <w:rPr>
          <w:lang w:val="fr-CH"/>
        </w:rPr>
        <w:t xml:space="preserve"> ne devrait pas dépasser:</w:t>
      </w:r>
    </w:p>
    <w:tbl>
      <w:tblPr>
        <w:tblW w:w="0" w:type="auto"/>
        <w:tblInd w:w="198" w:type="dxa"/>
        <w:tblLook w:val="04A0" w:firstRow="1" w:lastRow="0" w:firstColumn="1" w:lastColumn="0" w:noHBand="0" w:noVBand="1"/>
      </w:tblPr>
      <w:tblGrid>
        <w:gridCol w:w="5400"/>
        <w:gridCol w:w="3600"/>
      </w:tblGrid>
      <w:tr w:rsidR="00032EF0" w:rsidRPr="004D2817" w:rsidTr="0032200C">
        <w:tc>
          <w:tcPr>
            <w:tcW w:w="5400" w:type="dxa"/>
            <w:shd w:val="clear" w:color="auto" w:fill="auto"/>
          </w:tcPr>
          <w:p w:rsidR="00032EF0" w:rsidRPr="00891588" w:rsidRDefault="00032EF0" w:rsidP="004D2817">
            <w:pPr>
              <w:tabs>
                <w:tab w:val="clear" w:pos="1134"/>
                <w:tab w:val="left" w:pos="828"/>
              </w:tabs>
              <w:rPr>
                <w:rFonts w:ascii="Symbol" w:eastAsia="Calibri" w:hAnsi="Symbol" w:cs="Symbol"/>
                <w:sz w:val="20"/>
              </w:rPr>
            </w:pPr>
            <w:r w:rsidRPr="00891588">
              <w:rPr>
                <w:sz w:val="20"/>
              </w:rPr>
              <w:tab/>
              <w:t>–96 dB(W/(m</w:t>
            </w:r>
            <w:r w:rsidRPr="00891588">
              <w:rPr>
                <w:sz w:val="20"/>
                <w:vertAlign w:val="superscript"/>
              </w:rPr>
              <w:t xml:space="preserve">2 </w:t>
            </w:r>
            <w:r w:rsidRPr="00891588">
              <w:rPr>
                <w:sz w:val="20"/>
              </w:rPr>
              <w:t xml:space="preserve"> </w:t>
            </w:r>
            <w:r w:rsidRPr="00891588">
              <w:rPr>
                <w:sz w:val="20"/>
              </w:rPr>
              <w:sym w:font="Symbol" w:char="F0D7"/>
            </w:r>
            <w:r w:rsidRPr="00891588">
              <w:rPr>
                <w:sz w:val="20"/>
              </w:rPr>
              <w:t xml:space="preserve"> 14 MHz))</w:t>
            </w:r>
          </w:p>
        </w:tc>
        <w:tc>
          <w:tcPr>
            <w:tcW w:w="3600" w:type="dxa"/>
            <w:shd w:val="clear" w:color="auto" w:fill="auto"/>
          </w:tcPr>
          <w:p w:rsidR="00032EF0" w:rsidRPr="00891588" w:rsidRDefault="00032EF0" w:rsidP="004D2817">
            <w:pPr>
              <w:ind w:left="248"/>
              <w:rPr>
                <w:rFonts w:ascii="Symbol" w:eastAsia="Calibri" w:hAnsi="Symbol" w:cs="Symbol"/>
                <w:sz w:val="20"/>
              </w:rPr>
            </w:pPr>
            <w:r w:rsidRPr="00891588">
              <w:rPr>
                <w:sz w:val="20"/>
              </w:rPr>
              <w:t>pour</w:t>
            </w:r>
            <w:r w:rsidRPr="00891588">
              <w:rPr>
                <w:sz w:val="20"/>
              </w:rPr>
              <w:tab/>
            </w:r>
            <w:r w:rsidRPr="00891588">
              <w:rPr>
                <w:sz w:val="20"/>
              </w:rPr>
              <w:sym w:font="Symbol" w:char="F071"/>
            </w:r>
            <w:r w:rsidRPr="00891588">
              <w:rPr>
                <w:sz w:val="20"/>
              </w:rPr>
              <w:t xml:space="preserve">    ≤   5°</w:t>
            </w:r>
          </w:p>
        </w:tc>
      </w:tr>
      <w:tr w:rsidR="00032EF0" w:rsidRPr="004D2817" w:rsidTr="0032200C">
        <w:tc>
          <w:tcPr>
            <w:tcW w:w="5400" w:type="dxa"/>
            <w:shd w:val="clear" w:color="auto" w:fill="auto"/>
          </w:tcPr>
          <w:p w:rsidR="00032EF0" w:rsidRPr="00891588" w:rsidRDefault="00032EF0" w:rsidP="004D2817">
            <w:pPr>
              <w:tabs>
                <w:tab w:val="clear" w:pos="1134"/>
                <w:tab w:val="left" w:pos="828"/>
                <w:tab w:val="center" w:pos="1440"/>
                <w:tab w:val="right" w:pos="5112"/>
              </w:tabs>
              <w:rPr>
                <w:rFonts w:ascii="Symbol" w:eastAsia="Calibri" w:hAnsi="Symbol" w:cs="Symbol"/>
                <w:sz w:val="20"/>
              </w:rPr>
            </w:pPr>
            <w:r w:rsidRPr="00891588">
              <w:rPr>
                <w:sz w:val="20"/>
              </w:rPr>
              <w:tab/>
              <w:t xml:space="preserve">–96 + 0,6 </w:t>
            </w:r>
            <w:r w:rsidRPr="00891588">
              <w:rPr>
                <w:sz w:val="20"/>
              </w:rPr>
              <w:sym w:font="Symbol" w:char="F0D7"/>
            </w:r>
            <w:r w:rsidRPr="00891588">
              <w:rPr>
                <w:sz w:val="20"/>
              </w:rPr>
              <w:t xml:space="preserve"> (</w:t>
            </w:r>
            <w:r w:rsidRPr="00891588">
              <w:rPr>
                <w:sz w:val="20"/>
              </w:rPr>
              <w:sym w:font="Symbol" w:char="F071"/>
            </w:r>
            <w:r w:rsidRPr="00891588">
              <w:rPr>
                <w:sz w:val="20"/>
              </w:rPr>
              <w:t xml:space="preserve"> - 5°)</w:t>
            </w:r>
            <w:r w:rsidRPr="00891588">
              <w:rPr>
                <w:sz w:val="20"/>
                <w:vertAlign w:val="superscript"/>
              </w:rPr>
              <w:t xml:space="preserve">2 </w:t>
            </w:r>
            <w:r w:rsidRPr="00891588">
              <w:rPr>
                <w:sz w:val="20"/>
              </w:rPr>
              <w:t>dB(W/(m</w:t>
            </w:r>
            <w:r w:rsidRPr="00891588">
              <w:rPr>
                <w:sz w:val="20"/>
                <w:vertAlign w:val="superscript"/>
              </w:rPr>
              <w:t xml:space="preserve">2 </w:t>
            </w:r>
            <w:r w:rsidRPr="00891588">
              <w:rPr>
                <w:sz w:val="20"/>
              </w:rPr>
              <w:t xml:space="preserve"> </w:t>
            </w:r>
            <w:r w:rsidRPr="00891588">
              <w:rPr>
                <w:sz w:val="20"/>
              </w:rPr>
              <w:sym w:font="Symbol" w:char="F0D7"/>
            </w:r>
            <w:r w:rsidRPr="00891588">
              <w:rPr>
                <w:sz w:val="20"/>
              </w:rPr>
              <w:t xml:space="preserve"> 14 MHz))</w:t>
            </w:r>
          </w:p>
        </w:tc>
        <w:tc>
          <w:tcPr>
            <w:tcW w:w="3600" w:type="dxa"/>
            <w:shd w:val="clear" w:color="auto" w:fill="auto"/>
          </w:tcPr>
          <w:p w:rsidR="00032EF0" w:rsidRPr="00891588" w:rsidRDefault="00032EF0" w:rsidP="004D2817">
            <w:pPr>
              <w:tabs>
                <w:tab w:val="center" w:pos="1962"/>
              </w:tabs>
              <w:ind w:left="248"/>
              <w:rPr>
                <w:rFonts w:ascii="Symbol" w:eastAsia="Calibri" w:hAnsi="Symbol" w:cs="Symbol"/>
                <w:sz w:val="20"/>
              </w:rPr>
            </w:pPr>
            <w:r w:rsidRPr="00891588">
              <w:rPr>
                <w:sz w:val="20"/>
              </w:rPr>
              <w:t>pour</w:t>
            </w:r>
            <w:r w:rsidRPr="00891588">
              <w:rPr>
                <w:sz w:val="20"/>
              </w:rPr>
              <w:tab/>
              <w:t xml:space="preserve">5°    &lt;   </w:t>
            </w:r>
            <w:r w:rsidRPr="00891588">
              <w:rPr>
                <w:sz w:val="20"/>
              </w:rPr>
              <w:sym w:font="Symbol" w:char="F071"/>
            </w:r>
            <w:r w:rsidRPr="00891588">
              <w:rPr>
                <w:sz w:val="20"/>
              </w:rPr>
              <w:t xml:space="preserve">   ≤   9,4°</w:t>
            </w:r>
          </w:p>
        </w:tc>
      </w:tr>
      <w:tr w:rsidR="00032EF0" w:rsidRPr="004D2817" w:rsidTr="0032200C">
        <w:tc>
          <w:tcPr>
            <w:tcW w:w="5400" w:type="dxa"/>
            <w:shd w:val="clear" w:color="auto" w:fill="auto"/>
          </w:tcPr>
          <w:p w:rsidR="00032EF0" w:rsidRPr="00891588" w:rsidRDefault="00032EF0" w:rsidP="004D2817">
            <w:pPr>
              <w:tabs>
                <w:tab w:val="clear" w:pos="1134"/>
                <w:tab w:val="left" w:pos="828"/>
                <w:tab w:val="center" w:pos="1440"/>
                <w:tab w:val="right" w:pos="5112"/>
              </w:tabs>
              <w:rPr>
                <w:rFonts w:ascii="Symbol" w:eastAsia="Calibri" w:hAnsi="Symbol" w:cs="Symbol"/>
                <w:sz w:val="20"/>
              </w:rPr>
            </w:pPr>
            <w:r w:rsidRPr="00891588">
              <w:rPr>
                <w:sz w:val="20"/>
              </w:rPr>
              <w:tab/>
              <w:t xml:space="preserve">–84,4 </w:t>
            </w:r>
            <w:r w:rsidRPr="00891588">
              <w:rPr>
                <w:sz w:val="20"/>
              </w:rPr>
              <w:tab/>
              <w:t>dB(W/(m</w:t>
            </w:r>
            <w:r w:rsidRPr="00891588">
              <w:rPr>
                <w:sz w:val="20"/>
                <w:vertAlign w:val="superscript"/>
              </w:rPr>
              <w:t xml:space="preserve">2 </w:t>
            </w:r>
            <w:r w:rsidRPr="00891588">
              <w:rPr>
                <w:sz w:val="20"/>
              </w:rPr>
              <w:t xml:space="preserve"> </w:t>
            </w:r>
            <w:r w:rsidRPr="00891588">
              <w:rPr>
                <w:sz w:val="20"/>
              </w:rPr>
              <w:sym w:font="Symbol" w:char="F0D7"/>
            </w:r>
            <w:r w:rsidRPr="00891588">
              <w:rPr>
                <w:sz w:val="20"/>
              </w:rPr>
              <w:t xml:space="preserve"> 14 MHz))</w:t>
            </w:r>
          </w:p>
        </w:tc>
        <w:tc>
          <w:tcPr>
            <w:tcW w:w="3600" w:type="dxa"/>
            <w:shd w:val="clear" w:color="auto" w:fill="auto"/>
          </w:tcPr>
          <w:p w:rsidR="00032EF0" w:rsidRPr="00891588" w:rsidRDefault="00032EF0" w:rsidP="004D2817">
            <w:pPr>
              <w:tabs>
                <w:tab w:val="center" w:pos="1962"/>
              </w:tabs>
              <w:ind w:left="248"/>
              <w:rPr>
                <w:rFonts w:ascii="Symbol" w:eastAsia="Calibri" w:hAnsi="Symbol" w:cs="Symbol"/>
                <w:sz w:val="20"/>
              </w:rPr>
            </w:pPr>
            <w:r w:rsidRPr="00891588">
              <w:rPr>
                <w:sz w:val="20"/>
              </w:rPr>
              <w:t>pour</w:t>
            </w:r>
            <w:r w:rsidRPr="00891588">
              <w:rPr>
                <w:sz w:val="20"/>
              </w:rPr>
              <w:tab/>
              <w:t xml:space="preserve">9,4°   &lt;   </w:t>
            </w:r>
            <w:r w:rsidRPr="00891588">
              <w:rPr>
                <w:sz w:val="20"/>
              </w:rPr>
              <w:sym w:font="Symbol" w:char="F071"/>
            </w:r>
            <w:r w:rsidRPr="00891588">
              <w:rPr>
                <w:sz w:val="20"/>
              </w:rPr>
              <w:t xml:space="preserve">   ≤   90°</w:t>
            </w:r>
          </w:p>
        </w:tc>
      </w:tr>
    </w:tbl>
    <w:p w:rsidR="00032EF0" w:rsidRPr="004D2817" w:rsidRDefault="00032EF0" w:rsidP="004D2817">
      <w:pPr>
        <w:rPr>
          <w:lang w:val="fr-CH" w:eastAsia="fr-FR"/>
        </w:rPr>
      </w:pPr>
      <w:r w:rsidRPr="004D2817">
        <w:t xml:space="preserve">où </w:t>
      </w:r>
      <w:r w:rsidRPr="004D2817">
        <w:rPr>
          <w:rFonts w:ascii="Symbol" w:hAnsi="Symbol"/>
        </w:rPr>
        <w:t></w:t>
      </w:r>
      <w:r w:rsidRPr="004D2817">
        <w:rPr>
          <w:rFonts w:ascii="Symbol" w:hAnsi="Symbol"/>
        </w:rPr>
        <w:t></w:t>
      </w:r>
      <w:r w:rsidRPr="004D2817">
        <w:t>est l'angle d'incidence de l'onde radioélectrique (degrés au-dessus de l'horizon).</w:t>
      </w:r>
    </w:p>
    <w:p w:rsidR="00032EF0" w:rsidRPr="004D2817" w:rsidRDefault="00032EF0" w:rsidP="004D2817">
      <w:pPr>
        <w:rPr>
          <w:lang w:val="fr-CH" w:eastAsia="fr-FR"/>
        </w:rPr>
      </w:pPr>
      <w:r w:rsidRPr="004D2817">
        <w:t xml:space="preserve">NOTE </w:t>
      </w:r>
      <w:r w:rsidR="00A6007A" w:rsidRPr="004D2817">
        <w:t xml:space="preserve">1 </w:t>
      </w:r>
      <w:r w:rsidRPr="004D2817">
        <w:t>– Les limites ci-dessus se rapportent à la puissance surfacique et aux angles d'incidence qui seraient obtenus dans des conditions de propagation en espace libre.</w:t>
      </w:r>
    </w:p>
    <w:p w:rsidR="00A63B8E" w:rsidRPr="004D2817" w:rsidRDefault="00A63B8E" w:rsidP="004D2817">
      <w:pPr>
        <w:pStyle w:val="Heading1"/>
        <w:rPr>
          <w:lang w:val="fr-CH"/>
        </w:rPr>
      </w:pPr>
      <w:r w:rsidRPr="004D2817">
        <w:rPr>
          <w:lang w:val="fr-CH"/>
        </w:rPr>
        <w:t>3</w:t>
      </w:r>
      <w:r w:rsidRPr="004D2817">
        <w:rPr>
          <w:lang w:val="fr-CH"/>
        </w:rPr>
        <w:tab/>
        <w:t>Protection des autres réseau</w:t>
      </w:r>
      <w:r w:rsidR="004D2817">
        <w:rPr>
          <w:lang w:val="fr-CH"/>
        </w:rPr>
        <w:t>x du service fixe par satellite</w:t>
      </w:r>
    </w:p>
    <w:p w:rsidR="00A63B8E" w:rsidRPr="004D2817" w:rsidRDefault="00A63B8E" w:rsidP="004D2817">
      <w:pPr>
        <w:rPr>
          <w:lang w:val="fr-CH"/>
        </w:rPr>
      </w:pPr>
      <w:r w:rsidRPr="004D2817">
        <w:t>Les conditions régissant l</w:t>
      </w:r>
      <w:r w:rsidR="002C2F36">
        <w:t>'</w:t>
      </w:r>
      <w:r w:rsidRPr="004D2817">
        <w:t>utilisation de liaisons CNPC par les aéronefs sans pilote seront telles que le SFS sera protégé contre tout brouillage préjudiciable, comme indiqué ci-après:</w:t>
      </w:r>
    </w:p>
    <w:p w:rsidR="00A63B8E" w:rsidRPr="004D2817" w:rsidRDefault="0048763B" w:rsidP="004D2817">
      <w:pPr>
        <w:rPr>
          <w:lang w:val="fr-CH"/>
        </w:rPr>
      </w:pPr>
      <w:r w:rsidRPr="004D2817">
        <w:rPr>
          <w:rFonts w:eastAsia="Calibri"/>
          <w:lang w:val="fr-CH"/>
        </w:rPr>
        <w:t>L</w:t>
      </w:r>
      <w:r w:rsidR="00A63B8E" w:rsidRPr="004D2817">
        <w:rPr>
          <w:rFonts w:eastAsia="Calibri"/>
          <w:lang w:val="fr-CH"/>
        </w:rPr>
        <w:t xml:space="preserve">es </w:t>
      </w:r>
      <w:r w:rsidR="00A63B8E" w:rsidRPr="004D2817">
        <w:t xml:space="preserve">liaisons CNPC des systèmes </w:t>
      </w:r>
      <w:r w:rsidR="00A63B8E" w:rsidRPr="004D2817">
        <w:rPr>
          <w:rFonts w:eastAsia="Calibri"/>
          <w:lang w:val="fr-CH"/>
        </w:rPr>
        <w:t>UAS devront respecter en permanence la Recommandation UIT</w:t>
      </w:r>
      <w:r w:rsidR="00A63B8E" w:rsidRPr="004D2817">
        <w:rPr>
          <w:rFonts w:eastAsia="Calibri"/>
          <w:lang w:val="fr-CH"/>
        </w:rPr>
        <w:noBreakHyphen/>
        <w:t>R S.524</w:t>
      </w:r>
      <w:r w:rsidR="00A63B8E" w:rsidRPr="004D2817">
        <w:rPr>
          <w:lang w:val="fr-CH"/>
        </w:rPr>
        <w:t xml:space="preserve">, ou les autres niveaux coordonnés </w:t>
      </w:r>
      <w:r w:rsidR="00A63B8E" w:rsidRPr="004D2817">
        <w:rPr>
          <w:color w:val="000000"/>
        </w:rPr>
        <w:t>convenus entre les administrations</w:t>
      </w:r>
      <w:r w:rsidRPr="004D2817">
        <w:rPr>
          <w:color w:val="000000"/>
        </w:rPr>
        <w:t>.</w:t>
      </w:r>
    </w:p>
    <w:p w:rsidR="00A63B8E" w:rsidRPr="004D2817" w:rsidRDefault="00A63B8E" w:rsidP="004D2817">
      <w:pPr>
        <w:pStyle w:val="Heading1"/>
        <w:rPr>
          <w:lang w:val="fr-CH"/>
        </w:rPr>
      </w:pPr>
      <w:r w:rsidRPr="004D2817">
        <w:rPr>
          <w:lang w:val="fr-CH"/>
        </w:rPr>
        <w:t>4</w:t>
      </w:r>
      <w:r w:rsidRPr="004D2817">
        <w:rPr>
          <w:lang w:val="fr-CH"/>
        </w:rPr>
        <w:tab/>
        <w:t>Protectio</w:t>
      </w:r>
      <w:r w:rsidR="004D2817">
        <w:rPr>
          <w:lang w:val="fr-CH"/>
        </w:rPr>
        <w:t>n du service de radioastronomie</w:t>
      </w:r>
    </w:p>
    <w:p w:rsidR="00A63B8E" w:rsidRPr="004D2817" w:rsidRDefault="00A63B8E" w:rsidP="004D2817">
      <w:pPr>
        <w:rPr>
          <w:lang w:val="fr-CH"/>
        </w:rPr>
      </w:pPr>
      <w:r w:rsidRPr="004D2817">
        <w:rPr>
          <w:lang w:val="fr-CH"/>
        </w:rPr>
        <w:t xml:space="preserve">Aux termes du numéro </w:t>
      </w:r>
      <w:r w:rsidRPr="004D2817">
        <w:rPr>
          <w:b/>
          <w:bCs/>
          <w:lang w:val="fr-CH"/>
        </w:rPr>
        <w:t xml:space="preserve">5.149 </w:t>
      </w:r>
      <w:r w:rsidRPr="004D2817">
        <w:rPr>
          <w:lang w:val="fr-CH"/>
        </w:rPr>
        <w:t xml:space="preserve">du Règlement des radiocommunications, les administrations doivent prendre toutes les mesures pratiquement réalisables pour protéger le service de radioastronomie dans certaines bandes, notamment la bande 14,47-14,5 GHz, étant donné que les </w:t>
      </w:r>
      <w:r w:rsidRPr="004D2817">
        <w:rPr>
          <w:color w:val="000000"/>
        </w:rPr>
        <w:t>émissions provenant de stations aéroportées peuvent constituer des sources de brouillage particulièrement importantes pour le service de radioastronomie</w:t>
      </w:r>
      <w:r w:rsidRPr="004D2817">
        <w:rPr>
          <w:lang w:val="fr-CH"/>
        </w:rPr>
        <w:t>.</w:t>
      </w:r>
    </w:p>
    <w:p w:rsidR="00A63B8E" w:rsidRPr="004D2817" w:rsidRDefault="00A63B8E" w:rsidP="004D2817">
      <w:pPr>
        <w:rPr>
          <w:color w:val="000000"/>
        </w:rPr>
      </w:pPr>
      <w:r w:rsidRPr="004D2817">
        <w:rPr>
          <w:lang w:val="fr-CH"/>
        </w:rPr>
        <w:lastRenderedPageBreak/>
        <w:t>Dans la bande 14,47-14,5 GHz, il sera nécessaire de mener des consultations entre les stations du service de radioastronomie et les systèmes UAS exploitant sur la même fréquence des liaisons CNPC de systèmes UAS (Terre vers espace) en visibilité directe d</w:t>
      </w:r>
      <w:r w:rsidR="002C2F36">
        <w:rPr>
          <w:lang w:val="fr-CH"/>
        </w:rPr>
        <w:t>'</w:t>
      </w:r>
      <w:r w:rsidRPr="004D2817">
        <w:rPr>
          <w:lang w:val="fr-CH"/>
        </w:rPr>
        <w:t xml:space="preserve">observatoires du service de radioastronomie, afin de remédier aux </w:t>
      </w:r>
      <w:r w:rsidRPr="004D2817">
        <w:rPr>
          <w:color w:val="000000"/>
        </w:rPr>
        <w:t>éventuelles incompatibilités.</w:t>
      </w:r>
    </w:p>
    <w:p w:rsidR="00A63B8E" w:rsidRDefault="00A63B8E" w:rsidP="004D2817">
      <w:pPr>
        <w:pStyle w:val="Reasons"/>
      </w:pPr>
    </w:p>
    <w:p w:rsidR="00891588" w:rsidRPr="004D2817" w:rsidRDefault="00891588" w:rsidP="004D2817">
      <w:pPr>
        <w:pStyle w:val="Reasons"/>
      </w:pPr>
    </w:p>
    <w:p w:rsidR="00A63B8E" w:rsidRDefault="00A63B8E" w:rsidP="004D2817">
      <w:pPr>
        <w:jc w:val="center"/>
      </w:pPr>
      <w:r w:rsidRPr="004D2817">
        <w:t>______________</w:t>
      </w:r>
    </w:p>
    <w:p w:rsidR="00A63B8E" w:rsidRPr="002A7597" w:rsidRDefault="00A63B8E" w:rsidP="004D2817">
      <w:pPr>
        <w:pStyle w:val="Reasons"/>
        <w:rPr>
          <w:lang w:val="fr-CH"/>
        </w:rPr>
      </w:pPr>
    </w:p>
    <w:sectPr w:rsidR="00A63B8E" w:rsidRPr="002A7597">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C2F36" w:rsidRDefault="00936D25">
    <w:pPr>
      <w:rPr>
        <w:lang w:val="de-CH"/>
      </w:rPr>
    </w:pPr>
    <w:r>
      <w:fldChar w:fldCharType="begin"/>
    </w:r>
    <w:r w:rsidRPr="002C2F36">
      <w:rPr>
        <w:lang w:val="de-CH"/>
      </w:rPr>
      <w:instrText xml:space="preserve"> FILENAME \p  \* MERGEFORMAT </w:instrText>
    </w:r>
    <w:r>
      <w:fldChar w:fldCharType="separate"/>
    </w:r>
    <w:r w:rsidR="009810CE" w:rsidRPr="002C2F36">
      <w:rPr>
        <w:noProof/>
        <w:lang w:val="de-CH"/>
      </w:rPr>
      <w:t>C:\Users\bachlerm\Desktop\388930\388930F.docx</w:t>
    </w:r>
    <w:r>
      <w:fldChar w:fldCharType="end"/>
    </w:r>
    <w:r w:rsidRPr="002C2F36">
      <w:rPr>
        <w:lang w:val="de-CH"/>
      </w:rPr>
      <w:tab/>
    </w:r>
    <w:r>
      <w:fldChar w:fldCharType="begin"/>
    </w:r>
    <w:r>
      <w:instrText xml:space="preserve"> SAVEDATE \@ DD.MM.YY </w:instrText>
    </w:r>
    <w:r>
      <w:fldChar w:fldCharType="separate"/>
    </w:r>
    <w:r w:rsidR="00891588">
      <w:rPr>
        <w:noProof/>
      </w:rPr>
      <w:t>27.10.15</w:t>
    </w:r>
    <w:r>
      <w:fldChar w:fldCharType="end"/>
    </w:r>
    <w:r w:rsidRPr="002C2F36">
      <w:rPr>
        <w:lang w:val="de-CH"/>
      </w:rPr>
      <w:tab/>
    </w:r>
    <w:r>
      <w:fldChar w:fldCharType="begin"/>
    </w:r>
    <w:r>
      <w:instrText xml:space="preserve"> PRINTDATE \@ DD.MM.YY </w:instrText>
    </w:r>
    <w:r>
      <w:fldChar w:fldCharType="separate"/>
    </w:r>
    <w:r w:rsidR="009810CE">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D2817" w:rsidRDefault="00936D25">
    <w:pPr>
      <w:pStyle w:val="Footer"/>
      <w:rPr>
        <w:lang w:val="es-ES_tradnl"/>
      </w:rPr>
    </w:pPr>
    <w:r>
      <w:fldChar w:fldCharType="begin"/>
    </w:r>
    <w:r w:rsidRPr="004D2817">
      <w:rPr>
        <w:lang w:val="es-ES_tradnl"/>
      </w:rPr>
      <w:instrText xml:space="preserve"> FILENAME \p  \* MERGEFORMAT </w:instrText>
    </w:r>
    <w:r>
      <w:fldChar w:fldCharType="separate"/>
    </w:r>
    <w:r w:rsidR="004D2817" w:rsidRPr="004D2817">
      <w:rPr>
        <w:lang w:val="es-ES_tradnl"/>
      </w:rPr>
      <w:t>P:\FRA\ITU-R\CONF-R\CMR15\100\125F.docx</w:t>
    </w:r>
    <w:r>
      <w:fldChar w:fldCharType="end"/>
    </w:r>
    <w:r w:rsidR="00282DF8" w:rsidRPr="004D2817">
      <w:rPr>
        <w:lang w:val="es-ES_tradnl"/>
      </w:rPr>
      <w:t xml:space="preserve"> (388930)</w:t>
    </w:r>
    <w:r w:rsidRPr="004D2817">
      <w:rPr>
        <w:lang w:val="es-ES_tradnl"/>
      </w:rPr>
      <w:tab/>
    </w:r>
    <w:r>
      <w:fldChar w:fldCharType="begin"/>
    </w:r>
    <w:r>
      <w:instrText xml:space="preserve"> SAVEDATE \@ DD.MM.YY </w:instrText>
    </w:r>
    <w:r>
      <w:fldChar w:fldCharType="separate"/>
    </w:r>
    <w:r w:rsidR="00891588">
      <w:t>27.10.15</w:t>
    </w:r>
    <w:r>
      <w:fldChar w:fldCharType="end"/>
    </w:r>
    <w:r w:rsidRPr="004D2817">
      <w:rPr>
        <w:lang w:val="es-ES_tradnl"/>
      </w:rPr>
      <w:tab/>
    </w:r>
    <w:r>
      <w:fldChar w:fldCharType="begin"/>
    </w:r>
    <w:r>
      <w:instrText xml:space="preserve"> PRINTDATE \@ DD.MM.YY </w:instrText>
    </w:r>
    <w:r>
      <w:fldChar w:fldCharType="separate"/>
    </w:r>
    <w:r w:rsidR="009810CE">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D2817" w:rsidRDefault="00936D25">
    <w:pPr>
      <w:pStyle w:val="Footer"/>
      <w:rPr>
        <w:lang w:val="es-ES_tradnl"/>
      </w:rPr>
    </w:pPr>
    <w:r>
      <w:fldChar w:fldCharType="begin"/>
    </w:r>
    <w:r w:rsidRPr="004D2817">
      <w:rPr>
        <w:lang w:val="es-ES_tradnl"/>
      </w:rPr>
      <w:instrText xml:space="preserve"> FILENAME \p  \* MERGEFORMAT </w:instrText>
    </w:r>
    <w:r>
      <w:fldChar w:fldCharType="separate"/>
    </w:r>
    <w:r w:rsidR="004D2817" w:rsidRPr="004D2817">
      <w:rPr>
        <w:lang w:val="es-ES_tradnl"/>
      </w:rPr>
      <w:t>P:\FRA\ITU-R\CONF-R\CMR15\100\125F.docx</w:t>
    </w:r>
    <w:r>
      <w:fldChar w:fldCharType="end"/>
    </w:r>
    <w:r w:rsidR="00282DF8" w:rsidRPr="004D2817">
      <w:rPr>
        <w:lang w:val="es-ES_tradnl"/>
      </w:rPr>
      <w:t xml:space="preserve"> (388930)</w:t>
    </w:r>
    <w:r w:rsidRPr="004D2817">
      <w:rPr>
        <w:lang w:val="es-ES_tradnl"/>
      </w:rPr>
      <w:tab/>
    </w:r>
    <w:r>
      <w:fldChar w:fldCharType="begin"/>
    </w:r>
    <w:r>
      <w:instrText xml:space="preserve"> SAVEDATE \@ DD.MM.YY </w:instrText>
    </w:r>
    <w:r>
      <w:fldChar w:fldCharType="separate"/>
    </w:r>
    <w:r w:rsidR="00891588">
      <w:t>27.10.15</w:t>
    </w:r>
    <w:r>
      <w:fldChar w:fldCharType="end"/>
    </w:r>
    <w:r w:rsidRPr="004D2817">
      <w:rPr>
        <w:lang w:val="es-ES_tradnl"/>
      </w:rPr>
      <w:tab/>
    </w:r>
    <w:r>
      <w:fldChar w:fldCharType="begin"/>
    </w:r>
    <w:r>
      <w:instrText xml:space="preserve"> PRINTDATE \@ DD.MM.YY </w:instrText>
    </w:r>
    <w:r>
      <w:fldChar w:fldCharType="separate"/>
    </w:r>
    <w:r w:rsidR="009810CE">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11334">
      <w:rPr>
        <w:noProof/>
      </w:rPr>
      <w:t>2</w:t>
    </w:r>
    <w:r>
      <w:fldChar w:fldCharType="end"/>
    </w:r>
  </w:p>
  <w:p w:rsidR="004F1F8E" w:rsidRDefault="004F1F8E" w:rsidP="002C28A4">
    <w:pPr>
      <w:pStyle w:val="Header"/>
    </w:pPr>
    <w:r>
      <w:t>CMR1</w:t>
    </w:r>
    <w:r w:rsidR="002C28A4">
      <w:t>5</w:t>
    </w:r>
    <w:r>
      <w:t>/</w:t>
    </w:r>
    <w:r w:rsidR="006A4B45">
      <w:t>125-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2EF0"/>
    <w:rsid w:val="0003522F"/>
    <w:rsid w:val="00080E2C"/>
    <w:rsid w:val="000A4755"/>
    <w:rsid w:val="000B2E0C"/>
    <w:rsid w:val="000B3D0C"/>
    <w:rsid w:val="001167B9"/>
    <w:rsid w:val="001267A0"/>
    <w:rsid w:val="0015203F"/>
    <w:rsid w:val="00153B58"/>
    <w:rsid w:val="00160C64"/>
    <w:rsid w:val="0018169B"/>
    <w:rsid w:val="0019352B"/>
    <w:rsid w:val="001960D0"/>
    <w:rsid w:val="001D5BC6"/>
    <w:rsid w:val="001F17E8"/>
    <w:rsid w:val="00204306"/>
    <w:rsid w:val="00232FD2"/>
    <w:rsid w:val="0025604B"/>
    <w:rsid w:val="0026554E"/>
    <w:rsid w:val="00282DF8"/>
    <w:rsid w:val="002A4622"/>
    <w:rsid w:val="002A6F8F"/>
    <w:rsid w:val="002B17E5"/>
    <w:rsid w:val="002C0EBF"/>
    <w:rsid w:val="002C28A4"/>
    <w:rsid w:val="002C2F36"/>
    <w:rsid w:val="00311334"/>
    <w:rsid w:val="00315AFE"/>
    <w:rsid w:val="00351258"/>
    <w:rsid w:val="003606A6"/>
    <w:rsid w:val="0036650C"/>
    <w:rsid w:val="003828CF"/>
    <w:rsid w:val="00393ACD"/>
    <w:rsid w:val="003A583E"/>
    <w:rsid w:val="003C48C6"/>
    <w:rsid w:val="003D0207"/>
    <w:rsid w:val="003D0FE7"/>
    <w:rsid w:val="003E112B"/>
    <w:rsid w:val="003E1D1C"/>
    <w:rsid w:val="003E7B05"/>
    <w:rsid w:val="00466211"/>
    <w:rsid w:val="004834A9"/>
    <w:rsid w:val="0048763B"/>
    <w:rsid w:val="004D01FC"/>
    <w:rsid w:val="004D2817"/>
    <w:rsid w:val="004D68B2"/>
    <w:rsid w:val="004E28C3"/>
    <w:rsid w:val="004F1F8E"/>
    <w:rsid w:val="00512A32"/>
    <w:rsid w:val="00586CF2"/>
    <w:rsid w:val="005A7D54"/>
    <w:rsid w:val="005C3768"/>
    <w:rsid w:val="005C6C3F"/>
    <w:rsid w:val="00613635"/>
    <w:rsid w:val="0062093D"/>
    <w:rsid w:val="00637ECF"/>
    <w:rsid w:val="00647B59"/>
    <w:rsid w:val="00690C7B"/>
    <w:rsid w:val="006A1702"/>
    <w:rsid w:val="006A4B45"/>
    <w:rsid w:val="006D4724"/>
    <w:rsid w:val="00700F48"/>
    <w:rsid w:val="00701BAE"/>
    <w:rsid w:val="00721F04"/>
    <w:rsid w:val="00730E95"/>
    <w:rsid w:val="007426B9"/>
    <w:rsid w:val="00764342"/>
    <w:rsid w:val="00774362"/>
    <w:rsid w:val="00780137"/>
    <w:rsid w:val="00786598"/>
    <w:rsid w:val="007A04E8"/>
    <w:rsid w:val="00843642"/>
    <w:rsid w:val="00851625"/>
    <w:rsid w:val="00863C0A"/>
    <w:rsid w:val="00891588"/>
    <w:rsid w:val="008A3120"/>
    <w:rsid w:val="008D41BE"/>
    <w:rsid w:val="008D58D3"/>
    <w:rsid w:val="00923064"/>
    <w:rsid w:val="00930FFD"/>
    <w:rsid w:val="00936D25"/>
    <w:rsid w:val="00941EA5"/>
    <w:rsid w:val="00964700"/>
    <w:rsid w:val="00966C16"/>
    <w:rsid w:val="00970171"/>
    <w:rsid w:val="009810CE"/>
    <w:rsid w:val="0098732F"/>
    <w:rsid w:val="00996527"/>
    <w:rsid w:val="009A045F"/>
    <w:rsid w:val="009C7E7C"/>
    <w:rsid w:val="00A00473"/>
    <w:rsid w:val="00A03C9B"/>
    <w:rsid w:val="00A12712"/>
    <w:rsid w:val="00A37105"/>
    <w:rsid w:val="00A6007A"/>
    <w:rsid w:val="00A606C3"/>
    <w:rsid w:val="00A63B8E"/>
    <w:rsid w:val="00A83B09"/>
    <w:rsid w:val="00A84541"/>
    <w:rsid w:val="00AA12DF"/>
    <w:rsid w:val="00AE36A0"/>
    <w:rsid w:val="00B00294"/>
    <w:rsid w:val="00B64FD0"/>
    <w:rsid w:val="00BA5831"/>
    <w:rsid w:val="00BA5BD0"/>
    <w:rsid w:val="00BB1D82"/>
    <w:rsid w:val="00BC25C6"/>
    <w:rsid w:val="00BF26E7"/>
    <w:rsid w:val="00C10A99"/>
    <w:rsid w:val="00C53FCA"/>
    <w:rsid w:val="00C76BAF"/>
    <w:rsid w:val="00C814B9"/>
    <w:rsid w:val="00CD516F"/>
    <w:rsid w:val="00CE31EC"/>
    <w:rsid w:val="00D119A7"/>
    <w:rsid w:val="00D25FBA"/>
    <w:rsid w:val="00D32B28"/>
    <w:rsid w:val="00D33CCE"/>
    <w:rsid w:val="00D42954"/>
    <w:rsid w:val="00D66EAC"/>
    <w:rsid w:val="00D730DF"/>
    <w:rsid w:val="00D772F0"/>
    <w:rsid w:val="00D77BDC"/>
    <w:rsid w:val="00D858E5"/>
    <w:rsid w:val="00DC402B"/>
    <w:rsid w:val="00DD536B"/>
    <w:rsid w:val="00DE0932"/>
    <w:rsid w:val="00E03A27"/>
    <w:rsid w:val="00E049F1"/>
    <w:rsid w:val="00E22D97"/>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7222673-9403-41CF-B122-C2714CE1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b0">
    <w:name w:val="heading_b"/>
    <w:basedOn w:val="Heading3"/>
    <w:next w:val="Normal"/>
    <w:rsid w:val="004D68B2"/>
    <w:pPr>
      <w:tabs>
        <w:tab w:val="left" w:pos="567"/>
        <w:tab w:val="left" w:pos="1701"/>
        <w:tab w:val="left" w:pos="2835"/>
      </w:tabs>
      <w:spacing w:before="160"/>
      <w:ind w:left="0" w:firstLine="0"/>
      <w:textAlignment w:val="auto"/>
      <w:outlineLvl w:val="9"/>
    </w:pPr>
    <w:rPr>
      <w:bCs/>
    </w:rPr>
  </w:style>
  <w:style w:type="character" w:customStyle="1" w:styleId="NormalaftertitleChar">
    <w:name w:val="Normal after title Char"/>
    <w:basedOn w:val="DefaultParagraphFont"/>
    <w:link w:val="Normalaftertitle"/>
    <w:locked/>
    <w:rsid w:val="005A7D54"/>
    <w:rPr>
      <w:rFonts w:ascii="Times New Roman" w:hAnsi="Times New Roman"/>
      <w:sz w:val="24"/>
      <w:lang w:val="fr-FR" w:eastAsia="en-US"/>
    </w:rPr>
  </w:style>
  <w:style w:type="character" w:customStyle="1" w:styleId="AnnextitleChar1">
    <w:name w:val="Annex_title Char1"/>
    <w:basedOn w:val="DefaultParagraphFont"/>
    <w:link w:val="Annextitle"/>
    <w:rsid w:val="005A7D54"/>
    <w:rPr>
      <w:rFonts w:ascii="Times New Roman Bold" w:hAnsi="Times New Roman Bold"/>
      <w:b/>
      <w:sz w:val="28"/>
      <w:lang w:val="fr-FR" w:eastAsia="en-US"/>
    </w:rPr>
  </w:style>
  <w:style w:type="character" w:customStyle="1" w:styleId="AnnexNoCar">
    <w:name w:val="Annex_No Car"/>
    <w:basedOn w:val="DefaultParagraphFont"/>
    <w:link w:val="AnnexNo"/>
    <w:rsid w:val="005A7D54"/>
    <w:rPr>
      <w:rFonts w:ascii="Times New Roman" w:hAnsi="Times New Roman"/>
      <w:caps/>
      <w:sz w:val="28"/>
      <w:lang w:val="fr-FR" w:eastAsia="en-US"/>
    </w:rPr>
  </w:style>
  <w:style w:type="paragraph" w:customStyle="1" w:styleId="Normalaftertitle0">
    <w:name w:val="Normal_after_title"/>
    <w:basedOn w:val="Normal"/>
    <w:next w:val="Normal"/>
    <w:rsid w:val="005A7D54"/>
    <w:pPr>
      <w:tabs>
        <w:tab w:val="clear" w:pos="1134"/>
        <w:tab w:val="clear" w:pos="1871"/>
        <w:tab w:val="clear" w:pos="2268"/>
        <w:tab w:val="left" w:pos="794"/>
        <w:tab w:val="left" w:pos="1191"/>
        <w:tab w:val="left" w:pos="1588"/>
        <w:tab w:val="left" w:pos="1985"/>
      </w:tabs>
      <w:spacing w:before="3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F5C6E-A361-423B-A58F-0ECB0F23EE76}">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32a1a8c5-2265-4ebc-b7a0-2071e2c5c9bb"/>
    <ds:schemaRef ds:uri="996b2e75-67fd-4955-a3b0-5ab9934cb50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1316</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R15-WRC15-C-0125!!MSW-F</vt:lpstr>
    </vt:vector>
  </TitlesOfParts>
  <Manager>Secrétariat général - Pool</Manager>
  <Company>Union internationale des télécommunications (UIT)</Company>
  <LinksUpToDate>false</LinksUpToDate>
  <CharactersWithSpaces>8551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R15-WRC15-C-0125!!MSW-F</dc:title>
  <dc:subject>Conférence mondiale des radiocommunications - 2015</dc:subject>
  <dc:creator>Documents Proposals Manager (DPM)</dc:creator>
  <cp:keywords>DPM_v5.2015.10.230_prod</cp:keywords>
  <dc:description/>
  <cp:lastModifiedBy>Saxod, Nathalie</cp:lastModifiedBy>
  <cp:revision>8</cp:revision>
  <cp:lastPrinted>2015-10-26T13:27:00Z</cp:lastPrinted>
  <dcterms:created xsi:type="dcterms:W3CDTF">2015-10-27T11:04:00Z</dcterms:created>
  <dcterms:modified xsi:type="dcterms:W3CDTF">2015-10-28T22:38:00Z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