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E6D68" w:rsidTr="0050008E">
        <w:trPr>
          <w:cantSplit/>
        </w:trPr>
        <w:tc>
          <w:tcPr>
            <w:tcW w:w="6911" w:type="dxa"/>
          </w:tcPr>
          <w:p w:rsidR="0090121B" w:rsidRPr="005E6D68" w:rsidRDefault="005D46FB" w:rsidP="00391803">
            <w:pPr>
              <w:spacing w:before="400" w:after="48"/>
              <w:rPr>
                <w:rFonts w:ascii="Verdana" w:hAnsi="Verdana"/>
                <w:position w:val="6"/>
              </w:rPr>
            </w:pPr>
            <w:r w:rsidRPr="005E6D68">
              <w:rPr>
                <w:rFonts w:ascii="Verdana" w:hAnsi="Verdana" w:cs="Times"/>
                <w:b/>
                <w:position w:val="6"/>
                <w:sz w:val="20"/>
              </w:rPr>
              <w:t>Conferencia Mundial de Radiocomunicaciones (CMR-15)</w:t>
            </w:r>
            <w:r w:rsidRPr="005E6D68">
              <w:rPr>
                <w:rFonts w:ascii="Verdana" w:hAnsi="Verdana" w:cs="Times"/>
                <w:b/>
                <w:position w:val="6"/>
                <w:sz w:val="20"/>
              </w:rPr>
              <w:br/>
            </w:r>
            <w:r w:rsidRPr="005E6D68">
              <w:rPr>
                <w:rFonts w:ascii="Verdana" w:hAnsi="Verdana"/>
                <w:b/>
                <w:bCs/>
                <w:position w:val="6"/>
                <w:sz w:val="18"/>
                <w:szCs w:val="18"/>
              </w:rPr>
              <w:t>Ginebra, 2-27 de noviembre de 2015</w:t>
            </w:r>
          </w:p>
        </w:tc>
        <w:tc>
          <w:tcPr>
            <w:tcW w:w="3120" w:type="dxa"/>
          </w:tcPr>
          <w:p w:rsidR="0090121B" w:rsidRPr="005E6D68" w:rsidRDefault="00CE7431" w:rsidP="00391803">
            <w:pPr>
              <w:spacing w:before="0"/>
              <w:jc w:val="right"/>
            </w:pPr>
            <w:bookmarkStart w:id="0" w:name="ditulogo"/>
            <w:bookmarkEnd w:id="0"/>
            <w:r w:rsidRPr="005E6D68">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E6D68" w:rsidTr="0050008E">
        <w:trPr>
          <w:cantSplit/>
        </w:trPr>
        <w:tc>
          <w:tcPr>
            <w:tcW w:w="6911" w:type="dxa"/>
            <w:tcBorders>
              <w:bottom w:val="single" w:sz="12" w:space="0" w:color="auto"/>
            </w:tcBorders>
          </w:tcPr>
          <w:p w:rsidR="0090121B" w:rsidRPr="005E6D68" w:rsidRDefault="00CE7431" w:rsidP="00391803">
            <w:pPr>
              <w:spacing w:before="0" w:after="48"/>
              <w:rPr>
                <w:b/>
                <w:smallCaps/>
                <w:szCs w:val="24"/>
              </w:rPr>
            </w:pPr>
            <w:bookmarkStart w:id="1" w:name="dhead"/>
            <w:r w:rsidRPr="005E6D68">
              <w:rPr>
                <w:rFonts w:ascii="Verdana" w:hAnsi="Verdana"/>
                <w:b/>
                <w:smallCaps/>
                <w:sz w:val="20"/>
              </w:rPr>
              <w:t>UNIÓN INTERNACIONAL DE TELECOMUNICACIONES</w:t>
            </w:r>
          </w:p>
        </w:tc>
        <w:tc>
          <w:tcPr>
            <w:tcW w:w="3120" w:type="dxa"/>
            <w:tcBorders>
              <w:bottom w:val="single" w:sz="12" w:space="0" w:color="auto"/>
            </w:tcBorders>
          </w:tcPr>
          <w:p w:rsidR="0090121B" w:rsidRPr="005E6D68" w:rsidRDefault="0090121B" w:rsidP="00391803">
            <w:pPr>
              <w:spacing w:before="0"/>
              <w:rPr>
                <w:rFonts w:ascii="Verdana" w:hAnsi="Verdana"/>
                <w:szCs w:val="24"/>
              </w:rPr>
            </w:pPr>
          </w:p>
        </w:tc>
      </w:tr>
      <w:tr w:rsidR="0090121B" w:rsidRPr="005E6D68" w:rsidTr="0090121B">
        <w:trPr>
          <w:cantSplit/>
        </w:trPr>
        <w:tc>
          <w:tcPr>
            <w:tcW w:w="6911" w:type="dxa"/>
            <w:tcBorders>
              <w:top w:val="single" w:sz="12" w:space="0" w:color="auto"/>
            </w:tcBorders>
          </w:tcPr>
          <w:p w:rsidR="0090121B" w:rsidRPr="005E6D68" w:rsidRDefault="0090121B" w:rsidP="00391803">
            <w:pPr>
              <w:spacing w:before="0" w:after="48"/>
              <w:rPr>
                <w:rFonts w:ascii="Verdana" w:hAnsi="Verdana"/>
                <w:b/>
                <w:smallCaps/>
                <w:sz w:val="20"/>
              </w:rPr>
            </w:pPr>
          </w:p>
        </w:tc>
        <w:tc>
          <w:tcPr>
            <w:tcW w:w="3120" w:type="dxa"/>
            <w:tcBorders>
              <w:top w:val="single" w:sz="12" w:space="0" w:color="auto"/>
            </w:tcBorders>
          </w:tcPr>
          <w:p w:rsidR="0090121B" w:rsidRPr="005E6D68" w:rsidRDefault="0090121B" w:rsidP="00391803">
            <w:pPr>
              <w:spacing w:before="0"/>
              <w:rPr>
                <w:rFonts w:ascii="Verdana" w:hAnsi="Verdana"/>
                <w:sz w:val="20"/>
              </w:rPr>
            </w:pPr>
          </w:p>
        </w:tc>
      </w:tr>
      <w:tr w:rsidR="0090121B" w:rsidRPr="005E6D68" w:rsidTr="0090121B">
        <w:trPr>
          <w:cantSplit/>
        </w:trPr>
        <w:tc>
          <w:tcPr>
            <w:tcW w:w="6911" w:type="dxa"/>
            <w:shd w:val="clear" w:color="auto" w:fill="auto"/>
          </w:tcPr>
          <w:p w:rsidR="0090121B" w:rsidRPr="005E6D68" w:rsidRDefault="00AE658F" w:rsidP="00391803">
            <w:pPr>
              <w:spacing w:before="0"/>
              <w:rPr>
                <w:rFonts w:ascii="Verdana" w:hAnsi="Verdana"/>
                <w:b/>
                <w:sz w:val="20"/>
              </w:rPr>
            </w:pPr>
            <w:r w:rsidRPr="005E6D68">
              <w:rPr>
                <w:rFonts w:ascii="Verdana" w:hAnsi="Verdana"/>
                <w:b/>
                <w:sz w:val="20"/>
              </w:rPr>
              <w:t>SESIÓN PLENARIA</w:t>
            </w:r>
          </w:p>
        </w:tc>
        <w:tc>
          <w:tcPr>
            <w:tcW w:w="3120" w:type="dxa"/>
            <w:shd w:val="clear" w:color="auto" w:fill="auto"/>
          </w:tcPr>
          <w:p w:rsidR="0090121B" w:rsidRPr="005E6D68" w:rsidRDefault="00AE658F" w:rsidP="00391803">
            <w:pPr>
              <w:spacing w:before="0"/>
              <w:rPr>
                <w:rFonts w:ascii="Verdana" w:hAnsi="Verdana"/>
                <w:sz w:val="20"/>
              </w:rPr>
            </w:pPr>
            <w:r w:rsidRPr="005E6D68">
              <w:rPr>
                <w:rFonts w:ascii="Verdana" w:eastAsia="SimSun" w:hAnsi="Verdana" w:cs="Traditional Arabic"/>
                <w:b/>
                <w:sz w:val="20"/>
              </w:rPr>
              <w:t>Documento 125</w:t>
            </w:r>
            <w:r w:rsidR="0090121B" w:rsidRPr="005E6D68">
              <w:rPr>
                <w:rFonts w:ascii="Verdana" w:hAnsi="Verdana"/>
                <w:b/>
                <w:sz w:val="20"/>
              </w:rPr>
              <w:t>-</w:t>
            </w:r>
            <w:r w:rsidRPr="005E6D68">
              <w:rPr>
                <w:rFonts w:ascii="Verdana" w:hAnsi="Verdana"/>
                <w:b/>
                <w:sz w:val="20"/>
              </w:rPr>
              <w:t>S</w:t>
            </w:r>
          </w:p>
        </w:tc>
      </w:tr>
      <w:bookmarkEnd w:id="1"/>
      <w:tr w:rsidR="000A5B9A" w:rsidRPr="005E6D68" w:rsidTr="0090121B">
        <w:trPr>
          <w:cantSplit/>
        </w:trPr>
        <w:tc>
          <w:tcPr>
            <w:tcW w:w="6911" w:type="dxa"/>
            <w:shd w:val="clear" w:color="auto" w:fill="auto"/>
          </w:tcPr>
          <w:p w:rsidR="000A5B9A" w:rsidRPr="005E6D68" w:rsidRDefault="000A5B9A" w:rsidP="00391803">
            <w:pPr>
              <w:spacing w:before="0" w:after="48"/>
              <w:rPr>
                <w:rFonts w:ascii="Verdana" w:hAnsi="Verdana"/>
                <w:b/>
                <w:smallCaps/>
                <w:sz w:val="20"/>
              </w:rPr>
            </w:pPr>
          </w:p>
        </w:tc>
        <w:tc>
          <w:tcPr>
            <w:tcW w:w="3120" w:type="dxa"/>
            <w:shd w:val="clear" w:color="auto" w:fill="auto"/>
          </w:tcPr>
          <w:p w:rsidR="000A5B9A" w:rsidRPr="005E6D68" w:rsidRDefault="000A5B9A" w:rsidP="00391803">
            <w:pPr>
              <w:spacing w:before="0"/>
              <w:rPr>
                <w:rFonts w:ascii="Verdana" w:hAnsi="Verdana"/>
                <w:b/>
                <w:sz w:val="20"/>
              </w:rPr>
            </w:pPr>
            <w:r w:rsidRPr="005E6D68">
              <w:rPr>
                <w:rFonts w:ascii="Verdana" w:hAnsi="Verdana"/>
                <w:b/>
                <w:sz w:val="20"/>
              </w:rPr>
              <w:t>19 de octubre de 2015</w:t>
            </w:r>
          </w:p>
        </w:tc>
      </w:tr>
      <w:tr w:rsidR="000A5B9A" w:rsidRPr="005E6D68" w:rsidTr="0090121B">
        <w:trPr>
          <w:cantSplit/>
        </w:trPr>
        <w:tc>
          <w:tcPr>
            <w:tcW w:w="6911" w:type="dxa"/>
          </w:tcPr>
          <w:p w:rsidR="000A5B9A" w:rsidRPr="005E6D68" w:rsidRDefault="000A5B9A" w:rsidP="00391803">
            <w:pPr>
              <w:spacing w:before="0" w:after="48"/>
              <w:rPr>
                <w:rFonts w:ascii="Verdana" w:hAnsi="Verdana"/>
                <w:b/>
                <w:smallCaps/>
                <w:sz w:val="20"/>
              </w:rPr>
            </w:pPr>
          </w:p>
        </w:tc>
        <w:tc>
          <w:tcPr>
            <w:tcW w:w="3120" w:type="dxa"/>
          </w:tcPr>
          <w:p w:rsidR="000A5B9A" w:rsidRPr="005E6D68" w:rsidRDefault="000A5B9A" w:rsidP="00391803">
            <w:pPr>
              <w:spacing w:before="0"/>
              <w:rPr>
                <w:rFonts w:ascii="Verdana" w:hAnsi="Verdana"/>
                <w:b/>
                <w:sz w:val="20"/>
              </w:rPr>
            </w:pPr>
            <w:r w:rsidRPr="005E6D68">
              <w:rPr>
                <w:rFonts w:ascii="Verdana" w:hAnsi="Verdana"/>
                <w:b/>
                <w:sz w:val="20"/>
              </w:rPr>
              <w:t>Original: inglés</w:t>
            </w:r>
          </w:p>
        </w:tc>
      </w:tr>
      <w:tr w:rsidR="000A5B9A" w:rsidRPr="005E6D68" w:rsidTr="006744FC">
        <w:trPr>
          <w:cantSplit/>
        </w:trPr>
        <w:tc>
          <w:tcPr>
            <w:tcW w:w="10031" w:type="dxa"/>
            <w:gridSpan w:val="2"/>
          </w:tcPr>
          <w:p w:rsidR="000A5B9A" w:rsidRPr="005E6D68" w:rsidRDefault="000A5B9A" w:rsidP="00391803">
            <w:pPr>
              <w:spacing w:before="0"/>
              <w:rPr>
                <w:rFonts w:ascii="Verdana" w:hAnsi="Verdana"/>
                <w:b/>
                <w:sz w:val="20"/>
              </w:rPr>
            </w:pPr>
          </w:p>
        </w:tc>
      </w:tr>
      <w:tr w:rsidR="000A5B9A" w:rsidRPr="005E6D68" w:rsidTr="0050008E">
        <w:trPr>
          <w:cantSplit/>
        </w:trPr>
        <w:tc>
          <w:tcPr>
            <w:tcW w:w="10031" w:type="dxa"/>
            <w:gridSpan w:val="2"/>
          </w:tcPr>
          <w:p w:rsidR="000A5B9A" w:rsidRPr="005E6D68" w:rsidRDefault="000A5B9A" w:rsidP="00391803">
            <w:pPr>
              <w:pStyle w:val="Source"/>
            </w:pPr>
            <w:bookmarkStart w:id="2" w:name="dsource" w:colFirst="0" w:colLast="0"/>
            <w:r w:rsidRPr="005E6D68">
              <w:t>Alemania (República Federal de)</w:t>
            </w:r>
          </w:p>
        </w:tc>
      </w:tr>
      <w:tr w:rsidR="000A5B9A" w:rsidRPr="005E6D68" w:rsidTr="0050008E">
        <w:trPr>
          <w:cantSplit/>
        </w:trPr>
        <w:tc>
          <w:tcPr>
            <w:tcW w:w="10031" w:type="dxa"/>
            <w:gridSpan w:val="2"/>
          </w:tcPr>
          <w:p w:rsidR="000A5B9A" w:rsidRPr="005E6D68" w:rsidRDefault="009E6509" w:rsidP="00391803">
            <w:pPr>
              <w:pStyle w:val="Title1"/>
            </w:pPr>
            <w:bookmarkStart w:id="3" w:name="dtitle1" w:colFirst="0" w:colLast="0"/>
            <w:bookmarkEnd w:id="2"/>
            <w:r w:rsidRPr="005E6D68">
              <w:rPr>
                <w:rPrChange w:id="4" w:author="Spanish" w:date="2015-10-22T16:10:00Z">
                  <w:rPr>
                    <w:lang w:val="es-ES"/>
                  </w:rPr>
                </w:rPrChange>
              </w:rPr>
              <w:t>PROPUESTAS PARA LOS TRABAJOS DE LA CONFERENCIA</w:t>
            </w:r>
          </w:p>
        </w:tc>
      </w:tr>
      <w:tr w:rsidR="000A5B9A" w:rsidRPr="005E6D68" w:rsidTr="0050008E">
        <w:trPr>
          <w:cantSplit/>
        </w:trPr>
        <w:tc>
          <w:tcPr>
            <w:tcW w:w="10031" w:type="dxa"/>
            <w:gridSpan w:val="2"/>
          </w:tcPr>
          <w:p w:rsidR="000A5B9A" w:rsidRPr="005E6D68" w:rsidRDefault="000A5B9A" w:rsidP="00391803">
            <w:pPr>
              <w:pStyle w:val="Title2"/>
            </w:pPr>
            <w:bookmarkStart w:id="5" w:name="dtitle2" w:colFirst="0" w:colLast="0"/>
            <w:bookmarkEnd w:id="3"/>
          </w:p>
        </w:tc>
      </w:tr>
      <w:tr w:rsidR="000A5B9A" w:rsidRPr="005E6D68" w:rsidTr="0050008E">
        <w:trPr>
          <w:cantSplit/>
        </w:trPr>
        <w:tc>
          <w:tcPr>
            <w:tcW w:w="10031" w:type="dxa"/>
            <w:gridSpan w:val="2"/>
          </w:tcPr>
          <w:p w:rsidR="000A5B9A" w:rsidRPr="005E6D68" w:rsidRDefault="000A5B9A" w:rsidP="00391803">
            <w:pPr>
              <w:pStyle w:val="Agendaitem"/>
            </w:pPr>
            <w:bookmarkStart w:id="6" w:name="dtitle3" w:colFirst="0" w:colLast="0"/>
            <w:bookmarkEnd w:id="5"/>
            <w:r w:rsidRPr="005E6D68">
              <w:t>Punto 1.5 del orden del día</w:t>
            </w:r>
          </w:p>
        </w:tc>
      </w:tr>
    </w:tbl>
    <w:bookmarkEnd w:id="6"/>
    <w:p w:rsidR="001C0E40" w:rsidRPr="005E6D68" w:rsidRDefault="007B5A98" w:rsidP="00391803">
      <w:r w:rsidRPr="005E6D68">
        <w:t>1.5</w:t>
      </w:r>
      <w:r w:rsidRPr="005E6D68">
        <w:tab/>
        <w:t xml:space="preserve">considerar la posibilidad de utilizar las bandas de frecuencias atribuidas al servicio fijo por satélite no sujeto a los Apéndices </w:t>
      </w:r>
      <w:r w:rsidRPr="005E6D68">
        <w:rPr>
          <w:b/>
          <w:bCs/>
        </w:rPr>
        <w:t>30</w:t>
      </w:r>
      <w:r w:rsidRPr="005E6D68">
        <w:t xml:space="preserve">, </w:t>
      </w:r>
      <w:r w:rsidRPr="005E6D68">
        <w:rPr>
          <w:b/>
          <w:bCs/>
        </w:rPr>
        <w:t>30A</w:t>
      </w:r>
      <w:r w:rsidRPr="005E6D68">
        <w:t xml:space="preserve"> y </w:t>
      </w:r>
      <w:r w:rsidRPr="005E6D68">
        <w:rPr>
          <w:b/>
          <w:bCs/>
        </w:rPr>
        <w:t>30B</w:t>
      </w:r>
      <w:r w:rsidRPr="005E6D68">
        <w:t xml:space="preserve"> para el control y las comunicaciones sin carga útil de los sistemas de aeronaves no tripuladas (SANT) en los espacios aéreos no segregados, de conformidad con la Resolución </w:t>
      </w:r>
      <w:r w:rsidRPr="005E6D68">
        <w:rPr>
          <w:b/>
          <w:bCs/>
        </w:rPr>
        <w:t>153 (CMR-12)</w:t>
      </w:r>
      <w:r w:rsidRPr="005E6D68">
        <w:t>;</w:t>
      </w:r>
    </w:p>
    <w:p w:rsidR="00391803" w:rsidRPr="005E6D68" w:rsidRDefault="00391803" w:rsidP="00391803">
      <w:pPr>
        <w:pStyle w:val="headingb0"/>
        <w:rPr>
          <w:lang w:val="es-ES_tradnl"/>
        </w:rPr>
      </w:pPr>
    </w:p>
    <w:p w:rsidR="009478A5" w:rsidRPr="005E6D68" w:rsidRDefault="00E55417" w:rsidP="00391803">
      <w:pPr>
        <w:pStyle w:val="headingb0"/>
        <w:rPr>
          <w:lang w:val="es-ES_tradnl"/>
        </w:rPr>
      </w:pPr>
      <w:r w:rsidRPr="005E6D68">
        <w:rPr>
          <w:lang w:val="es-ES_tradnl"/>
        </w:rPr>
        <w:t>Introducción</w:t>
      </w:r>
      <w:r w:rsidR="009478A5" w:rsidRPr="005E6D68">
        <w:rPr>
          <w:lang w:val="es-ES_tradnl"/>
        </w:rPr>
        <w:t xml:space="preserve"> </w:t>
      </w:r>
    </w:p>
    <w:p w:rsidR="009478A5" w:rsidRPr="005E6D68" w:rsidRDefault="00E55417" w:rsidP="00391803">
      <w:r w:rsidRPr="005E6D68">
        <w:t>El Grupo de Trabajo 5B (GT5B) del UIT</w:t>
      </w:r>
      <w:r w:rsidR="009478A5" w:rsidRPr="005E6D68">
        <w:t xml:space="preserve">-R </w:t>
      </w:r>
      <w:r w:rsidRPr="005E6D68">
        <w:t>realizó estudios de compartición detallados con los servicios existentes para determinar las condiciones para el funcionamiento de los enlaces radioeléctricos del control y las comunicaciones sin carga útil (CNPC) de los sistemas de aeronaves no tripuladas</w:t>
      </w:r>
      <w:r w:rsidR="009478A5" w:rsidRPr="005E6D68">
        <w:t xml:space="preserve"> (</w:t>
      </w:r>
      <w:r w:rsidRPr="005E6D68">
        <w:t>SANT</w:t>
      </w:r>
      <w:r w:rsidR="009478A5" w:rsidRPr="005E6D68">
        <w:t xml:space="preserve">) </w:t>
      </w:r>
      <w:r w:rsidRPr="005E6D68">
        <w:t>más allá de la línea de visión (BLOS)</w:t>
      </w:r>
      <w:r w:rsidR="009478A5" w:rsidRPr="005E6D68">
        <w:t xml:space="preserve">. </w:t>
      </w:r>
      <w:r w:rsidR="00DD4C85" w:rsidRPr="005E6D68">
        <w:t xml:space="preserve">Los enlaces radioeléctricos CNPC SANT </w:t>
      </w:r>
      <w:r w:rsidR="009478A5" w:rsidRPr="005E6D68">
        <w:t xml:space="preserve">BLOS </w:t>
      </w:r>
      <w:r w:rsidR="00DD4C85" w:rsidRPr="005E6D68">
        <w:t>se estudiaron como una aplicación de sistemas y redes de satélites que funcionan en el servicio fijo por satélite (SFS)</w:t>
      </w:r>
      <w:r w:rsidR="009478A5" w:rsidRPr="005E6D68">
        <w:t xml:space="preserve">. </w:t>
      </w:r>
    </w:p>
    <w:p w:rsidR="009478A5" w:rsidRPr="005E6D68" w:rsidRDefault="00966F88" w:rsidP="00391803">
      <w:r w:rsidRPr="005E6D68">
        <w:t xml:space="preserve">Los resultados de los estudios muestran que deben reunirse ciertas condiciones técnicas y operacionales para poder cumplir las condiciones establecidas por el marco regulador del </w:t>
      </w:r>
      <w:r w:rsidR="00DD4C85" w:rsidRPr="005E6D68">
        <w:t>SFS</w:t>
      </w:r>
      <w:r w:rsidR="009478A5" w:rsidRPr="005E6D68">
        <w:t xml:space="preserve"> </w:t>
      </w:r>
      <w:r w:rsidRPr="005E6D68">
        <w:t xml:space="preserve">y asegurar la compatibilidad de las estaciones que funcionan a bordo de aeronaves no tripuladas/aeronaves teledirigidas y las estaciones que funcionan en el servicio fijo </w:t>
      </w:r>
      <w:r w:rsidR="009478A5" w:rsidRPr="005E6D68">
        <w:t>(</w:t>
      </w:r>
      <w:r w:rsidRPr="005E6D68">
        <w:t>S</w:t>
      </w:r>
      <w:r w:rsidR="009478A5" w:rsidRPr="005E6D68">
        <w:t xml:space="preserve">F). </w:t>
      </w:r>
      <w:r w:rsidR="002A533D" w:rsidRPr="005E6D68">
        <w:t>Dichas condiciones técnicas, operacionales y reglamentarias han sido definidas y se proponen a continuación como parte integrante de una nueva Resolución de la CMR</w:t>
      </w:r>
      <w:r w:rsidR="009478A5" w:rsidRPr="005E6D68">
        <w:t xml:space="preserve">. </w:t>
      </w:r>
    </w:p>
    <w:p w:rsidR="009478A5" w:rsidRPr="005E6D68" w:rsidRDefault="002337C4" w:rsidP="00391803">
      <w:r w:rsidRPr="005E6D68">
        <w:t xml:space="preserve">Las metodologías aplicadas y los postulados tomados </w:t>
      </w:r>
      <w:r w:rsidR="006E43C0" w:rsidRPr="005E6D68">
        <w:t>en</w:t>
      </w:r>
      <w:r w:rsidRPr="005E6D68">
        <w:t xml:space="preserve"> los estudios se describen en detalle en un informe del UIT-R que por distintos motivos no se pudo finalizar y aprobar</w:t>
      </w:r>
      <w:r w:rsidR="009478A5" w:rsidRPr="005E6D68">
        <w:t xml:space="preserve"> </w:t>
      </w:r>
      <w:r w:rsidRPr="005E6D68">
        <w:t>en la última reunión del GT</w:t>
      </w:r>
      <w:r w:rsidR="009478A5" w:rsidRPr="005E6D68">
        <w:t xml:space="preserve">5B </w:t>
      </w:r>
      <w:r w:rsidRPr="005E6D68">
        <w:t>e</w:t>
      </w:r>
      <w:r w:rsidR="009478A5" w:rsidRPr="005E6D68">
        <w:t xml:space="preserve">n Bucarest. </w:t>
      </w:r>
      <w:r w:rsidRPr="005E6D68">
        <w:t>Sin embargo</w:t>
      </w:r>
      <w:r w:rsidR="009478A5" w:rsidRPr="005E6D68">
        <w:t xml:space="preserve">, </w:t>
      </w:r>
      <w:r w:rsidRPr="005E6D68">
        <w:t>algunas administraciones</w:t>
      </w:r>
      <w:r w:rsidR="009478A5" w:rsidRPr="005E6D68">
        <w:t xml:space="preserve">, </w:t>
      </w:r>
      <w:r w:rsidRPr="005E6D68">
        <w:t>incluida la administraciones notificante</w:t>
      </w:r>
      <w:r w:rsidR="009478A5" w:rsidRPr="005E6D68">
        <w:t xml:space="preserve">, </w:t>
      </w:r>
      <w:r w:rsidRPr="005E6D68">
        <w:t>trabajaron con denuedo para completar el documento de trabajo para el anteproyecto de nuevo Informe UIT-R M.[UAS-FSS]</w:t>
      </w:r>
      <w:r w:rsidR="009478A5" w:rsidRPr="005E6D68">
        <w:t>, t</w:t>
      </w:r>
      <w:r w:rsidRPr="005E6D68">
        <w:t>eniendo en cuenta todas las contribuciones presentadas a la reunión de Bucarest</w:t>
      </w:r>
      <w:r w:rsidR="009478A5" w:rsidRPr="005E6D68">
        <w:t xml:space="preserve">, </w:t>
      </w:r>
      <w:r w:rsidRPr="005E6D68">
        <w:t xml:space="preserve">y </w:t>
      </w:r>
      <w:r w:rsidR="00932405" w:rsidRPr="005E6D68">
        <w:t>presentó este Informe a la siguiente reunión del GT5B para aprobarlo y someterlo a continuación a la aprobación de la Comisión de Estudio 5</w:t>
      </w:r>
      <w:r w:rsidR="009478A5" w:rsidRPr="005E6D68">
        <w:t xml:space="preserve">. </w:t>
      </w:r>
      <w:r w:rsidR="00932405" w:rsidRPr="005E6D68">
        <w:t xml:space="preserve">Este Informe está disponible como documento del UIT-R con la signatura </w:t>
      </w:r>
      <w:r w:rsidR="009478A5" w:rsidRPr="005E6D68">
        <w:t xml:space="preserve">5B/886. </w:t>
      </w:r>
    </w:p>
    <w:p w:rsidR="009478A5" w:rsidRPr="005E6D68" w:rsidRDefault="00BF08CA" w:rsidP="00391803">
      <w:r w:rsidRPr="005E6D68">
        <w:lastRenderedPageBreak/>
        <w:t>Sobre la base de los resultados de los estudios contenidos en ese Informe</w:t>
      </w:r>
      <w:r w:rsidR="009478A5" w:rsidRPr="005E6D68">
        <w:t xml:space="preserve">, </w:t>
      </w:r>
      <w:r w:rsidRPr="005E6D68">
        <w:t>se establecieron condiciones operacionales y máscaras de densidad de flujo de potencia que protegerán a las estaciones del SF que funcionan en las gamas de frecuencias</w:t>
      </w:r>
      <w:r w:rsidR="009478A5" w:rsidRPr="005E6D68">
        <w:t xml:space="preserve"> 14/11GHz </w:t>
      </w:r>
      <w:r w:rsidRPr="005E6D68">
        <w:t xml:space="preserve">y </w:t>
      </w:r>
      <w:r w:rsidR="009478A5" w:rsidRPr="005E6D68">
        <w:t xml:space="preserve">30/20 GHz. </w:t>
      </w:r>
      <w:r w:rsidRPr="005E6D68">
        <w:t xml:space="preserve">Estas condiciones figuran en el Anexo </w:t>
      </w:r>
      <w:r w:rsidR="009478A5" w:rsidRPr="005E6D68">
        <w:t xml:space="preserve">2 </w:t>
      </w:r>
      <w:r w:rsidRPr="005E6D68">
        <w:t>al proyecto de nueva Resolución, tal y como se indica a continuación</w:t>
      </w:r>
      <w:r w:rsidR="009478A5" w:rsidRPr="005E6D68">
        <w:t xml:space="preserve">. </w:t>
      </w:r>
    </w:p>
    <w:p w:rsidR="009478A5" w:rsidRPr="005E6D68" w:rsidRDefault="006A01FA" w:rsidP="00391803">
      <w:r w:rsidRPr="005E6D68">
        <w:t>Por consiguiente</w:t>
      </w:r>
      <w:r w:rsidR="009478A5" w:rsidRPr="005E6D68">
        <w:t xml:space="preserve">, </w:t>
      </w:r>
      <w:r w:rsidRPr="005E6D68">
        <w:t xml:space="preserve">la administración notificante propone sustituir el Anexo </w:t>
      </w:r>
      <w:r w:rsidR="009478A5" w:rsidRPr="005E6D68">
        <w:t xml:space="preserve">2 </w:t>
      </w:r>
      <w:r w:rsidRPr="005E6D68">
        <w:t>al proyecto de nueva Resolución [115-A15],</w:t>
      </w:r>
      <w:r w:rsidR="009478A5" w:rsidRPr="005E6D68">
        <w:t xml:space="preserve"> </w:t>
      </w:r>
      <w:r w:rsidRPr="005E6D68">
        <w:t>presentada como propuesta por más de un país en el Documento 115 de la CMR-15</w:t>
      </w:r>
      <w:r w:rsidR="009478A5" w:rsidRPr="005E6D68">
        <w:t xml:space="preserve">, </w:t>
      </w:r>
      <w:r w:rsidRPr="005E6D68">
        <w:t>por el Anexo</w:t>
      </w:r>
      <w:r w:rsidR="009478A5" w:rsidRPr="005E6D68">
        <w:t xml:space="preserve"> 2 </w:t>
      </w:r>
      <w:r w:rsidRPr="005E6D68">
        <w:t xml:space="preserve">al proyecto de nueva Resolución </w:t>
      </w:r>
      <w:r w:rsidR="009478A5" w:rsidRPr="005E6D68">
        <w:t xml:space="preserve">[D-A15] </w:t>
      </w:r>
      <w:r w:rsidRPr="005E6D68">
        <w:t xml:space="preserve">que figura a </w:t>
      </w:r>
      <w:r w:rsidR="00975A26" w:rsidRPr="005E6D68">
        <w:t>continuación</w:t>
      </w:r>
      <w:r w:rsidR="009478A5" w:rsidRPr="005E6D68">
        <w:t>.</w:t>
      </w:r>
    </w:p>
    <w:p w:rsidR="009478A5" w:rsidRPr="005E6D68" w:rsidRDefault="009478A5" w:rsidP="00391803">
      <w:pPr>
        <w:pStyle w:val="Headingb"/>
      </w:pPr>
      <w:r w:rsidRPr="005E6D68">
        <w:t>Prop</w:t>
      </w:r>
      <w:r w:rsidR="00975A26" w:rsidRPr="005E6D68">
        <w:t>uesta</w:t>
      </w:r>
    </w:p>
    <w:p w:rsidR="002333E7" w:rsidRPr="005E6D68" w:rsidRDefault="007B5A98" w:rsidP="00391803">
      <w:pPr>
        <w:pStyle w:val="Proposal"/>
      </w:pPr>
      <w:r w:rsidRPr="005E6D68">
        <w:t>ADD</w:t>
      </w:r>
      <w:r w:rsidRPr="005E6D68">
        <w:tab/>
        <w:t>D/125/1</w:t>
      </w:r>
    </w:p>
    <w:p w:rsidR="002333E7" w:rsidRPr="005E6D68" w:rsidRDefault="007B5A98" w:rsidP="00391803">
      <w:pPr>
        <w:pStyle w:val="ResNo"/>
      </w:pPr>
      <w:r w:rsidRPr="005E6D68">
        <w:t xml:space="preserve">Proyecto de nueva Resolución </w:t>
      </w:r>
      <w:r w:rsidR="009478A5" w:rsidRPr="005E6D68">
        <w:t>[D-A15] (Cmr-15)</w:t>
      </w:r>
    </w:p>
    <w:p w:rsidR="00B72ECD" w:rsidRPr="005E6D68" w:rsidRDefault="00B72ECD" w:rsidP="00391803">
      <w:pPr>
        <w:pStyle w:val="Restitle"/>
      </w:pPr>
      <w:r w:rsidRPr="005E6D68">
        <w:t xml:space="preserve">Disposiciones reglamentarias relativas a las estaciones terrenas a bordo de aeronaves no tripuladas que funcionan </w:t>
      </w:r>
      <w:r w:rsidR="00E64691" w:rsidRPr="005E6D68">
        <w:t xml:space="preserve">en el espacio aéreo no segregado </w:t>
      </w:r>
      <w:r w:rsidRPr="005E6D68">
        <w:t xml:space="preserve">con </w:t>
      </w:r>
      <w:r w:rsidR="00E64691" w:rsidRPr="005E6D68">
        <w:t xml:space="preserve">redes de </w:t>
      </w:r>
      <w:r w:rsidRPr="005E6D68">
        <w:t xml:space="preserve">satélites geoestacionarios del servicio fijo por satélite </w:t>
      </w:r>
      <w:r w:rsidR="00E64691" w:rsidRPr="005E6D68">
        <w:t xml:space="preserve">en determinadas bandas de frecuencias no sujetas a un plan </w:t>
      </w:r>
      <w:r w:rsidRPr="005E6D68">
        <w:t xml:space="preserve">para el control y las comunicaciones sin carga útil de sistemas de aeronaves no tripuladas </w:t>
      </w:r>
    </w:p>
    <w:p w:rsidR="00B72ECD" w:rsidRPr="005E6D68" w:rsidRDefault="00B72ECD" w:rsidP="00391803">
      <w:pPr>
        <w:pStyle w:val="Normalaftertitle"/>
      </w:pPr>
      <w:r w:rsidRPr="005E6D68">
        <w:t>La Conferencia Mundial de Radiocomunicaciones (Ginebra, 2015),</w:t>
      </w:r>
    </w:p>
    <w:p w:rsidR="002333E7" w:rsidRPr="005E6D68" w:rsidRDefault="00B72ECD" w:rsidP="00464A3B">
      <w:r w:rsidRPr="005E6D68">
        <w:t>…</w:t>
      </w:r>
      <w:bookmarkStart w:id="7" w:name="_GoBack"/>
      <w:bookmarkEnd w:id="7"/>
    </w:p>
    <w:p w:rsidR="00B72ECD" w:rsidRPr="005E6D68" w:rsidRDefault="00B72ECD" w:rsidP="00391803">
      <w:pPr>
        <w:pStyle w:val="AnnexNo"/>
      </w:pPr>
      <w:r w:rsidRPr="005E6D68">
        <w:t>AnexO 2 AL</w:t>
      </w:r>
      <w:r w:rsidR="00704DA6" w:rsidRPr="005E6D68">
        <w:t xml:space="preserve"> proyecto de nueva</w:t>
      </w:r>
      <w:r w:rsidRPr="005E6D68">
        <w:t xml:space="preserve"> RESOLUCIÓN</w:t>
      </w:r>
      <w:r w:rsidRPr="005E6D68">
        <w:rPr>
          <w:lang w:eastAsia="fr-FR"/>
        </w:rPr>
        <w:t xml:space="preserve"> </w:t>
      </w:r>
      <w:r w:rsidRPr="005E6D68">
        <w:t>[</w:t>
      </w:r>
      <w:r w:rsidR="00704DA6" w:rsidRPr="005E6D68">
        <w:t>D-A15</w:t>
      </w:r>
      <w:r w:rsidRPr="005E6D68">
        <w:t>] (CMR-15)</w:t>
      </w:r>
    </w:p>
    <w:p w:rsidR="00B72ECD" w:rsidRPr="005E6D68" w:rsidRDefault="00B72ECD" w:rsidP="00391803">
      <w:pPr>
        <w:pStyle w:val="Annextitle"/>
      </w:pPr>
      <w:r w:rsidRPr="005E6D68">
        <w:t>Protección del servicio fijo y de otras redes del servicio fijo por satélite</w:t>
      </w:r>
      <w:r w:rsidRPr="005E6D68">
        <w:br/>
        <w:t>ante las emisiones de los CNPC de ANT</w:t>
      </w:r>
    </w:p>
    <w:p w:rsidR="00284E68" w:rsidRPr="005E6D68" w:rsidRDefault="00284E68" w:rsidP="00391803">
      <w:pPr>
        <w:pStyle w:val="Heading1"/>
      </w:pPr>
      <w:r w:rsidRPr="005E6D68">
        <w:t>1</w:t>
      </w:r>
      <w:r w:rsidRPr="005E6D68">
        <w:tab/>
        <w:t>Introducción</w:t>
      </w:r>
    </w:p>
    <w:p w:rsidR="00B72ECD" w:rsidRPr="005E6D68" w:rsidRDefault="00284E68" w:rsidP="00391803">
      <w:pPr>
        <w:pStyle w:val="Reasons"/>
      </w:pPr>
      <w:r w:rsidRPr="005E6D68">
        <w:t>Debido a la asunción fundamental hizo que para utilizar las frecuencias de bandas asignaran al SFS el enlace de la CNPC ANT deben operar dentro de la misma reglamentación y limitaciones de performance como cualquier otro SFS estación de la tierra y que, desde una perspectiva de interferencia, debe realizar su función en exactamente la misma manera que cualquier otra estación de tierra FSS, hay sólo un número limitado de adicional los requisitos se enumeran en las secciones 2, 3 y 4 del presente anexo.</w:t>
      </w:r>
    </w:p>
    <w:p w:rsidR="00284E68" w:rsidRPr="005E6D68" w:rsidRDefault="00284E68" w:rsidP="00391803">
      <w:pPr>
        <w:pStyle w:val="Heading1"/>
      </w:pPr>
      <w:r w:rsidRPr="005E6D68">
        <w:t>2</w:t>
      </w:r>
      <w:r w:rsidRPr="005E6D68">
        <w:tab/>
        <w:t>Protección del servicio fijo</w:t>
      </w:r>
    </w:p>
    <w:p w:rsidR="00284E68" w:rsidRPr="005E6D68" w:rsidRDefault="00284E68" w:rsidP="00391803">
      <w:r w:rsidRPr="005E6D68">
        <w:t xml:space="preserve">El servicio fijo esta atribuido por notas al pie en varios países con la condición de co-primario al SFS. </w:t>
      </w:r>
      <w:r w:rsidR="000A5F26" w:rsidRPr="005E6D68">
        <w:t xml:space="preserve">Condiciones </w:t>
      </w:r>
      <w:r w:rsidRPr="005E6D68">
        <w:t xml:space="preserve">de UA con CNPC será tal que el servicio fijo es protegido de cualquier interferencia como se define abajo. </w:t>
      </w:r>
    </w:p>
    <w:p w:rsidR="00284E68" w:rsidRPr="005E6D68" w:rsidRDefault="00284E68" w:rsidP="00391803">
      <w:pPr>
        <w:pStyle w:val="enumlev1"/>
      </w:pPr>
      <w:r w:rsidRPr="005E6D68">
        <w:t>1)</w:t>
      </w:r>
      <w:r w:rsidRPr="005E6D68">
        <w:tab/>
        <w:t xml:space="preserve">ANT no operará en latitudes por encima de 70 grados. </w:t>
      </w:r>
    </w:p>
    <w:p w:rsidR="00284E68" w:rsidRPr="005E6D68" w:rsidRDefault="00284E68" w:rsidP="00391803">
      <w:pPr>
        <w:pStyle w:val="enumlev1"/>
      </w:pPr>
      <w:r w:rsidRPr="005E6D68">
        <w:t>2)</w:t>
      </w:r>
      <w:r w:rsidRPr="005E6D68">
        <w:tab/>
        <w:t>ANT no operará en las frecuencias en la banda de 14,0 a 14,5 GHz en altitudes por debajo de 5 000 pies.</w:t>
      </w:r>
    </w:p>
    <w:p w:rsidR="00284E68" w:rsidRPr="005E6D68" w:rsidRDefault="00284E68" w:rsidP="00391803">
      <w:pPr>
        <w:pStyle w:val="enumlev1"/>
      </w:pPr>
      <w:r w:rsidRPr="005E6D68">
        <w:lastRenderedPageBreak/>
        <w:t>3)</w:t>
      </w:r>
      <w:r w:rsidRPr="005E6D68">
        <w:tab/>
        <w:t>ANT no operará en las frecuencias en la banda de 27,5-28,6 GHz en altitudes por debajo de 3 000 pies.</w:t>
      </w:r>
    </w:p>
    <w:p w:rsidR="00284E68" w:rsidRPr="005E6D68" w:rsidRDefault="00284E68" w:rsidP="00391803">
      <w:pPr>
        <w:pStyle w:val="enumlev1"/>
      </w:pPr>
      <w:r w:rsidRPr="005E6D68">
        <w:t>4)</w:t>
      </w:r>
      <w:r w:rsidRPr="005E6D68">
        <w:tab/>
        <w:t xml:space="preserve">La estación de terrena en ANT deberá cumplir con las dos máscaras DFP banda específica que se describe a continuación. </w:t>
      </w:r>
    </w:p>
    <w:p w:rsidR="00284E68" w:rsidRPr="005E6D68" w:rsidRDefault="00284E68" w:rsidP="00391803">
      <w:r w:rsidRPr="005E6D68">
        <w:t xml:space="preserve">En la </w:t>
      </w:r>
      <w:r w:rsidR="000A5F26" w:rsidRPr="005E6D68">
        <w:t>gama</w:t>
      </w:r>
      <w:r w:rsidRPr="005E6D68">
        <w:t xml:space="preserve"> de frecuencias de 14-14,</w:t>
      </w:r>
      <w:r w:rsidR="000A5F26" w:rsidRPr="005E6D68">
        <w:t>47</w:t>
      </w:r>
      <w:r w:rsidRPr="005E6D68">
        <w:t xml:space="preserve"> GHz utilizada por las redes del servicio fijo, dentro de la línea de visión del territorio de una administración donde redes del servicio fijo que funcionan en esta banda, la DFP máxima producida en la superficie de la tierra por las emisiones de un solo ANT no deberá exceder:</w:t>
      </w:r>
    </w:p>
    <w:p w:rsidR="00284E68" w:rsidRPr="005E6D68" w:rsidRDefault="00284E68" w:rsidP="00391803"/>
    <w:tbl>
      <w:tblPr>
        <w:tblW w:w="0" w:type="auto"/>
        <w:tblInd w:w="198" w:type="dxa"/>
        <w:tblLook w:val="04A0" w:firstRow="1" w:lastRow="0" w:firstColumn="1" w:lastColumn="0" w:noHBand="0" w:noVBand="1"/>
      </w:tblPr>
      <w:tblGrid>
        <w:gridCol w:w="5485"/>
        <w:gridCol w:w="3515"/>
      </w:tblGrid>
      <w:tr w:rsidR="00284E68" w:rsidRPr="005E6D68" w:rsidTr="00EC7C3D">
        <w:tc>
          <w:tcPr>
            <w:tcW w:w="5485" w:type="dxa"/>
            <w:shd w:val="clear" w:color="auto" w:fill="auto"/>
          </w:tcPr>
          <w:p w:rsidR="00284E68" w:rsidRPr="005E6D68" w:rsidRDefault="00284E68" w:rsidP="0006116C">
            <w:pPr>
              <w:pStyle w:val="Tabletext"/>
              <w:rPr>
                <w:rFonts w:eastAsia="Calibri"/>
              </w:rPr>
            </w:pPr>
            <w:r w:rsidRPr="005E6D68">
              <w:tab/>
              <w:t>–97 dB(W/(m</w:t>
            </w:r>
            <w:r w:rsidRPr="005E6D68">
              <w:rPr>
                <w:vertAlign w:val="superscript"/>
              </w:rPr>
              <w:t>2</w:t>
            </w:r>
            <w:r w:rsidRPr="005E6D68">
              <w:t xml:space="preserve"> </w:t>
            </w:r>
            <w:r w:rsidRPr="005E6D68">
              <w:sym w:font="Symbol" w:char="F0D7"/>
            </w:r>
            <w:r w:rsidRPr="005E6D68">
              <w:t xml:space="preserve"> 14 MHz))</w:t>
            </w:r>
          </w:p>
        </w:tc>
        <w:tc>
          <w:tcPr>
            <w:tcW w:w="3515" w:type="dxa"/>
            <w:shd w:val="clear" w:color="auto" w:fill="auto"/>
          </w:tcPr>
          <w:p w:rsidR="00284E68" w:rsidRPr="005E6D68" w:rsidRDefault="00284E68" w:rsidP="0006116C">
            <w:pPr>
              <w:pStyle w:val="Tabletext"/>
              <w:rPr>
                <w:rFonts w:eastAsia="Calibri"/>
              </w:rPr>
            </w:pPr>
            <w:r w:rsidRPr="005E6D68">
              <w:t>por</w:t>
            </w:r>
            <w:r w:rsidRPr="005E6D68">
              <w:tab/>
            </w:r>
            <w:r w:rsidRPr="005E6D68">
              <w:sym w:font="Symbol" w:char="F071"/>
            </w:r>
            <w:r w:rsidRPr="005E6D68">
              <w:t xml:space="preserve">    ≤   5°</w:t>
            </w:r>
          </w:p>
        </w:tc>
      </w:tr>
      <w:tr w:rsidR="00284E68" w:rsidRPr="005E6D68" w:rsidTr="00EC7C3D">
        <w:tc>
          <w:tcPr>
            <w:tcW w:w="5485" w:type="dxa"/>
            <w:shd w:val="clear" w:color="auto" w:fill="auto"/>
          </w:tcPr>
          <w:p w:rsidR="00284E68" w:rsidRPr="005E6D68" w:rsidRDefault="00284E68" w:rsidP="0006116C">
            <w:pPr>
              <w:pStyle w:val="Tabletext"/>
              <w:rPr>
                <w:rFonts w:eastAsia="Calibri"/>
              </w:rPr>
            </w:pPr>
            <w:r w:rsidRPr="005E6D68">
              <w:tab/>
              <w:t xml:space="preserve">–97 + 2,1 </w:t>
            </w:r>
            <w:r w:rsidRPr="005E6D68">
              <w:sym w:font="Symbol" w:char="F0D7"/>
            </w:r>
            <w:r w:rsidRPr="005E6D68">
              <w:t xml:space="preserve"> (</w:t>
            </w:r>
            <w:r w:rsidRPr="005E6D68">
              <w:sym w:font="Symbol" w:char="F071"/>
            </w:r>
            <w:r w:rsidRPr="005E6D68">
              <w:t xml:space="preserve"> - 5°)</w:t>
            </w:r>
            <w:r w:rsidRPr="005E6D68">
              <w:rPr>
                <w:vertAlign w:val="superscript"/>
              </w:rPr>
              <w:t>2</w:t>
            </w:r>
            <w:r w:rsidRPr="005E6D68">
              <w:tab/>
              <w:t>dB(W/(m</w:t>
            </w:r>
            <w:r w:rsidRPr="005E6D68">
              <w:rPr>
                <w:vertAlign w:val="superscript"/>
              </w:rPr>
              <w:t>2</w:t>
            </w:r>
            <w:r w:rsidRPr="005E6D68">
              <w:t xml:space="preserve"> </w:t>
            </w:r>
            <w:r w:rsidRPr="005E6D68">
              <w:sym w:font="Symbol" w:char="F0D7"/>
            </w:r>
            <w:r w:rsidRPr="005E6D68">
              <w:t xml:space="preserve"> 14 MHz))</w:t>
            </w:r>
          </w:p>
        </w:tc>
        <w:tc>
          <w:tcPr>
            <w:tcW w:w="3515" w:type="dxa"/>
            <w:shd w:val="clear" w:color="auto" w:fill="auto"/>
          </w:tcPr>
          <w:p w:rsidR="00284E68" w:rsidRPr="005E6D68" w:rsidRDefault="00284E68" w:rsidP="0006116C">
            <w:pPr>
              <w:pStyle w:val="Tabletext"/>
              <w:rPr>
                <w:rFonts w:eastAsia="Calibri"/>
              </w:rPr>
            </w:pPr>
            <w:r w:rsidRPr="005E6D68">
              <w:t>por</w:t>
            </w:r>
            <w:r w:rsidRPr="005E6D68">
              <w:tab/>
              <w:t xml:space="preserve">5°    &lt;   </w:t>
            </w:r>
            <w:r w:rsidRPr="005E6D68">
              <w:sym w:font="Symbol" w:char="F071"/>
            </w:r>
            <w:r w:rsidRPr="005E6D68">
              <w:t xml:space="preserve">   ≤   7,5°</w:t>
            </w:r>
          </w:p>
        </w:tc>
      </w:tr>
      <w:tr w:rsidR="00284E68" w:rsidRPr="005E6D68" w:rsidTr="00EC7C3D">
        <w:tc>
          <w:tcPr>
            <w:tcW w:w="5485" w:type="dxa"/>
            <w:shd w:val="clear" w:color="auto" w:fill="auto"/>
          </w:tcPr>
          <w:p w:rsidR="00284E68" w:rsidRPr="00C726A9" w:rsidRDefault="00284E68" w:rsidP="0006116C">
            <w:pPr>
              <w:pStyle w:val="Tabletext"/>
              <w:rPr>
                <w:rFonts w:eastAsia="Calibri"/>
                <w:lang w:val="en-GB"/>
              </w:rPr>
            </w:pPr>
            <w:r w:rsidRPr="00C726A9">
              <w:rPr>
                <w:lang w:val="en-GB"/>
              </w:rPr>
              <w:tab/>
              <w:t xml:space="preserve">–91,7 - 25 </w:t>
            </w:r>
            <w:r w:rsidRPr="005E6D68">
              <w:sym w:font="Symbol" w:char="F0D7"/>
            </w:r>
            <w:r w:rsidRPr="00C726A9">
              <w:rPr>
                <w:lang w:val="en-GB"/>
              </w:rPr>
              <w:t xml:space="preserve"> log</w:t>
            </w:r>
            <w:r w:rsidRPr="00C726A9">
              <w:rPr>
                <w:vertAlign w:val="subscript"/>
                <w:lang w:val="en-GB"/>
              </w:rPr>
              <w:t>10</w:t>
            </w:r>
            <w:r w:rsidRPr="00C726A9">
              <w:rPr>
                <w:lang w:val="en-GB"/>
              </w:rPr>
              <w:t xml:space="preserve"> (</w:t>
            </w:r>
            <w:r w:rsidRPr="005E6D68">
              <w:sym w:font="Symbol" w:char="F071"/>
            </w:r>
            <w:r w:rsidRPr="00C726A9">
              <w:rPr>
                <w:lang w:val="en-GB"/>
              </w:rPr>
              <w:t>)</w:t>
            </w:r>
            <w:r w:rsidRPr="00C726A9">
              <w:rPr>
                <w:lang w:val="en-GB"/>
              </w:rPr>
              <w:tab/>
              <w:t>dB(W/(m</w:t>
            </w:r>
            <w:r w:rsidRPr="00C726A9">
              <w:rPr>
                <w:vertAlign w:val="superscript"/>
                <w:lang w:val="en-GB"/>
              </w:rPr>
              <w:t>2</w:t>
            </w:r>
            <w:r w:rsidRPr="00C726A9">
              <w:rPr>
                <w:lang w:val="en-GB"/>
              </w:rPr>
              <w:t xml:space="preserve"> </w:t>
            </w:r>
            <w:r w:rsidRPr="005E6D68">
              <w:sym w:font="Symbol" w:char="F0D7"/>
            </w:r>
            <w:r w:rsidRPr="00C726A9">
              <w:rPr>
                <w:lang w:val="en-GB"/>
              </w:rPr>
              <w:t xml:space="preserve"> 14 MHz))</w:t>
            </w:r>
          </w:p>
        </w:tc>
        <w:tc>
          <w:tcPr>
            <w:tcW w:w="3515" w:type="dxa"/>
            <w:shd w:val="clear" w:color="auto" w:fill="auto"/>
          </w:tcPr>
          <w:p w:rsidR="00284E68" w:rsidRPr="005E6D68" w:rsidRDefault="00284E68" w:rsidP="0006116C">
            <w:pPr>
              <w:pStyle w:val="Tabletext"/>
              <w:rPr>
                <w:rFonts w:eastAsia="Calibri"/>
              </w:rPr>
            </w:pPr>
            <w:r w:rsidRPr="005E6D68">
              <w:t>por</w:t>
            </w:r>
            <w:r w:rsidRPr="005E6D68">
              <w:tab/>
              <w:t xml:space="preserve">7,5°   &lt;   </w:t>
            </w:r>
            <w:r w:rsidRPr="005E6D68">
              <w:sym w:font="Symbol" w:char="F071"/>
            </w:r>
            <w:r w:rsidRPr="005E6D68">
              <w:t xml:space="preserve">   ≤   53°</w:t>
            </w:r>
          </w:p>
        </w:tc>
      </w:tr>
      <w:tr w:rsidR="00284E68" w:rsidRPr="005E6D68" w:rsidTr="00EC7C3D">
        <w:tc>
          <w:tcPr>
            <w:tcW w:w="5485" w:type="dxa"/>
            <w:shd w:val="clear" w:color="auto" w:fill="auto"/>
          </w:tcPr>
          <w:p w:rsidR="00284E68" w:rsidRPr="005E6D68" w:rsidRDefault="00284E68" w:rsidP="0006116C">
            <w:pPr>
              <w:pStyle w:val="Tabletext"/>
              <w:rPr>
                <w:rFonts w:eastAsia="Calibri"/>
              </w:rPr>
            </w:pPr>
            <w:r w:rsidRPr="005E6D68">
              <w:tab/>
              <w:t>–49,7 dB(W/(m</w:t>
            </w:r>
            <w:r w:rsidRPr="005E6D68">
              <w:rPr>
                <w:vertAlign w:val="superscript"/>
              </w:rPr>
              <w:t>2</w:t>
            </w:r>
            <w:r w:rsidRPr="005E6D68">
              <w:t xml:space="preserve"> </w:t>
            </w:r>
            <w:r w:rsidRPr="005E6D68">
              <w:sym w:font="Symbol" w:char="F0D7"/>
            </w:r>
            <w:r w:rsidRPr="005E6D68">
              <w:t xml:space="preserve"> 14 MHz))</w:t>
            </w:r>
          </w:p>
        </w:tc>
        <w:tc>
          <w:tcPr>
            <w:tcW w:w="3515" w:type="dxa"/>
            <w:shd w:val="clear" w:color="auto" w:fill="auto"/>
          </w:tcPr>
          <w:p w:rsidR="00284E68" w:rsidRPr="005E6D68" w:rsidRDefault="00284E68" w:rsidP="0006116C">
            <w:pPr>
              <w:pStyle w:val="Tabletext"/>
              <w:rPr>
                <w:rFonts w:eastAsia="Calibri"/>
              </w:rPr>
            </w:pPr>
            <w:r w:rsidRPr="005E6D68">
              <w:t>por</w:t>
            </w:r>
            <w:r w:rsidRPr="005E6D68">
              <w:tab/>
              <w:t xml:space="preserve">53°   &lt;   </w:t>
            </w:r>
            <w:r w:rsidRPr="005E6D68">
              <w:sym w:font="Symbol" w:char="F071"/>
            </w:r>
            <w:r w:rsidRPr="005E6D68">
              <w:t xml:space="preserve">   ≤   90°</w:t>
            </w:r>
          </w:p>
        </w:tc>
      </w:tr>
    </w:tbl>
    <w:p w:rsidR="00284E68" w:rsidRPr="005E6D68" w:rsidRDefault="00284E68" w:rsidP="0006116C">
      <w:pPr>
        <w:pStyle w:val="Tablelegend"/>
      </w:pPr>
      <w:r w:rsidRPr="005E6D68">
        <w:rPr>
          <w:lang w:eastAsia="fr-FR"/>
        </w:rPr>
        <w:t xml:space="preserve">donde </w:t>
      </w:r>
      <w:r w:rsidRPr="005E6D68">
        <w:t>θ es el ángulo de llegada de la onda de radio frecuencia (grados sobre la horizontal).</w:t>
      </w:r>
    </w:p>
    <w:p w:rsidR="00284E68" w:rsidRPr="005E6D68" w:rsidRDefault="00284E68" w:rsidP="0006116C">
      <w:pPr>
        <w:pStyle w:val="Tablelegend"/>
      </w:pPr>
      <w:r w:rsidRPr="005E6D68">
        <w:t>NOTA 1 – Los límites antes mencionados se relacionan con DFP y los ángulos de llegada que se obtendría en condiciones de propagación de espacio libre.</w:t>
      </w:r>
    </w:p>
    <w:p w:rsidR="00284E68" w:rsidRPr="005E6D68" w:rsidRDefault="00284E68" w:rsidP="00391803">
      <w:pPr>
        <w:spacing w:after="240"/>
      </w:pPr>
      <w:r w:rsidRPr="005E6D68">
        <w:t xml:space="preserve">En la </w:t>
      </w:r>
      <w:r w:rsidR="000A5F26" w:rsidRPr="005E6D68">
        <w:t>gama</w:t>
      </w:r>
      <w:r w:rsidRPr="005E6D68">
        <w:t xml:space="preserve"> de frecuencias de 27,5-29,5 GHz utilizada por las redes del servicio fijo, dentro de la línea de visión del territorio de una administración donde redes del servicio fijo que funcionan en esta banda, la DFP máxima producida en la superficie de la tierra por las emisiones de un solo ANT no deberá exceder:</w:t>
      </w:r>
    </w:p>
    <w:tbl>
      <w:tblPr>
        <w:tblW w:w="0" w:type="auto"/>
        <w:tblInd w:w="198" w:type="dxa"/>
        <w:tblLook w:val="04A0" w:firstRow="1" w:lastRow="0" w:firstColumn="1" w:lastColumn="0" w:noHBand="0" w:noVBand="1"/>
      </w:tblPr>
      <w:tblGrid>
        <w:gridCol w:w="5400"/>
        <w:gridCol w:w="3600"/>
      </w:tblGrid>
      <w:tr w:rsidR="00284E68" w:rsidRPr="005E6D68" w:rsidTr="00EC7C3D">
        <w:tc>
          <w:tcPr>
            <w:tcW w:w="5400" w:type="dxa"/>
            <w:hideMark/>
          </w:tcPr>
          <w:p w:rsidR="00284E68" w:rsidRPr="005E6D68" w:rsidRDefault="00284E68" w:rsidP="00391803">
            <w:pPr>
              <w:pStyle w:val="Tabletext"/>
              <w:rPr>
                <w:rFonts w:ascii="Symbol" w:eastAsia="Calibri" w:hAnsi="Symbol" w:cs="Symbol"/>
              </w:rPr>
            </w:pPr>
            <w:r w:rsidRPr="005E6D68">
              <w:tab/>
              <w:t>-96,0</w:t>
            </w:r>
            <w:r w:rsidRPr="005E6D68">
              <w:tab/>
              <w:t>dB (W/(m</w:t>
            </w:r>
            <w:r w:rsidRPr="005E6D68">
              <w:rPr>
                <w:vertAlign w:val="superscript"/>
              </w:rPr>
              <w:t xml:space="preserve">2 </w:t>
            </w:r>
            <w:r w:rsidRPr="005E6D68">
              <w:t xml:space="preserve"> </w:t>
            </w:r>
            <w:r w:rsidRPr="005E6D68">
              <w:sym w:font="Symbol" w:char="F0D7"/>
            </w:r>
            <w:r w:rsidRPr="005E6D68">
              <w:t xml:space="preserve"> 14MHz))</w:t>
            </w:r>
          </w:p>
        </w:tc>
        <w:tc>
          <w:tcPr>
            <w:tcW w:w="3600" w:type="dxa"/>
            <w:hideMark/>
          </w:tcPr>
          <w:p w:rsidR="00284E68" w:rsidRPr="005E6D68" w:rsidRDefault="005D3172" w:rsidP="00391803">
            <w:pPr>
              <w:pStyle w:val="Tabletext"/>
              <w:rPr>
                <w:rFonts w:ascii="Symbol" w:eastAsia="Calibri" w:hAnsi="Symbol" w:cs="Symbol"/>
              </w:rPr>
            </w:pPr>
            <w:r w:rsidRPr="005E6D68">
              <w:t>p</w:t>
            </w:r>
            <w:r w:rsidR="00284E68" w:rsidRPr="005E6D68">
              <w:t>or</w:t>
            </w:r>
            <w:r w:rsidR="00284E68" w:rsidRPr="005E6D68">
              <w:tab/>
            </w:r>
            <w:r w:rsidR="00284E68" w:rsidRPr="005E6D68">
              <w:sym w:font="Symbol" w:char="F071"/>
            </w:r>
            <w:r w:rsidR="00284E68" w:rsidRPr="005E6D68">
              <w:t xml:space="preserve">    ≤   5°</w:t>
            </w:r>
          </w:p>
        </w:tc>
      </w:tr>
      <w:tr w:rsidR="00284E68" w:rsidRPr="005E6D68" w:rsidTr="00EC7C3D">
        <w:tc>
          <w:tcPr>
            <w:tcW w:w="5400" w:type="dxa"/>
            <w:hideMark/>
          </w:tcPr>
          <w:p w:rsidR="00284E68" w:rsidRPr="005E6D68" w:rsidRDefault="00284E68" w:rsidP="00391803">
            <w:pPr>
              <w:pStyle w:val="Tabletext"/>
              <w:rPr>
                <w:rFonts w:ascii="Symbol" w:eastAsia="Calibri" w:hAnsi="Symbol" w:cs="Symbol"/>
              </w:rPr>
            </w:pPr>
            <w:r w:rsidRPr="005E6D68">
              <w:tab/>
              <w:t xml:space="preserve">-96,0 + 0,6 </w:t>
            </w:r>
            <w:r w:rsidRPr="005E6D68">
              <w:sym w:font="Symbol" w:char="F0D7"/>
            </w:r>
            <w:r w:rsidRPr="005E6D68">
              <w:t xml:space="preserve"> (</w:t>
            </w:r>
            <w:r w:rsidRPr="005E6D68">
              <w:sym w:font="Symbol" w:char="F071"/>
            </w:r>
            <w:r w:rsidRPr="005E6D68">
              <w:t xml:space="preserve"> - 5°)</w:t>
            </w:r>
            <w:r w:rsidRPr="005E6D68">
              <w:rPr>
                <w:vertAlign w:val="superscript"/>
              </w:rPr>
              <w:t>2</w:t>
            </w:r>
            <w:r w:rsidRPr="005E6D68">
              <w:t xml:space="preserve"> dB (W/(m</w:t>
            </w:r>
            <w:r w:rsidRPr="005E6D68">
              <w:rPr>
                <w:vertAlign w:val="superscript"/>
              </w:rPr>
              <w:t xml:space="preserve">2 </w:t>
            </w:r>
            <w:r w:rsidRPr="005E6D68">
              <w:t xml:space="preserve"> </w:t>
            </w:r>
            <w:r w:rsidRPr="005E6D68">
              <w:sym w:font="Symbol" w:char="F0D7"/>
            </w:r>
            <w:r w:rsidRPr="005E6D68">
              <w:t xml:space="preserve"> 14MHz))</w:t>
            </w:r>
          </w:p>
        </w:tc>
        <w:tc>
          <w:tcPr>
            <w:tcW w:w="3600" w:type="dxa"/>
            <w:hideMark/>
          </w:tcPr>
          <w:p w:rsidR="00284E68" w:rsidRPr="005E6D68" w:rsidRDefault="005D3172" w:rsidP="00391803">
            <w:pPr>
              <w:pStyle w:val="Tabletext"/>
              <w:rPr>
                <w:rFonts w:ascii="Symbol" w:eastAsia="Calibri" w:hAnsi="Symbol" w:cs="Symbol"/>
              </w:rPr>
            </w:pPr>
            <w:r w:rsidRPr="005E6D68">
              <w:t>p</w:t>
            </w:r>
            <w:r w:rsidR="00284E68" w:rsidRPr="005E6D68">
              <w:t xml:space="preserve">or </w:t>
            </w:r>
            <w:r w:rsidR="00284E68" w:rsidRPr="005E6D68">
              <w:tab/>
              <w:t xml:space="preserve">5°    &lt;   </w:t>
            </w:r>
            <w:r w:rsidR="00284E68" w:rsidRPr="005E6D68">
              <w:sym w:font="Symbol" w:char="F071"/>
            </w:r>
            <w:r w:rsidR="00284E68" w:rsidRPr="005E6D68">
              <w:t xml:space="preserve">   ≤   9.4°</w:t>
            </w:r>
          </w:p>
        </w:tc>
      </w:tr>
      <w:tr w:rsidR="00284E68" w:rsidRPr="005E6D68" w:rsidTr="00EC7C3D">
        <w:tc>
          <w:tcPr>
            <w:tcW w:w="5400" w:type="dxa"/>
            <w:hideMark/>
          </w:tcPr>
          <w:p w:rsidR="00284E68" w:rsidRPr="005E6D68" w:rsidRDefault="00284E68" w:rsidP="00391803">
            <w:pPr>
              <w:pStyle w:val="Tabletext"/>
              <w:rPr>
                <w:rFonts w:ascii="Symbol" w:eastAsia="Calibri" w:hAnsi="Symbol" w:cs="Symbol"/>
              </w:rPr>
            </w:pPr>
            <w:r w:rsidRPr="005E6D68">
              <w:tab/>
              <w:t>-84,4 dB (W/(m</w:t>
            </w:r>
            <w:r w:rsidRPr="005E6D68">
              <w:rPr>
                <w:vertAlign w:val="superscript"/>
              </w:rPr>
              <w:t xml:space="preserve">2 </w:t>
            </w:r>
            <w:r w:rsidRPr="005E6D68">
              <w:t xml:space="preserve"> </w:t>
            </w:r>
            <w:r w:rsidRPr="005E6D68">
              <w:sym w:font="Symbol" w:char="F0D7"/>
            </w:r>
            <w:r w:rsidRPr="005E6D68">
              <w:t xml:space="preserve"> 14MHz))</w:t>
            </w:r>
          </w:p>
        </w:tc>
        <w:tc>
          <w:tcPr>
            <w:tcW w:w="3600" w:type="dxa"/>
            <w:hideMark/>
          </w:tcPr>
          <w:p w:rsidR="00284E68" w:rsidRPr="005E6D68" w:rsidRDefault="005D3172" w:rsidP="00391803">
            <w:pPr>
              <w:pStyle w:val="Tabletext"/>
              <w:rPr>
                <w:rFonts w:ascii="Symbol" w:eastAsia="Calibri" w:hAnsi="Symbol" w:cs="Symbol"/>
              </w:rPr>
            </w:pPr>
            <w:r w:rsidRPr="005E6D68">
              <w:t>p</w:t>
            </w:r>
            <w:r w:rsidR="00284E68" w:rsidRPr="005E6D68">
              <w:t>or</w:t>
            </w:r>
            <w:r w:rsidR="00284E68" w:rsidRPr="005E6D68">
              <w:tab/>
              <w:t xml:space="preserve">9,4°   &lt;   </w:t>
            </w:r>
            <w:r w:rsidR="00284E68" w:rsidRPr="005E6D68">
              <w:sym w:font="Symbol" w:char="F071"/>
            </w:r>
            <w:r w:rsidR="00284E68" w:rsidRPr="005E6D68">
              <w:t xml:space="preserve">   ≤   90°</w:t>
            </w:r>
          </w:p>
        </w:tc>
      </w:tr>
    </w:tbl>
    <w:p w:rsidR="0006116C" w:rsidRPr="005E6D68" w:rsidRDefault="0006116C" w:rsidP="0006116C">
      <w:pPr>
        <w:pStyle w:val="Tablelegend"/>
      </w:pPr>
      <w:r w:rsidRPr="005E6D68">
        <w:rPr>
          <w:lang w:eastAsia="fr-FR"/>
        </w:rPr>
        <w:t xml:space="preserve">donde </w:t>
      </w:r>
      <w:r w:rsidRPr="005E6D68">
        <w:t>θ es el ángulo de llegada de la onda de radio frecuencia (grados sobre la horizontal).</w:t>
      </w:r>
    </w:p>
    <w:p w:rsidR="00FA68FF" w:rsidRPr="005E6D68" w:rsidRDefault="0006116C" w:rsidP="0006116C">
      <w:pPr>
        <w:pStyle w:val="Tablelegend"/>
      </w:pPr>
      <w:r w:rsidRPr="005E6D68">
        <w:t>NOTA 1 – Los límites antes mencionados se relacionan con DFP y los ángulos de llegada que se obtendría en condiciones de propagación de espacio libre.</w:t>
      </w:r>
    </w:p>
    <w:p w:rsidR="007B5A98" w:rsidRPr="005E6D68" w:rsidRDefault="007B5A98" w:rsidP="0006116C">
      <w:pPr>
        <w:pStyle w:val="Heading1"/>
        <w:spacing w:before="180"/>
      </w:pPr>
      <w:bookmarkStart w:id="8" w:name="_Toc416340758"/>
      <w:bookmarkStart w:id="9" w:name="_Toc416340924"/>
      <w:r w:rsidRPr="005E6D68">
        <w:t>3</w:t>
      </w:r>
      <w:r w:rsidRPr="005E6D68">
        <w:tab/>
        <w:t>Protección de otras redes del servicio fijo por satélites</w:t>
      </w:r>
    </w:p>
    <w:p w:rsidR="007B5A98" w:rsidRPr="005E6D68" w:rsidRDefault="007B5A98" w:rsidP="00391803">
      <w:bookmarkStart w:id="10" w:name="_Toc416340759"/>
      <w:bookmarkStart w:id="11" w:name="_Toc416340925"/>
      <w:bookmarkEnd w:id="8"/>
      <w:bookmarkEnd w:id="9"/>
      <w:r w:rsidRPr="005E6D68">
        <w:t xml:space="preserve">Condiciones de ANT con CNPC será tal que el servicio fijo por satélite está protegido frente a cualquier interferencia como se define a continuación. </w:t>
      </w:r>
    </w:p>
    <w:p w:rsidR="007B5A98" w:rsidRPr="005E6D68" w:rsidRDefault="007B5A98" w:rsidP="00391803">
      <w:r w:rsidRPr="005E6D68">
        <w:t>CNPC SANT cumplirá con la ITU-R S.524, u otros niveles coordinados de acuerdo entre administraciones, en todos momentos.</w:t>
      </w:r>
    </w:p>
    <w:p w:rsidR="007B5A98" w:rsidRPr="005E6D68" w:rsidRDefault="007B5A98" w:rsidP="0006116C">
      <w:pPr>
        <w:pStyle w:val="Heading1"/>
        <w:spacing w:before="180"/>
      </w:pPr>
      <w:r w:rsidRPr="005E6D68">
        <w:t>4</w:t>
      </w:r>
      <w:r w:rsidRPr="005E6D68">
        <w:tab/>
        <w:t>Protección de la astronomía de radio</w:t>
      </w:r>
    </w:p>
    <w:bookmarkEnd w:id="10"/>
    <w:bookmarkEnd w:id="11"/>
    <w:p w:rsidR="007B5A98" w:rsidRPr="005E6D68" w:rsidRDefault="007B5A98" w:rsidP="00391803">
      <w:r w:rsidRPr="005E6D68">
        <w:t xml:space="preserve">No. </w:t>
      </w:r>
      <w:r w:rsidRPr="005E6D68">
        <w:rPr>
          <w:b/>
          <w:bCs/>
        </w:rPr>
        <w:t>5.149</w:t>
      </w:r>
      <w:r w:rsidRPr="005E6D68">
        <w:t xml:space="preserve"> del Reglamento de Radiocomunicaciones insta a las administraciones a tomar todas las medidas practicables para proteger el servicio de radioastronomía de interferencias en algunas bandas, incluyendo 14,47-14,5 GHz, observando que emisiones desde estaciones de aire pueden ser particularmente graves fuentes de interferencia al servicio de radioastronomía. </w:t>
      </w:r>
    </w:p>
    <w:p w:rsidR="007B5A98" w:rsidRPr="005E6D68" w:rsidRDefault="007B5A98" w:rsidP="00391803">
      <w:r w:rsidRPr="005E6D68">
        <w:t>En la banda de 14,47-14,5 GHz, las consultas serán necesario entre las estaciones de radio astronomía y SANT operando co-frecuencia CNPC SANT (tierra en el espacio) dentro de radio de línea de vista de los observatorios de servicios radioastronomía en orden a resolver las posibles incompatibilidades.</w:t>
      </w:r>
    </w:p>
    <w:p w:rsidR="0006116C" w:rsidRPr="005E6D68" w:rsidRDefault="0006116C" w:rsidP="0006116C">
      <w:pPr>
        <w:pStyle w:val="Reasons"/>
      </w:pPr>
    </w:p>
    <w:p w:rsidR="00284E68" w:rsidRPr="005E6D68" w:rsidRDefault="007B5A98" w:rsidP="0006116C">
      <w:pPr>
        <w:jc w:val="center"/>
      </w:pPr>
      <w:r w:rsidRPr="005E6D68">
        <w:t>______________</w:t>
      </w:r>
    </w:p>
    <w:sectPr w:rsidR="00284E68" w:rsidRPr="005E6D68">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315A00" w:rsidRDefault="0077084A">
    <w:pPr>
      <w:ind w:right="360"/>
    </w:pPr>
    <w:r>
      <w:fldChar w:fldCharType="begin"/>
    </w:r>
    <w:r w:rsidRPr="00315A00">
      <w:instrText xml:space="preserve"> FILENAME \p  \* MERGEFORMAT </w:instrText>
    </w:r>
    <w:r>
      <w:fldChar w:fldCharType="separate"/>
    </w:r>
    <w:r w:rsidR="00C726A9">
      <w:rPr>
        <w:noProof/>
      </w:rPr>
      <w:t>P:\ESP\ITU-R\CONF-R\CMR15\100\125S.docx</w:t>
    </w:r>
    <w:r>
      <w:fldChar w:fldCharType="end"/>
    </w:r>
    <w:r w:rsidRPr="00315A00">
      <w:tab/>
    </w:r>
    <w:r>
      <w:fldChar w:fldCharType="begin"/>
    </w:r>
    <w:r>
      <w:instrText xml:space="preserve"> SAVEDATE \@ DD.MM.YY </w:instrText>
    </w:r>
    <w:r>
      <w:fldChar w:fldCharType="separate"/>
    </w:r>
    <w:r w:rsidR="00464A3B">
      <w:rPr>
        <w:noProof/>
      </w:rPr>
      <w:t>30.10.15</w:t>
    </w:r>
    <w:r>
      <w:fldChar w:fldCharType="end"/>
    </w:r>
    <w:r w:rsidRPr="00315A00">
      <w:tab/>
    </w:r>
    <w:r>
      <w:fldChar w:fldCharType="begin"/>
    </w:r>
    <w:r>
      <w:instrText xml:space="preserve"> PRINTDATE \@ DD.MM.YY </w:instrText>
    </w:r>
    <w:r>
      <w:fldChar w:fldCharType="separate"/>
    </w:r>
    <w:r w:rsidR="00C726A9">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09" w:rsidRPr="00391803" w:rsidRDefault="00391803" w:rsidP="00391803">
    <w:pPr>
      <w:pStyle w:val="Footer"/>
      <w:rPr>
        <w:lang w:val="en-US"/>
      </w:rPr>
    </w:pPr>
    <w:r>
      <w:rPr>
        <w:noProof w:val="0"/>
        <w:sz w:val="24"/>
      </w:rPr>
      <w:fldChar w:fldCharType="begin"/>
    </w:r>
    <w:r w:rsidRPr="000E1BE4">
      <w:rPr>
        <w:lang w:val="en-US"/>
      </w:rPr>
      <w:instrText xml:space="preserve"> FILENAME \p  \* MERGEFORMAT </w:instrText>
    </w:r>
    <w:r>
      <w:rPr>
        <w:noProof w:val="0"/>
        <w:sz w:val="24"/>
      </w:rPr>
      <w:fldChar w:fldCharType="separate"/>
    </w:r>
    <w:r w:rsidR="00C726A9">
      <w:rPr>
        <w:lang w:val="en-US"/>
      </w:rPr>
      <w:t>P:\ESP\ITU-R\CONF-R\CMR15\100\125S.docx</w:t>
    </w:r>
    <w:r>
      <w:fldChar w:fldCharType="end"/>
    </w:r>
    <w:r>
      <w:t xml:space="preserve"> (388930)</w:t>
    </w:r>
    <w:r w:rsidRPr="000E1BE4">
      <w:rPr>
        <w:lang w:val="en-US"/>
      </w:rPr>
      <w:tab/>
    </w:r>
    <w:r>
      <w:fldChar w:fldCharType="begin"/>
    </w:r>
    <w:r>
      <w:instrText xml:space="preserve"> SAVEDATE \@ DD.MM.YY </w:instrText>
    </w:r>
    <w:r>
      <w:fldChar w:fldCharType="separate"/>
    </w:r>
    <w:r w:rsidR="00464A3B">
      <w:t>30.10.15</w:t>
    </w:r>
    <w:r>
      <w:fldChar w:fldCharType="end"/>
    </w:r>
    <w:r w:rsidRPr="000E1BE4">
      <w:rPr>
        <w:lang w:val="en-US"/>
      </w:rPr>
      <w:tab/>
    </w:r>
    <w:r>
      <w:fldChar w:fldCharType="begin"/>
    </w:r>
    <w:r>
      <w:instrText xml:space="preserve"> PRINTDATE \@ DD.MM.YY </w:instrText>
    </w:r>
    <w:r>
      <w:fldChar w:fldCharType="separate"/>
    </w:r>
    <w:r w:rsidR="00C726A9">
      <w:t>30.10.15</w:t>
    </w:r>
    <w:r>
      <w:fldChar w:fldCharType="end"/>
    </w:r>
    <w:r>
      <w:rPr>
        <w:lang w:val="en-US"/>
      </w:rPr>
      <w:t>ç</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09" w:rsidRDefault="009E6509" w:rsidP="00391803">
    <w:pPr>
      <w:pStyle w:val="Footer"/>
      <w:rPr>
        <w:lang w:val="en-US"/>
      </w:rPr>
    </w:pPr>
    <w:r>
      <w:rPr>
        <w:noProof w:val="0"/>
        <w:sz w:val="24"/>
      </w:rPr>
      <w:fldChar w:fldCharType="begin"/>
    </w:r>
    <w:r w:rsidRPr="000E1BE4">
      <w:rPr>
        <w:lang w:val="en-US"/>
      </w:rPr>
      <w:instrText xml:space="preserve"> FILENAME \p  \* MERGEFORMAT </w:instrText>
    </w:r>
    <w:r>
      <w:rPr>
        <w:noProof w:val="0"/>
        <w:sz w:val="24"/>
      </w:rPr>
      <w:fldChar w:fldCharType="separate"/>
    </w:r>
    <w:r w:rsidR="00C726A9">
      <w:rPr>
        <w:lang w:val="en-US"/>
      </w:rPr>
      <w:t>P:\ESP\ITU-R\CONF-R\CMR15\100\125S.docx</w:t>
    </w:r>
    <w:r>
      <w:fldChar w:fldCharType="end"/>
    </w:r>
    <w:r w:rsidR="00391803">
      <w:t xml:space="preserve"> (388930)</w:t>
    </w:r>
    <w:r w:rsidRPr="000E1BE4">
      <w:rPr>
        <w:lang w:val="en-US"/>
      </w:rPr>
      <w:tab/>
    </w:r>
    <w:r>
      <w:fldChar w:fldCharType="begin"/>
    </w:r>
    <w:r>
      <w:instrText xml:space="preserve"> SAVEDATE \@ DD.MM.YY </w:instrText>
    </w:r>
    <w:r>
      <w:fldChar w:fldCharType="separate"/>
    </w:r>
    <w:r w:rsidR="00464A3B">
      <w:t>30.10.15</w:t>
    </w:r>
    <w:r>
      <w:fldChar w:fldCharType="end"/>
    </w:r>
    <w:r w:rsidRPr="000E1BE4">
      <w:rPr>
        <w:lang w:val="en-US"/>
      </w:rPr>
      <w:tab/>
    </w:r>
    <w:r>
      <w:fldChar w:fldCharType="begin"/>
    </w:r>
    <w:r>
      <w:instrText xml:space="preserve"> PRINTDATE \@ DD.MM.YY </w:instrText>
    </w:r>
    <w:r>
      <w:fldChar w:fldCharType="separate"/>
    </w:r>
    <w:r w:rsidR="00C726A9">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64A3B">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125-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116C"/>
    <w:rsid w:val="00087AE8"/>
    <w:rsid w:val="000A0FD4"/>
    <w:rsid w:val="000A5B9A"/>
    <w:rsid w:val="000A5F26"/>
    <w:rsid w:val="000E5BF9"/>
    <w:rsid w:val="000F0E6D"/>
    <w:rsid w:val="00121170"/>
    <w:rsid w:val="00123CC5"/>
    <w:rsid w:val="0015142D"/>
    <w:rsid w:val="001616DC"/>
    <w:rsid w:val="001637E2"/>
    <w:rsid w:val="00163962"/>
    <w:rsid w:val="00191A97"/>
    <w:rsid w:val="001A083F"/>
    <w:rsid w:val="001C41FA"/>
    <w:rsid w:val="001E2B52"/>
    <w:rsid w:val="001E3F27"/>
    <w:rsid w:val="002333E7"/>
    <w:rsid w:val="002337C4"/>
    <w:rsid w:val="00236D2A"/>
    <w:rsid w:val="00255F12"/>
    <w:rsid w:val="00262C09"/>
    <w:rsid w:val="00284E68"/>
    <w:rsid w:val="002A533D"/>
    <w:rsid w:val="002A791F"/>
    <w:rsid w:val="002C1B26"/>
    <w:rsid w:val="002C5D6C"/>
    <w:rsid w:val="002E701F"/>
    <w:rsid w:val="00303A9C"/>
    <w:rsid w:val="00315A00"/>
    <w:rsid w:val="003248A9"/>
    <w:rsid w:val="00324FFA"/>
    <w:rsid w:val="0032680B"/>
    <w:rsid w:val="00363A65"/>
    <w:rsid w:val="00391803"/>
    <w:rsid w:val="003B1E8C"/>
    <w:rsid w:val="003C2508"/>
    <w:rsid w:val="003D0AA3"/>
    <w:rsid w:val="0042370E"/>
    <w:rsid w:val="00440B3A"/>
    <w:rsid w:val="0045384C"/>
    <w:rsid w:val="00454553"/>
    <w:rsid w:val="00464A3B"/>
    <w:rsid w:val="004B124A"/>
    <w:rsid w:val="004E3490"/>
    <w:rsid w:val="004F1961"/>
    <w:rsid w:val="005133B5"/>
    <w:rsid w:val="00532097"/>
    <w:rsid w:val="0058350F"/>
    <w:rsid w:val="00583C7E"/>
    <w:rsid w:val="005D3172"/>
    <w:rsid w:val="005D46FB"/>
    <w:rsid w:val="005E6D68"/>
    <w:rsid w:val="005F2605"/>
    <w:rsid w:val="005F3B0E"/>
    <w:rsid w:val="005F559C"/>
    <w:rsid w:val="00662BA0"/>
    <w:rsid w:val="00692AAE"/>
    <w:rsid w:val="006A01FA"/>
    <w:rsid w:val="006D6E67"/>
    <w:rsid w:val="006E1A13"/>
    <w:rsid w:val="006E43C0"/>
    <w:rsid w:val="00701C20"/>
    <w:rsid w:val="00702F3D"/>
    <w:rsid w:val="00704DA6"/>
    <w:rsid w:val="0070518E"/>
    <w:rsid w:val="007354E9"/>
    <w:rsid w:val="0075348D"/>
    <w:rsid w:val="00765578"/>
    <w:rsid w:val="0077084A"/>
    <w:rsid w:val="007952C7"/>
    <w:rsid w:val="007B5A98"/>
    <w:rsid w:val="007C0B95"/>
    <w:rsid w:val="007C2317"/>
    <w:rsid w:val="007D330A"/>
    <w:rsid w:val="008018AD"/>
    <w:rsid w:val="00866AE6"/>
    <w:rsid w:val="008750A8"/>
    <w:rsid w:val="008A3C72"/>
    <w:rsid w:val="008C7161"/>
    <w:rsid w:val="008E5AF2"/>
    <w:rsid w:val="0090121B"/>
    <w:rsid w:val="009144C9"/>
    <w:rsid w:val="00932405"/>
    <w:rsid w:val="0094091F"/>
    <w:rsid w:val="009478A5"/>
    <w:rsid w:val="00966F88"/>
    <w:rsid w:val="00973754"/>
    <w:rsid w:val="00975A26"/>
    <w:rsid w:val="009C0BED"/>
    <w:rsid w:val="009E11EC"/>
    <w:rsid w:val="009E6509"/>
    <w:rsid w:val="00A118DB"/>
    <w:rsid w:val="00A4450C"/>
    <w:rsid w:val="00AA5E6C"/>
    <w:rsid w:val="00AB20D1"/>
    <w:rsid w:val="00AE5677"/>
    <w:rsid w:val="00AE658F"/>
    <w:rsid w:val="00AF2F78"/>
    <w:rsid w:val="00B239FA"/>
    <w:rsid w:val="00B52D55"/>
    <w:rsid w:val="00B72ECD"/>
    <w:rsid w:val="00B8288C"/>
    <w:rsid w:val="00BE2E80"/>
    <w:rsid w:val="00BE5EDD"/>
    <w:rsid w:val="00BE6A1F"/>
    <w:rsid w:val="00BF08CA"/>
    <w:rsid w:val="00C126C4"/>
    <w:rsid w:val="00C63EB5"/>
    <w:rsid w:val="00C726A9"/>
    <w:rsid w:val="00CC01E0"/>
    <w:rsid w:val="00CD5FEE"/>
    <w:rsid w:val="00CE183D"/>
    <w:rsid w:val="00CE60D2"/>
    <w:rsid w:val="00CE7431"/>
    <w:rsid w:val="00D0288A"/>
    <w:rsid w:val="00D72A5D"/>
    <w:rsid w:val="00DC629B"/>
    <w:rsid w:val="00DC7344"/>
    <w:rsid w:val="00DD4C85"/>
    <w:rsid w:val="00E05BFF"/>
    <w:rsid w:val="00E262F1"/>
    <w:rsid w:val="00E3176A"/>
    <w:rsid w:val="00E54754"/>
    <w:rsid w:val="00E55417"/>
    <w:rsid w:val="00E56BD3"/>
    <w:rsid w:val="00E64691"/>
    <w:rsid w:val="00E71D14"/>
    <w:rsid w:val="00F51C72"/>
    <w:rsid w:val="00F66597"/>
    <w:rsid w:val="00F675D0"/>
    <w:rsid w:val="00F8150C"/>
    <w:rsid w:val="00FA68F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933C795-7D47-4E6E-8017-4CEB5383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FooterChar">
    <w:name w:val="Footer Char"/>
    <w:basedOn w:val="DefaultParagraphFont"/>
    <w:link w:val="Footer"/>
    <w:rsid w:val="009E6509"/>
    <w:rPr>
      <w:rFonts w:ascii="Times New Roman" w:hAnsi="Times New Roman"/>
      <w:caps/>
      <w:noProof/>
      <w:sz w:val="16"/>
      <w:lang w:val="es-ES_tradnl" w:eastAsia="en-US"/>
    </w:rPr>
  </w:style>
  <w:style w:type="paragraph" w:customStyle="1" w:styleId="headingb0">
    <w:name w:val="heading_b"/>
    <w:basedOn w:val="Heading3"/>
    <w:next w:val="Normal"/>
    <w:rsid w:val="009478A5"/>
    <w:pPr>
      <w:tabs>
        <w:tab w:val="left" w:pos="567"/>
        <w:tab w:val="left" w:pos="1701"/>
        <w:tab w:val="left" w:pos="2835"/>
      </w:tabs>
      <w:spacing w:before="160"/>
      <w:ind w:left="0" w:firstLine="0"/>
      <w:textAlignment w:val="auto"/>
      <w:outlineLvl w:val="9"/>
    </w:pPr>
    <w:rPr>
      <w:bCs/>
      <w:lang w:val="fr-FR"/>
    </w:rPr>
  </w:style>
  <w:style w:type="character" w:customStyle="1" w:styleId="RestitleChar">
    <w:name w:val="Res_title Char"/>
    <w:basedOn w:val="DefaultParagraphFont"/>
    <w:link w:val="Restitle"/>
    <w:locked/>
    <w:rsid w:val="00B72ECD"/>
    <w:rPr>
      <w:rFonts w:ascii="Times New Roman Bold" w:hAnsi="Times New Roman Bold"/>
      <w:b/>
      <w:sz w:val="28"/>
      <w:lang w:val="es-ES_tradnl" w:eastAsia="en-US"/>
    </w:rPr>
  </w:style>
  <w:style w:type="character" w:customStyle="1" w:styleId="NormalaftertitleChar">
    <w:name w:val="Normal after title Char"/>
    <w:basedOn w:val="DefaultParagraphFont"/>
    <w:link w:val="Normalaftertitle"/>
    <w:rsid w:val="00B72ECD"/>
    <w:rPr>
      <w:rFonts w:ascii="Times New Roman" w:hAnsi="Times New Roman"/>
      <w:sz w:val="24"/>
      <w:lang w:val="es-ES_tradnl" w:eastAsia="en-US"/>
    </w:rPr>
  </w:style>
  <w:style w:type="character" w:customStyle="1" w:styleId="AnnextitleChar">
    <w:name w:val="Annex_title Char"/>
    <w:basedOn w:val="DefaultParagraphFont"/>
    <w:link w:val="Annextitle"/>
    <w:rsid w:val="00B72ECD"/>
    <w:rPr>
      <w:rFonts w:ascii="Times New Roman Bold" w:hAnsi="Times New Roman Bold"/>
      <w:b/>
      <w:sz w:val="28"/>
      <w:lang w:val="es-ES_tradnl" w:eastAsia="en-US"/>
    </w:rPr>
  </w:style>
  <w:style w:type="character" w:customStyle="1" w:styleId="AnnexNoCar">
    <w:name w:val="Annex_No Car"/>
    <w:basedOn w:val="DefaultParagraphFont"/>
    <w:link w:val="AnnexNo"/>
    <w:locked/>
    <w:rsid w:val="00B72ECD"/>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R15-WRC15-C-0125!!MSW-S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665B-56E9-4E0D-9739-8C3F381FA43E}">
  <ds:schemaRefs>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996b2e75-67fd-4955-a3b0-5ab9934cb50b"/>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7FF0E2D4-5C5D-4EBB-BF7D-15501E70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1222</Words>
  <Characters>6306</Characters>
  <Application>Microsoft Office Word</Application>
  <DocSecurity>0</DocSecurity>
  <Lines>137</Lines>
  <Paragraphs>82</Paragraphs>
  <ScaleCrop>false</ScaleCrop>
  <HeadingPairs>
    <vt:vector size="2" baseType="variant">
      <vt:variant>
        <vt:lpstr>Title</vt:lpstr>
      </vt:variant>
      <vt:variant>
        <vt:i4>1</vt:i4>
      </vt:variant>
    </vt:vector>
  </HeadingPairs>
  <TitlesOfParts>
    <vt:vector size="1" baseType="lpstr">
      <vt:lpstr>R15-WRC15-C-0125!!MSW-S</vt:lpstr>
    </vt:vector>
  </TitlesOfParts>
  <Manager>Secretaría General - Pool</Manager>
  <Company>Unión Internacional de Telecomunicaciones (UIT)</Company>
  <LinksUpToDate>false</LinksUpToDate>
  <CharactersWithSpaces>7446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R15-WRC15-C-0125!!MSW-S</dc:title>
  <dc:subject>Conferencia Mundial de Radiocomunicaciones - 2015</dc:subject>
  <dc:creator>Documents Proposals Manager (DPM)</dc:creator>
  <cp:keywords>DPM_v5.2015.10.230_prod</cp:keywords>
  <dc:description/>
  <cp:lastModifiedBy>Murphy, Margaret</cp:lastModifiedBy>
  <cp:revision>14</cp:revision>
  <cp:lastPrinted>2015-10-30T17:04:00Z</cp:lastPrinted>
  <dcterms:created xsi:type="dcterms:W3CDTF">2015-10-30T13:23:00Z</dcterms:created>
  <dcterms:modified xsi:type="dcterms:W3CDTF">2015-10-30T17:47:00Z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