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867BB9">
        <w:trPr>
          <w:cantSplit/>
          <w:trHeight w:val="20"/>
        </w:trPr>
        <w:tc>
          <w:tcPr>
            <w:tcW w:w="642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2966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867BB9">
        <w:trPr>
          <w:cantSplit/>
          <w:trHeight w:val="20"/>
        </w:trPr>
        <w:tc>
          <w:tcPr>
            <w:tcW w:w="642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867BB9">
        <w:trPr>
          <w:cantSplit/>
          <w:trHeight w:val="20"/>
        </w:trPr>
        <w:tc>
          <w:tcPr>
            <w:tcW w:w="642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867BB9" w:rsidTr="00867BB9">
        <w:trPr>
          <w:cantSplit/>
        </w:trPr>
        <w:tc>
          <w:tcPr>
            <w:tcW w:w="6423" w:type="dxa"/>
            <w:shd w:val="clear" w:color="auto" w:fill="auto"/>
          </w:tcPr>
          <w:p w:rsidR="00867BB9" w:rsidRPr="00867BB9" w:rsidRDefault="00867BB9" w:rsidP="00867BB9">
            <w:pPr>
              <w:pStyle w:val="Committee"/>
              <w:framePr w:hSpace="0" w:wrap="auto" w:hAnchor="text" w:yAlign="inline"/>
              <w:tabs>
                <w:tab w:val="clear" w:pos="1871"/>
                <w:tab w:val="clear" w:pos="2268"/>
                <w:tab w:val="left" w:pos="1737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867BB9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867BB9" w:rsidRPr="00867BB9" w:rsidRDefault="00867BB9" w:rsidP="00867BB9">
            <w:pPr>
              <w:pStyle w:val="Adress"/>
              <w:framePr w:hSpace="0" w:wrap="auto" w:xAlign="left" w:yAlign="inline"/>
              <w:rPr>
                <w:rtl/>
              </w:rPr>
            </w:pPr>
            <w:r w:rsidRPr="00867BB9">
              <w:rPr>
                <w:rtl/>
              </w:rPr>
              <w:t xml:space="preserve">الإضافة </w:t>
            </w:r>
            <w:r w:rsidRPr="00867BB9">
              <w:t>2</w:t>
            </w:r>
            <w:r w:rsidRPr="00867BB9">
              <w:br/>
            </w:r>
            <w:r w:rsidRPr="00867BB9">
              <w:rPr>
                <w:rtl/>
              </w:rPr>
              <w:t xml:space="preserve">للوثيقة </w:t>
            </w:r>
            <w:r w:rsidRPr="00867BB9">
              <w:t>130(Add.21)-A</w:t>
            </w:r>
          </w:p>
        </w:tc>
      </w:tr>
      <w:tr w:rsidR="00867BB9" w:rsidTr="00867BB9">
        <w:trPr>
          <w:cantSplit/>
        </w:trPr>
        <w:tc>
          <w:tcPr>
            <w:tcW w:w="6423" w:type="dxa"/>
            <w:shd w:val="clear" w:color="auto" w:fill="auto"/>
          </w:tcPr>
          <w:p w:rsidR="00867BB9" w:rsidRPr="00867BB9" w:rsidRDefault="00867BB9" w:rsidP="00867BB9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867BB9" w:rsidRPr="00867BB9" w:rsidRDefault="00867BB9" w:rsidP="00867BB9">
            <w:pPr>
              <w:pStyle w:val="Adress"/>
              <w:framePr w:hSpace="0" w:wrap="auto" w:xAlign="left" w:yAlign="inline"/>
              <w:rPr>
                <w:rtl/>
              </w:rPr>
            </w:pPr>
            <w:r w:rsidRPr="00867BB9">
              <w:rPr>
                <w:rFonts w:eastAsia="SimSun"/>
              </w:rPr>
              <w:t>16</w:t>
            </w:r>
            <w:r w:rsidRPr="00867BB9">
              <w:rPr>
                <w:rFonts w:eastAsia="SimSun"/>
                <w:rtl/>
              </w:rPr>
              <w:t xml:space="preserve"> أكتوبر </w:t>
            </w:r>
            <w:r w:rsidRPr="00867BB9">
              <w:rPr>
                <w:rFonts w:eastAsia="SimSun"/>
              </w:rPr>
              <w:t>2015</w:t>
            </w:r>
          </w:p>
        </w:tc>
      </w:tr>
      <w:tr w:rsidR="00867BB9" w:rsidTr="00867BB9">
        <w:trPr>
          <w:cantSplit/>
        </w:trPr>
        <w:tc>
          <w:tcPr>
            <w:tcW w:w="6423" w:type="dxa"/>
          </w:tcPr>
          <w:p w:rsidR="00867BB9" w:rsidRPr="00867BB9" w:rsidRDefault="00867BB9" w:rsidP="00867BB9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2966" w:type="dxa"/>
            <w:vAlign w:val="center"/>
          </w:tcPr>
          <w:p w:rsidR="00867BB9" w:rsidRPr="00867BB9" w:rsidRDefault="00867BB9" w:rsidP="00867BB9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867BB9">
              <w:rPr>
                <w:rFonts w:eastAsia="SimSun"/>
                <w:rtl/>
              </w:rPr>
              <w:t>الأصل: بالإنكليزية</w:t>
            </w:r>
          </w:p>
        </w:tc>
      </w:tr>
      <w:tr w:rsidR="00867BB9" w:rsidTr="00867BB9">
        <w:trPr>
          <w:cantSplit/>
        </w:trPr>
        <w:tc>
          <w:tcPr>
            <w:tcW w:w="9389" w:type="dxa"/>
            <w:gridSpan w:val="2"/>
          </w:tcPr>
          <w:p w:rsidR="00867BB9" w:rsidRPr="00867BB9" w:rsidRDefault="00867BB9" w:rsidP="00867BB9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867BB9">
        <w:trPr>
          <w:cantSplit/>
        </w:trPr>
        <w:tc>
          <w:tcPr>
            <w:tcW w:w="9389" w:type="dxa"/>
            <w:gridSpan w:val="2"/>
          </w:tcPr>
          <w:p w:rsidR="00764079" w:rsidRPr="00E621A3" w:rsidRDefault="00764079" w:rsidP="00867BB9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أنغولا/جمهورية بوتسوانا/مملكة ليسوتو/جمهورية مدغشقر/</w:t>
            </w:r>
            <w:r w:rsidR="00867BB9">
              <w:rPr>
                <w:rtl/>
              </w:rPr>
              <w:br/>
            </w:r>
            <w:r w:rsidRPr="008204AC">
              <w:rPr>
                <w:rtl/>
              </w:rPr>
              <w:t>ملاوي/جمهورية موريشيوس/جمهورية موزامبيق/جمهورية ناميبيا/</w:t>
            </w:r>
            <w:r w:rsidR="00867BB9">
              <w:rPr>
                <w:rtl/>
              </w:rPr>
              <w:br/>
            </w:r>
            <w:r w:rsidRPr="008204AC">
              <w:rPr>
                <w:rtl/>
              </w:rPr>
              <w:t>جمهورية الكونغو الديمقراطية/جمهورية سيشيل/جمهورية جنوب إفريقيا/</w:t>
            </w:r>
            <w:r w:rsidR="00867BB9">
              <w:rPr>
                <w:rtl/>
              </w:rPr>
              <w:br/>
            </w:r>
            <w:r w:rsidRPr="008204AC">
              <w:rPr>
                <w:rtl/>
              </w:rPr>
              <w:t>مملكة سوازيلاند/جمهورية تنـزانيا المتحدة/جمهورية زامبيا/جمهورية زيمبابوي</w:t>
            </w:r>
          </w:p>
        </w:tc>
      </w:tr>
      <w:tr w:rsidR="00867BB9" w:rsidTr="00867BB9">
        <w:trPr>
          <w:cantSplit/>
        </w:trPr>
        <w:tc>
          <w:tcPr>
            <w:tcW w:w="9389" w:type="dxa"/>
            <w:gridSpan w:val="2"/>
          </w:tcPr>
          <w:p w:rsidR="00867BB9" w:rsidRPr="00BD6EF3" w:rsidRDefault="00867BB9" w:rsidP="00867BB9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الـمؤتـمر</w:t>
            </w:r>
          </w:p>
        </w:tc>
      </w:tr>
      <w:tr w:rsidR="00764079" w:rsidTr="00867BB9">
        <w:trPr>
          <w:cantSplit/>
        </w:trPr>
        <w:tc>
          <w:tcPr>
            <w:tcW w:w="9389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867BB9" w:rsidTr="00867BB9">
        <w:trPr>
          <w:cantSplit/>
        </w:trPr>
        <w:tc>
          <w:tcPr>
            <w:tcW w:w="9389" w:type="dxa"/>
            <w:gridSpan w:val="2"/>
          </w:tcPr>
          <w:p w:rsidR="00867BB9" w:rsidRPr="002919E1" w:rsidRDefault="00867BB9" w:rsidP="00867BB9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>
              <w:t>(B)7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867BB9" w:rsidRPr="00431196" w:rsidRDefault="00867BB9" w:rsidP="005E6FEB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والفعال والاقتصادي للترددات الراديوية وأي مدارات مرتبطة بها، بما</w:t>
      </w:r>
      <w:r w:rsidR="005E6FEB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فيها مدار </w:t>
      </w:r>
      <w:proofErr w:type="spellStart"/>
      <w:r w:rsidRPr="00431196">
        <w:rPr>
          <w:rFonts w:eastAsia="SimSun" w:hint="cs"/>
          <w:rtl/>
        </w:rPr>
        <w:t>السواتل</w:t>
      </w:r>
      <w:proofErr w:type="spellEnd"/>
      <w:r w:rsidRPr="00431196">
        <w:rPr>
          <w:rFonts w:eastAsia="SimSun" w:hint="cs"/>
          <w:rtl/>
        </w:rPr>
        <w:t xml:space="preserve"> المستقرة بالنسبة إلى الأرض؛</w:t>
      </w:r>
    </w:p>
    <w:p w:rsidR="00867BB9" w:rsidRPr="00431196" w:rsidRDefault="00867BB9" w:rsidP="00867BB9">
      <w:pPr>
        <w:rPr>
          <w:rFonts w:eastAsia="SimSun"/>
        </w:rPr>
      </w:pPr>
      <w:r w:rsidRPr="00431196">
        <w:rPr>
          <w:rFonts w:eastAsia="SimSun"/>
        </w:rPr>
        <w:t>(B)7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 xml:space="preserve">المسألة </w:t>
      </w:r>
      <w:r w:rsidRPr="00431196">
        <w:rPr>
          <w:rFonts w:eastAsia="SimSun"/>
        </w:rPr>
        <w:t>B</w:t>
      </w:r>
      <w:r w:rsidRPr="00431196">
        <w:rPr>
          <w:rFonts w:eastAsia="SimSun" w:hint="cs"/>
          <w:rtl/>
        </w:rPr>
        <w:t xml:space="preserve"> - نشر معلومات في الموقع الإلكتروني للاتحاد بشأن وضع الشبكات الساتلية في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الخدمة</w:t>
      </w:r>
    </w:p>
    <w:p w:rsidR="00867BB9" w:rsidRDefault="00867BB9" w:rsidP="00867BB9">
      <w:pPr>
        <w:pStyle w:val="Headingb"/>
      </w:pPr>
      <w:r>
        <w:rPr>
          <w:rFonts w:hint="cs"/>
          <w:rtl/>
        </w:rPr>
        <w:t>مقدمة</w:t>
      </w:r>
    </w:p>
    <w:p w:rsidR="00867BB9" w:rsidRDefault="00867BB9" w:rsidP="00867BB9">
      <w:pPr>
        <w:rPr>
          <w:lang w:bidi="ar"/>
        </w:rPr>
      </w:pPr>
      <w:r w:rsidRPr="00782312">
        <w:rPr>
          <w:rFonts w:hint="cs"/>
          <w:rtl/>
          <w:lang w:bidi="ar"/>
        </w:rPr>
        <w:t xml:space="preserve">تؤيد بلدان </w:t>
      </w:r>
      <w:r w:rsidRPr="00782312">
        <w:rPr>
          <w:rtl/>
          <w:lang w:bidi="ar"/>
        </w:rPr>
        <w:t xml:space="preserve">الجماعة الإنمائية للجنوب الإفريقي </w:t>
      </w:r>
      <w:r>
        <w:rPr>
          <w:lang w:bidi="ar"/>
        </w:rPr>
        <w:t>(</w:t>
      </w:r>
      <w:r w:rsidRPr="00782312">
        <w:rPr>
          <w:lang w:bidi="ar"/>
        </w:rPr>
        <w:t>SADC</w:t>
      </w:r>
      <w:r>
        <w:rPr>
          <w:lang w:bidi="ar"/>
        </w:rPr>
        <w:t>)</w:t>
      </w:r>
      <w:r w:rsidRPr="00782312">
        <w:rPr>
          <w:rFonts w:hint="cs"/>
          <w:rtl/>
          <w:lang w:bidi="ar"/>
        </w:rPr>
        <w:t xml:space="preserve"> الوضوح التام في لوائح الراديو فيما</w:t>
      </w:r>
      <w:r w:rsidRPr="00782312">
        <w:rPr>
          <w:rFonts w:hint="eastAsia"/>
          <w:rtl/>
          <w:lang w:bidi="ar"/>
        </w:rPr>
        <w:t> </w:t>
      </w:r>
      <w:r w:rsidRPr="00782312">
        <w:rPr>
          <w:rFonts w:hint="cs"/>
          <w:rtl/>
          <w:lang w:bidi="ar"/>
        </w:rPr>
        <w:t xml:space="preserve">يخص إجراءات المكتب المتعلقة بنشر وإتاحة المعلومات </w:t>
      </w:r>
      <w:r>
        <w:rPr>
          <w:rFonts w:hint="cs"/>
          <w:rtl/>
          <w:lang w:bidi="ar"/>
        </w:rPr>
        <w:t>المتصلة</w:t>
      </w:r>
      <w:r w:rsidRPr="00782312">
        <w:rPr>
          <w:rFonts w:hint="cs"/>
          <w:rtl/>
          <w:lang w:bidi="ar"/>
        </w:rPr>
        <w:t xml:space="preserve"> بوضع </w:t>
      </w:r>
      <w:r>
        <w:rPr>
          <w:rFonts w:hint="cs"/>
          <w:rtl/>
          <w:lang w:bidi="ar"/>
        </w:rPr>
        <w:t>ال</w:t>
      </w:r>
      <w:r w:rsidRPr="00782312">
        <w:rPr>
          <w:rFonts w:hint="cs"/>
          <w:rtl/>
          <w:lang w:bidi="ar"/>
        </w:rPr>
        <w:t>تخصيصات التردد</w:t>
      </w:r>
      <w:r>
        <w:rPr>
          <w:rFonts w:hint="cs"/>
          <w:rtl/>
          <w:lang w:bidi="ar"/>
        </w:rPr>
        <w:t>ية</w:t>
      </w:r>
      <w:r w:rsidRPr="00782312">
        <w:rPr>
          <w:rFonts w:hint="cs"/>
          <w:rtl/>
          <w:lang w:bidi="ar"/>
        </w:rPr>
        <w:t xml:space="preserve"> للشبكات الساتلية في</w:t>
      </w:r>
      <w:r w:rsidRPr="00782312">
        <w:rPr>
          <w:rFonts w:hint="eastAsia"/>
          <w:rtl/>
          <w:lang w:bidi="ar"/>
        </w:rPr>
        <w:t> </w:t>
      </w:r>
      <w:r w:rsidRPr="00782312">
        <w:rPr>
          <w:rFonts w:hint="cs"/>
          <w:rtl/>
          <w:lang w:bidi="ar"/>
        </w:rPr>
        <w:t>الخدمة</w:t>
      </w:r>
      <w:r>
        <w:rPr>
          <w:rFonts w:hint="cs"/>
          <w:rtl/>
          <w:lang w:bidi="ar"/>
        </w:rPr>
        <w:t xml:space="preserve"> وبتعليقها</w:t>
      </w:r>
      <w:r w:rsidRPr="00782312">
        <w:rPr>
          <w:rFonts w:hint="cs"/>
          <w:rtl/>
          <w:lang w:bidi="ar"/>
        </w:rPr>
        <w:t>.</w:t>
      </w:r>
      <w:r>
        <w:rPr>
          <w:rFonts w:hint="cs"/>
          <w:rtl/>
          <w:lang w:bidi="ar"/>
        </w:rPr>
        <w:t xml:space="preserve"> وتطابق مقترحات </w:t>
      </w:r>
      <w:r w:rsidRPr="00782312">
        <w:rPr>
          <w:rFonts w:hint="cs"/>
          <w:rtl/>
          <w:lang w:bidi="ar"/>
        </w:rPr>
        <w:t xml:space="preserve">بلدان </w:t>
      </w:r>
      <w:r w:rsidRPr="00782312">
        <w:rPr>
          <w:rtl/>
          <w:lang w:bidi="ar"/>
        </w:rPr>
        <w:t>الجماعة الإنمائية للجنوب الإفريقي</w:t>
      </w:r>
      <w:r>
        <w:rPr>
          <w:rFonts w:hint="cs"/>
          <w:rtl/>
          <w:lang w:bidi="ar"/>
        </w:rPr>
        <w:t xml:space="preserve"> الخيار </w:t>
      </w:r>
      <w:r w:rsidRPr="007326FF">
        <w:t>A</w:t>
      </w:r>
      <w:r>
        <w:rPr>
          <w:rFonts w:hint="cs"/>
          <w:rtl/>
        </w:rPr>
        <w:t xml:space="preserve"> من الأسلوب </w:t>
      </w:r>
      <w:r w:rsidRPr="007326FF">
        <w:t>B1</w:t>
      </w:r>
      <w:r>
        <w:rPr>
          <w:rFonts w:hint="cs"/>
          <w:rtl/>
        </w:rPr>
        <w:t xml:space="preserve"> في تقرير الاجتماع التحضيري للمؤتمر.</w:t>
      </w:r>
    </w:p>
    <w:p w:rsidR="00867BB9" w:rsidRDefault="00867BB9" w:rsidP="00867BB9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Pr="00620278" w:rsidRDefault="00F248ED" w:rsidP="00D02A9E">
      <w:pPr>
        <w:pStyle w:val="ArtNo"/>
        <w:rPr>
          <w:rtl/>
        </w:rPr>
      </w:pPr>
      <w:r w:rsidRPr="00620278">
        <w:rPr>
          <w:rtl/>
        </w:rPr>
        <w:lastRenderedPageBreak/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F248ED" w:rsidP="00D02A9E">
      <w:pPr>
        <w:pStyle w:val="Arttitle"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 w:rsidRPr="005E6FEB">
        <w:rPr>
          <w:rStyle w:val="FootnoteReference"/>
          <w:b w:val="0"/>
          <w:rtl/>
        </w:rPr>
        <w:t>1</w:t>
      </w:r>
      <w:r w:rsidRPr="005E6FEB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5E6FEB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5E6FEB">
        <w:rPr>
          <w:rStyle w:val="FootnoteReference"/>
          <w:b w:val="0"/>
          <w:rtl/>
        </w:rPr>
        <w:t>2</w:t>
      </w:r>
      <w:r w:rsidRPr="005E6FEB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5E6FEB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5E6FEB">
        <w:rPr>
          <w:rStyle w:val="FootnoteReference"/>
          <w:b w:val="0"/>
          <w:rtl/>
        </w:rPr>
        <w:t>3</w:t>
      </w:r>
      <w:r w:rsidRPr="005E6FEB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5E6FEB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5E6FEB">
        <w:rPr>
          <w:rStyle w:val="FootnoteReference"/>
          <w:b w:val="0"/>
          <w:rtl/>
        </w:rPr>
        <w:t>4</w:t>
      </w:r>
      <w:r w:rsidRPr="005E6FEB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5E6FEB">
        <w:rPr>
          <w:b w:val="0"/>
          <w:position w:val="6"/>
          <w:sz w:val="18"/>
          <w:szCs w:val="24"/>
          <w:rtl/>
        </w:rPr>
        <w:t xml:space="preserve"> </w:t>
      </w:r>
      <w:r w:rsidRPr="005E6FEB">
        <w:rPr>
          <w:rStyle w:val="FootnoteReference"/>
          <w:b w:val="0"/>
          <w:rtl/>
        </w:rPr>
        <w:t>5</w:t>
      </w:r>
      <w:r w:rsidRPr="005E6FEB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5E6FEB">
        <w:rPr>
          <w:b w:val="0"/>
          <w:position w:val="6"/>
          <w:sz w:val="18"/>
          <w:szCs w:val="24"/>
          <w:rtl/>
        </w:rPr>
        <w:t xml:space="preserve"> </w:t>
      </w:r>
      <w:r w:rsidRPr="005E6FEB">
        <w:rPr>
          <w:rStyle w:val="FootnoteReference"/>
          <w:b w:val="0"/>
          <w:rtl/>
        </w:rPr>
        <w:t>6</w:t>
      </w:r>
      <w:r w:rsidRPr="005E6FEB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5E6FEB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5E6FEB">
        <w:rPr>
          <w:rStyle w:val="FootnoteReference"/>
          <w:b w:val="0"/>
          <w:rtl/>
        </w:rPr>
        <w:t>7</w:t>
      </w:r>
      <w:r w:rsidRPr="005E6FEB">
        <w:rPr>
          <w:rFonts w:hint="cs"/>
          <w:b w:val="0"/>
          <w:position w:val="-4"/>
          <w:szCs w:val="28"/>
          <w:vertAlign w:val="superscript"/>
          <w:rtl/>
        </w:rPr>
        <w:t xml:space="preserve">، </w:t>
      </w:r>
      <w:r w:rsidRPr="005E6FEB">
        <w:rPr>
          <w:rStyle w:val="FootnoteReference"/>
          <w:b w:val="0"/>
          <w:rtl/>
        </w:rPr>
        <w:t>7</w:t>
      </w:r>
      <w:r w:rsidRPr="005E6FEB">
        <w:rPr>
          <w:rStyle w:val="FootnoteReference"/>
          <w:rFonts w:ascii="Times New Roman Bold" w:hAnsi="Times New Roman Bold" w:cs="Traditional Arabic"/>
          <w:b w:val="0"/>
          <w:rtl/>
        </w:rPr>
        <w:t>مكرراً</w:t>
      </w:r>
      <w:r w:rsidRPr="00B349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F248ED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C82BF2" w:rsidRDefault="00F248ED" w:rsidP="00867BB9">
      <w:pPr>
        <w:pStyle w:val="Proposal"/>
        <w:ind w:left="1134" w:hanging="1134"/>
      </w:pPr>
      <w:r>
        <w:t>MOD</w:t>
      </w:r>
      <w:r>
        <w:tab/>
        <w:t>AGL/BOT/LSO/MDG/MWI/MAU/MOZ/NMB/COD/SEY/AFS/SWZ/TZA/ZMB/</w:t>
      </w:r>
      <w:r w:rsidR="00867BB9">
        <w:br/>
      </w:r>
      <w:r>
        <w:t>ZWE/130A21A2/1</w:t>
      </w:r>
    </w:p>
    <w:p w:rsidR="009F37C9" w:rsidRPr="00867BB9" w:rsidRDefault="00F248ED" w:rsidP="00867BB9">
      <w:pPr>
        <w:rPr>
          <w:rtl/>
        </w:rPr>
      </w:pPr>
      <w:r w:rsidRPr="00A365E4">
        <w:rPr>
          <w:rStyle w:val="Artdef"/>
        </w:rPr>
        <w:t>44B.11</w:t>
      </w:r>
      <w:r w:rsidRPr="001538EE">
        <w:tab/>
      </w:r>
      <w:r>
        <w:rPr>
          <w:rFonts w:hint="cs"/>
          <w:rtl/>
        </w:rPr>
        <w:tab/>
      </w:r>
      <w:r w:rsidR="00867BB9" w:rsidRPr="001538EE">
        <w:rPr>
          <w:rFonts w:hint="cs"/>
          <w:rtl/>
        </w:rPr>
        <w:t>يُعتبر تخصيص تردد لمحطة فضائية مستقرة بالنسبة إلى الأرض موضوعاً</w:t>
      </w:r>
      <w:r w:rsidR="00867BB9">
        <w:rPr>
          <w:rFonts w:hint="cs"/>
          <w:rtl/>
        </w:rPr>
        <w:t xml:space="preserve"> في </w:t>
      </w:r>
      <w:r w:rsidR="00867BB9" w:rsidRPr="001538EE">
        <w:rPr>
          <w:rFonts w:hint="cs"/>
          <w:rtl/>
        </w:rPr>
        <w:t>الخدمة</w:t>
      </w:r>
      <w:r w:rsidR="00867BB9">
        <w:rPr>
          <w:rFonts w:hint="cs"/>
          <w:rtl/>
        </w:rPr>
        <w:t>،</w:t>
      </w:r>
      <w:r w:rsidR="00867BB9" w:rsidRPr="001538EE">
        <w:rPr>
          <w:rFonts w:hint="cs"/>
          <w:rtl/>
        </w:rPr>
        <w:t xml:space="preserve"> إذا ما </w:t>
      </w:r>
      <w:r w:rsidR="00867BB9">
        <w:rPr>
          <w:rFonts w:hint="cs"/>
          <w:rtl/>
        </w:rPr>
        <w:t>وضعت</w:t>
      </w:r>
      <w:r w:rsidR="00867BB9" w:rsidRPr="001538EE">
        <w:rPr>
          <w:rFonts w:hint="cs"/>
          <w:rtl/>
        </w:rPr>
        <w:t xml:space="preserve"> محطة فضائية مستقرة بالنسبة إلى الأرض</w:t>
      </w:r>
      <w:r w:rsidR="00867BB9">
        <w:rPr>
          <w:rFonts w:hint="cs"/>
          <w:rtl/>
        </w:rPr>
        <w:t xml:space="preserve"> في </w:t>
      </w:r>
      <w:r w:rsidR="00867BB9" w:rsidRPr="001538EE">
        <w:rPr>
          <w:rtl/>
        </w:rPr>
        <w:t xml:space="preserve">الموقع المداري </w:t>
      </w:r>
      <w:r w:rsidR="00867BB9" w:rsidRPr="001538EE">
        <w:rPr>
          <w:rFonts w:hint="cs"/>
          <w:rtl/>
        </w:rPr>
        <w:t>المبلَّغ عنه و</w:t>
      </w:r>
      <w:r w:rsidR="00867BB9">
        <w:rPr>
          <w:rFonts w:hint="cs"/>
          <w:rtl/>
        </w:rPr>
        <w:t xml:space="preserve">كانت </w:t>
      </w:r>
      <w:r w:rsidR="00867BB9" w:rsidRPr="001538EE">
        <w:rPr>
          <w:rFonts w:hint="cs"/>
          <w:rtl/>
        </w:rPr>
        <w:t xml:space="preserve">قادرة على </w:t>
      </w:r>
      <w:r w:rsidR="00867BB9" w:rsidRPr="001538EE">
        <w:rPr>
          <w:rtl/>
        </w:rPr>
        <w:t>إرسال</w:t>
      </w:r>
      <w:r w:rsidR="00867BB9">
        <w:rPr>
          <w:rtl/>
        </w:rPr>
        <w:t xml:space="preserve"> أو </w:t>
      </w:r>
      <w:r w:rsidR="00867BB9" w:rsidRPr="001538EE">
        <w:rPr>
          <w:rtl/>
        </w:rPr>
        <w:t>استقبال</w:t>
      </w:r>
      <w:r w:rsidR="00867BB9">
        <w:rPr>
          <w:rFonts w:hint="cs"/>
          <w:rtl/>
        </w:rPr>
        <w:t xml:space="preserve"> هذا التخصيص</w:t>
      </w:r>
      <w:r w:rsidR="00867BB9" w:rsidRPr="001538EE">
        <w:rPr>
          <w:rtl/>
        </w:rPr>
        <w:t>،</w:t>
      </w:r>
      <w:r w:rsidR="00867BB9">
        <w:rPr>
          <w:rtl/>
        </w:rPr>
        <w:t xml:space="preserve"> </w:t>
      </w:r>
      <w:r w:rsidR="00867BB9">
        <w:rPr>
          <w:rFonts w:hint="cs"/>
          <w:rtl/>
        </w:rPr>
        <w:t>وظلت في </w:t>
      </w:r>
      <w:r w:rsidR="00867BB9" w:rsidRPr="001538EE">
        <w:rPr>
          <w:rFonts w:hint="cs"/>
          <w:rtl/>
        </w:rPr>
        <w:t>ذلك الموقع لمدة تسعين يوم</w:t>
      </w:r>
      <w:r w:rsidR="00867BB9">
        <w:rPr>
          <w:rFonts w:hint="cs"/>
          <w:rtl/>
        </w:rPr>
        <w:t xml:space="preserve">اً </w:t>
      </w:r>
      <w:r w:rsidR="00867BB9" w:rsidRPr="001538EE">
        <w:rPr>
          <w:rFonts w:hint="cs"/>
          <w:rtl/>
        </w:rPr>
        <w:t>متواصلة</w:t>
      </w:r>
      <w:r w:rsidR="00867BB9" w:rsidRPr="001538EE">
        <w:rPr>
          <w:rtl/>
        </w:rPr>
        <w:t>.</w:t>
      </w:r>
      <w:r w:rsidR="00867BB9" w:rsidRPr="001538EE">
        <w:rPr>
          <w:rFonts w:hint="cs"/>
          <w:rtl/>
        </w:rPr>
        <w:t xml:space="preserve"> وتُعلم الإدارة المبلِّغة المكتب بذلك</w:t>
      </w:r>
      <w:r w:rsidR="00867BB9">
        <w:rPr>
          <w:rFonts w:hint="cs"/>
          <w:rtl/>
        </w:rPr>
        <w:t xml:space="preserve"> في </w:t>
      </w:r>
      <w:r w:rsidR="00867BB9" w:rsidRPr="001538EE">
        <w:rPr>
          <w:rFonts w:hint="cs"/>
          <w:rtl/>
        </w:rPr>
        <w:t>غضون مدة ثلاثين يوم</w:t>
      </w:r>
      <w:r w:rsidR="00867BB9">
        <w:rPr>
          <w:rFonts w:hint="cs"/>
          <w:rtl/>
        </w:rPr>
        <w:t xml:space="preserve">اً </w:t>
      </w:r>
      <w:r w:rsidR="00867BB9" w:rsidRPr="001538EE">
        <w:rPr>
          <w:rFonts w:hint="cs"/>
          <w:rtl/>
        </w:rPr>
        <w:t>اعتبار</w:t>
      </w:r>
      <w:r w:rsidR="00867BB9">
        <w:rPr>
          <w:rFonts w:hint="cs"/>
          <w:rtl/>
        </w:rPr>
        <w:t xml:space="preserve">اً من نهاية </w:t>
      </w:r>
      <w:r w:rsidR="00867BB9" w:rsidRPr="001538EE">
        <w:rPr>
          <w:rFonts w:hint="cs"/>
          <w:rtl/>
        </w:rPr>
        <w:t xml:space="preserve">فترة </w:t>
      </w:r>
      <w:r w:rsidR="00867BB9">
        <w:rPr>
          <w:rFonts w:hint="cs"/>
          <w:rtl/>
        </w:rPr>
        <w:t>ال</w:t>
      </w:r>
      <w:r w:rsidR="00867BB9" w:rsidRPr="001538EE">
        <w:rPr>
          <w:rFonts w:hint="cs"/>
          <w:rtl/>
        </w:rPr>
        <w:t xml:space="preserve">تسعين </w:t>
      </w:r>
      <w:r w:rsidR="00867BB9">
        <w:rPr>
          <w:rFonts w:hint="cs"/>
          <w:rtl/>
        </w:rPr>
        <w:t>يوماً</w:t>
      </w:r>
      <w:r w:rsidR="00867BB9" w:rsidRPr="001538EE">
        <w:rPr>
          <w:rFonts w:hint="cs"/>
          <w:rtl/>
        </w:rPr>
        <w:t>.</w:t>
      </w:r>
      <w:r w:rsidR="00867BB9" w:rsidRPr="00CF0E9C">
        <w:rPr>
          <w:rFonts w:eastAsia="SimSun"/>
          <w:spacing w:val="-4"/>
          <w:rtl/>
        </w:rPr>
        <w:t xml:space="preserve"> </w:t>
      </w:r>
      <w:ins w:id="2" w:author="Riz, Imad " w:date="2015-07-10T15:37:00Z">
        <w:r w:rsidR="00867BB9" w:rsidRPr="00CF0E9C">
          <w:rPr>
            <w:rFonts w:eastAsia="SimSun"/>
            <w:spacing w:val="-4"/>
            <w:rtl/>
            <w:rPrChange w:id="3" w:author="Ajlouni, Nour" w:date="2015-07-17T14:26:00Z">
              <w:rPr>
                <w:rFonts w:eastAsia="SimSun"/>
                <w:rtl/>
              </w:rPr>
            </w:rPrChange>
          </w:rPr>
          <w:t>وفور</w:t>
        </w:r>
        <w:r w:rsidR="00867BB9" w:rsidRPr="00CF0E9C">
          <w:rPr>
            <w:rFonts w:eastAsia="SimSun" w:hint="eastAsia"/>
            <w:spacing w:val="-4"/>
            <w:rtl/>
            <w:rPrChange w:id="4" w:author="Ajlouni, Nour" w:date="2015-07-17T14:26:00Z">
              <w:rPr>
                <w:rFonts w:eastAsia="SimSun" w:hint="eastAsia"/>
                <w:rtl/>
              </w:rPr>
            </w:rPrChange>
          </w:rPr>
          <w:t> </w:t>
        </w:r>
        <w:r w:rsidR="00867BB9" w:rsidRPr="00CF0E9C">
          <w:rPr>
            <w:rFonts w:eastAsia="SimSun"/>
            <w:spacing w:val="-4"/>
            <w:rtl/>
            <w:rPrChange w:id="5" w:author="Ajlouni, Nour" w:date="2015-07-17T14:26:00Z">
              <w:rPr>
                <w:rFonts w:eastAsia="SimSun"/>
                <w:rtl/>
              </w:rPr>
            </w:rPrChange>
          </w:rPr>
          <w:t>استلام المعلومات المرسلة بموجب هذا الحكم، يتيح المكتب تلك المعلومات بأسرع ما</w:t>
        </w:r>
      </w:ins>
      <w:ins w:id="6" w:author="Ajlouni, Nour" w:date="2015-07-17T14:27:00Z">
        <w:r w:rsidR="00867BB9">
          <w:rPr>
            <w:rFonts w:eastAsia="SimSun" w:hint="eastAsia"/>
            <w:spacing w:val="-4"/>
            <w:rtl/>
          </w:rPr>
          <w:t> </w:t>
        </w:r>
      </w:ins>
      <w:ins w:id="7" w:author="Riz, Imad " w:date="2015-07-10T15:37:00Z">
        <w:r w:rsidR="00867BB9" w:rsidRPr="00CF0E9C">
          <w:rPr>
            <w:rFonts w:eastAsia="SimSun"/>
            <w:spacing w:val="-4"/>
            <w:rtl/>
            <w:rPrChange w:id="8" w:author="Ajlouni, Nour" w:date="2015-07-17T14:26:00Z">
              <w:rPr>
                <w:rFonts w:eastAsia="SimSun"/>
                <w:rtl/>
              </w:rPr>
            </w:rPrChange>
          </w:rPr>
          <w:t>يمكن وينشرها في</w:t>
        </w:r>
        <w:r w:rsidR="00867BB9" w:rsidRPr="00CF0E9C">
          <w:rPr>
            <w:rFonts w:eastAsia="SimSun" w:hint="eastAsia"/>
            <w:spacing w:val="-4"/>
            <w:rtl/>
            <w:rPrChange w:id="9" w:author="Ajlouni, Nour" w:date="2015-07-17T14:26:00Z">
              <w:rPr>
                <w:rFonts w:eastAsia="SimSun" w:hint="eastAsia"/>
                <w:rtl/>
              </w:rPr>
            </w:rPrChange>
          </w:rPr>
          <w:t> </w:t>
        </w:r>
        <w:r w:rsidR="00867BB9" w:rsidRPr="00CF0E9C">
          <w:rPr>
            <w:rFonts w:eastAsia="SimSun"/>
            <w:spacing w:val="-4"/>
            <w:rtl/>
            <w:rPrChange w:id="10" w:author="Ajlouni, Nour" w:date="2015-07-17T14:26:00Z">
              <w:rPr>
                <w:rFonts w:eastAsia="SimSun"/>
                <w:rtl/>
              </w:rPr>
            </w:rPrChange>
          </w:rPr>
          <w:t>النشرة الإعلامية الدولية للترددات الصادرة عن مكتب الاتصالات</w:t>
        </w:r>
      </w:ins>
      <w:ins w:id="11" w:author="Ajlouni, Nour" w:date="2015-07-17T14:26:00Z">
        <w:r w:rsidR="00867BB9" w:rsidRPr="00CF0E9C">
          <w:rPr>
            <w:rFonts w:eastAsia="SimSun" w:hint="eastAsia"/>
            <w:spacing w:val="-4"/>
            <w:rtl/>
            <w:rPrChange w:id="12" w:author="Ajlouni, Nour" w:date="2015-07-17T14:26:00Z">
              <w:rPr>
                <w:rFonts w:eastAsia="SimSun" w:hint="eastAsia"/>
                <w:rtl/>
              </w:rPr>
            </w:rPrChange>
          </w:rPr>
          <w:t> </w:t>
        </w:r>
      </w:ins>
      <w:ins w:id="13" w:author="Riz, Imad " w:date="2015-07-10T15:37:00Z">
        <w:r w:rsidR="00867BB9" w:rsidRPr="00CF0E9C">
          <w:rPr>
            <w:rFonts w:eastAsia="SimSun"/>
            <w:spacing w:val="-4"/>
            <w:rtl/>
            <w:rPrChange w:id="14" w:author="Ajlouni, Nour" w:date="2015-07-17T14:26:00Z">
              <w:rPr>
                <w:rFonts w:eastAsia="SimSun"/>
                <w:rtl/>
              </w:rPr>
            </w:rPrChange>
          </w:rPr>
          <w:t>الراديوية</w:t>
        </w:r>
      </w:ins>
      <w:ins w:id="15" w:author="Ajlouni, Nour" w:date="2015-07-17T14:37:00Z">
        <w:r w:rsidR="00867BB9">
          <w:rPr>
            <w:rFonts w:eastAsia="SimSun" w:hint="cs"/>
            <w:spacing w:val="-4"/>
            <w:rtl/>
          </w:rPr>
          <w:t>.</w:t>
        </w:r>
      </w:ins>
      <w:r w:rsidR="00867BB9" w:rsidRPr="00CF0E9C">
        <w:rPr>
          <w:spacing w:val="-4"/>
          <w:sz w:val="16"/>
          <w:rPrChange w:id="16" w:author="Ajlouni, Nour" w:date="2015-07-17T14:26:00Z">
            <w:rPr>
              <w:sz w:val="16"/>
            </w:rPr>
          </w:rPrChange>
        </w:rPr>
        <w:t>(WRC</w:t>
      </w:r>
      <w:r w:rsidR="00867BB9" w:rsidRPr="00CF0E9C">
        <w:rPr>
          <w:spacing w:val="-4"/>
          <w:sz w:val="16"/>
          <w:rPrChange w:id="17" w:author="Ajlouni, Nour" w:date="2015-07-17T14:26:00Z">
            <w:rPr>
              <w:sz w:val="16"/>
            </w:rPr>
          </w:rPrChange>
        </w:rPr>
        <w:noBreakHyphen/>
      </w:r>
      <w:del w:id="18" w:author="Rami, Nadia" w:date="2015-07-15T10:40:00Z">
        <w:r w:rsidR="00867BB9" w:rsidRPr="00CF0E9C" w:rsidDel="0008729D">
          <w:rPr>
            <w:spacing w:val="-4"/>
            <w:sz w:val="16"/>
            <w:rPrChange w:id="19" w:author="Ajlouni, Nour" w:date="2015-07-17T14:26:00Z">
              <w:rPr>
                <w:sz w:val="16"/>
              </w:rPr>
            </w:rPrChange>
          </w:rPr>
          <w:delText>12</w:delText>
        </w:r>
      </w:del>
      <w:ins w:id="20" w:author="Rami, Nadia" w:date="2015-07-15T10:40:00Z">
        <w:r w:rsidR="00867BB9" w:rsidRPr="00CF0E9C">
          <w:rPr>
            <w:spacing w:val="-4"/>
            <w:sz w:val="16"/>
            <w:rPrChange w:id="21" w:author="Ajlouni, Nour" w:date="2015-07-17T14:26:00Z">
              <w:rPr>
                <w:sz w:val="16"/>
              </w:rPr>
            </w:rPrChange>
          </w:rPr>
          <w:t>15</w:t>
        </w:r>
      </w:ins>
      <w:r w:rsidR="00867BB9" w:rsidRPr="00CF0E9C">
        <w:rPr>
          <w:spacing w:val="-4"/>
          <w:sz w:val="16"/>
          <w:rPrChange w:id="22" w:author="Ajlouni, Nour" w:date="2015-07-17T14:26:00Z">
            <w:rPr>
              <w:sz w:val="16"/>
            </w:rPr>
          </w:rPrChange>
        </w:rPr>
        <w:t>)      </w:t>
      </w:r>
    </w:p>
    <w:p w:rsidR="00C82BF2" w:rsidRDefault="00C82BF2">
      <w:pPr>
        <w:pStyle w:val="Reasons"/>
      </w:pPr>
    </w:p>
    <w:p w:rsidR="00C82BF2" w:rsidRDefault="00F248ED" w:rsidP="00867BB9">
      <w:pPr>
        <w:pStyle w:val="Proposal"/>
        <w:ind w:left="1134" w:hanging="1134"/>
      </w:pPr>
      <w:r>
        <w:t>MOD</w:t>
      </w:r>
      <w:r>
        <w:tab/>
        <w:t>AGL/BOT/LSO/MDG/MWI/MAU/MOZ/NMB/COD/SEY/AFS/SWZ/TZA/ZMB/</w:t>
      </w:r>
      <w:r w:rsidR="00867BB9">
        <w:br/>
      </w:r>
      <w:r>
        <w:t>ZWE/130A21A2/2</w:t>
      </w:r>
    </w:p>
    <w:p w:rsidR="009F37C9" w:rsidRPr="00867BB9" w:rsidRDefault="00F248ED" w:rsidP="00867BB9">
      <w:pPr>
        <w:rPr>
          <w:rtl/>
        </w:rPr>
      </w:pPr>
      <w:r w:rsidRPr="007A3994">
        <w:rPr>
          <w:rStyle w:val="Artdef"/>
        </w:rPr>
        <w:t>49.11</w:t>
      </w:r>
      <w:r w:rsidRPr="00D04480">
        <w:rPr>
          <w:rtl/>
        </w:rPr>
        <w:tab/>
      </w:r>
      <w:r w:rsidRPr="00D04480">
        <w:rPr>
          <w:rtl/>
        </w:rPr>
        <w:tab/>
      </w:r>
      <w:r w:rsidR="00867BB9" w:rsidRPr="003907D2">
        <w:rPr>
          <w:rtl/>
        </w:rPr>
        <w:t xml:space="preserve">عندما يعلق استخدام تخصيص </w:t>
      </w:r>
      <w:r w:rsidR="00867BB9">
        <w:rPr>
          <w:rFonts w:hint="cs"/>
          <w:rtl/>
        </w:rPr>
        <w:t>تردد</w:t>
      </w:r>
      <w:r w:rsidR="00867BB9" w:rsidRPr="003907D2">
        <w:rPr>
          <w:rtl/>
        </w:rPr>
        <w:t xml:space="preserve"> مسجل لمحطة فضائية لفترة تزيد على</w:t>
      </w:r>
      <w:r w:rsidR="00867BB9">
        <w:rPr>
          <w:rFonts w:hint="cs"/>
          <w:rtl/>
        </w:rPr>
        <w:t xml:space="preserve"> ستة أشهر</w:t>
      </w:r>
      <w:r w:rsidR="00867BB9" w:rsidRPr="003907D2">
        <w:rPr>
          <w:rtl/>
        </w:rPr>
        <w:t>، تقوم الإدارة</w:t>
      </w:r>
      <w:r w:rsidR="00867BB9">
        <w:rPr>
          <w:rFonts w:hint="cs"/>
          <w:rtl/>
        </w:rPr>
        <w:t> </w:t>
      </w:r>
      <w:r w:rsidR="00867BB9" w:rsidRPr="003907D2">
        <w:rPr>
          <w:rtl/>
        </w:rPr>
        <w:t>المبلغة بأسرع ما يمكن</w:t>
      </w:r>
      <w:r w:rsidR="00867BB9">
        <w:rPr>
          <w:rFonts w:hint="cs"/>
          <w:rtl/>
        </w:rPr>
        <w:t>، في موعد أقصاه ستة أشهر اعتباراً من تاريخ التعليق،</w:t>
      </w:r>
      <w:r w:rsidR="00867BB9" w:rsidRPr="003907D2">
        <w:rPr>
          <w:rtl/>
        </w:rPr>
        <w:t xml:space="preserve"> بإعلام المكتب بتاريخ تعليق استخدام</w:t>
      </w:r>
      <w:r w:rsidR="00867BB9">
        <w:rPr>
          <w:rFonts w:hint="cs"/>
          <w:rtl/>
        </w:rPr>
        <w:t> </w:t>
      </w:r>
      <w:r w:rsidR="00867BB9" w:rsidRPr="003907D2">
        <w:rPr>
          <w:rtl/>
        </w:rPr>
        <w:t>التردد</w:t>
      </w:r>
      <w:r w:rsidR="00867BB9">
        <w:rPr>
          <w:rFonts w:hint="cs"/>
          <w:rtl/>
        </w:rPr>
        <w:t xml:space="preserve">. وعندما يُعاد وضع التخصيص المسجل في الخدمة، تعلم الإدارة المبلّغة المكتب بذلك بأسرع ما يمكن طبقاً لأحكام الرقم </w:t>
      </w:r>
      <w:r w:rsidR="00867BB9" w:rsidRPr="004452E7">
        <w:rPr>
          <w:b/>
          <w:bCs/>
        </w:rPr>
        <w:t>1.49.11</w:t>
      </w:r>
      <w:r w:rsidR="00867BB9">
        <w:rPr>
          <w:rFonts w:hint="cs"/>
          <w:rtl/>
          <w:lang w:bidi="ar-SY"/>
        </w:rPr>
        <w:t xml:space="preserve"> في حالة انطباقها</w:t>
      </w:r>
      <w:r w:rsidR="00867BB9" w:rsidRPr="003907D2">
        <w:rPr>
          <w:rtl/>
        </w:rPr>
        <w:t xml:space="preserve">. </w:t>
      </w:r>
      <w:r w:rsidR="00867BB9">
        <w:rPr>
          <w:rFonts w:hint="cs"/>
          <w:rtl/>
        </w:rPr>
        <w:t>ويجب ألا يتجاوز تاريخ إعادة وضع التخصيص في الخدمة</w:t>
      </w:r>
      <w:r w:rsidR="00867BB9">
        <w:rPr>
          <w:rStyle w:val="FootnoteReference"/>
          <w:spacing w:val="-4"/>
          <w:rtl/>
        </w:rPr>
        <w:t>22</w:t>
      </w:r>
      <w:r w:rsidR="00867BB9" w:rsidRPr="00F54A85">
        <w:rPr>
          <w:position w:val="6"/>
          <w:sz w:val="18"/>
          <w:szCs w:val="18"/>
        </w:rPr>
        <w:t> </w:t>
      </w:r>
      <w:r w:rsidR="00867BB9">
        <w:rPr>
          <w:rFonts w:hint="cs"/>
          <w:rtl/>
        </w:rPr>
        <w:t xml:space="preserve"> مدة ثلاثة أعوام </w:t>
      </w:r>
      <w:r w:rsidR="00867BB9" w:rsidRPr="003907D2">
        <w:rPr>
          <w:rtl/>
        </w:rPr>
        <w:t xml:space="preserve">بعد تاريخ </w:t>
      </w:r>
      <w:r w:rsidR="00867BB9">
        <w:rPr>
          <w:rFonts w:hint="cs"/>
          <w:rtl/>
        </w:rPr>
        <w:t>ال</w:t>
      </w:r>
      <w:r w:rsidR="00867BB9" w:rsidRPr="003907D2">
        <w:rPr>
          <w:rtl/>
        </w:rPr>
        <w:t>تعليق.</w:t>
      </w:r>
      <w:ins w:id="23" w:author="Riz, Imad " w:date="2015-07-10T15:37:00Z">
        <w:r w:rsidR="00867BB9" w:rsidRPr="00CF0E9C">
          <w:rPr>
            <w:spacing w:val="-4"/>
            <w:rtl/>
            <w:rPrChange w:id="24" w:author="Ajlouni, Nour" w:date="2015-07-17T14:26:00Z">
              <w:rPr>
                <w:rtl/>
              </w:rPr>
            </w:rPrChange>
          </w:rPr>
          <w:t xml:space="preserve"> </w:t>
        </w:r>
        <w:r w:rsidR="00867BB9" w:rsidRPr="00CF0E9C">
          <w:rPr>
            <w:rFonts w:eastAsia="SimSun"/>
            <w:spacing w:val="-4"/>
            <w:rtl/>
            <w:rPrChange w:id="25" w:author="Ajlouni, Nour" w:date="2015-07-17T14:26:00Z">
              <w:rPr>
                <w:rFonts w:eastAsia="SimSun"/>
                <w:rtl/>
              </w:rPr>
            </w:rPrChange>
          </w:rPr>
          <w:t>وفور</w:t>
        </w:r>
        <w:r w:rsidR="00867BB9" w:rsidRPr="00CF0E9C">
          <w:rPr>
            <w:rFonts w:eastAsia="SimSun" w:hint="eastAsia"/>
            <w:spacing w:val="-4"/>
            <w:rtl/>
            <w:rPrChange w:id="26" w:author="Ajlouni, Nour" w:date="2015-07-17T14:26:00Z">
              <w:rPr>
                <w:rFonts w:eastAsia="SimSun" w:hint="eastAsia"/>
                <w:rtl/>
              </w:rPr>
            </w:rPrChange>
          </w:rPr>
          <w:t> </w:t>
        </w:r>
        <w:r w:rsidR="00867BB9" w:rsidRPr="00CF0E9C">
          <w:rPr>
            <w:rFonts w:eastAsia="SimSun"/>
            <w:spacing w:val="-4"/>
            <w:rtl/>
            <w:rPrChange w:id="27" w:author="Ajlouni, Nour" w:date="2015-07-17T14:26:00Z">
              <w:rPr>
                <w:rFonts w:eastAsia="SimSun"/>
                <w:rtl/>
              </w:rPr>
            </w:rPrChange>
          </w:rPr>
          <w:t>استلام المعلومات المرسلة بموجب هذا الحكم، يتيح المكتب تلك المعلومات بأسرع ما</w:t>
        </w:r>
      </w:ins>
      <w:ins w:id="28" w:author="Ajlouni, Nour" w:date="2015-07-17T14:27:00Z">
        <w:r w:rsidR="00867BB9">
          <w:rPr>
            <w:rFonts w:eastAsia="SimSun" w:hint="eastAsia"/>
            <w:spacing w:val="-4"/>
            <w:rtl/>
          </w:rPr>
          <w:t> </w:t>
        </w:r>
      </w:ins>
      <w:ins w:id="29" w:author="Riz, Imad " w:date="2015-07-10T15:37:00Z">
        <w:r w:rsidR="00867BB9" w:rsidRPr="00CF0E9C">
          <w:rPr>
            <w:rFonts w:eastAsia="SimSun"/>
            <w:spacing w:val="-4"/>
            <w:rtl/>
            <w:rPrChange w:id="30" w:author="Ajlouni, Nour" w:date="2015-07-17T14:26:00Z">
              <w:rPr>
                <w:rFonts w:eastAsia="SimSun"/>
                <w:rtl/>
              </w:rPr>
            </w:rPrChange>
          </w:rPr>
          <w:t>يمكن وينشرها في</w:t>
        </w:r>
        <w:r w:rsidR="00867BB9" w:rsidRPr="00CF0E9C">
          <w:rPr>
            <w:rFonts w:eastAsia="SimSun" w:hint="eastAsia"/>
            <w:spacing w:val="-4"/>
            <w:rtl/>
            <w:rPrChange w:id="31" w:author="Ajlouni, Nour" w:date="2015-07-17T14:26:00Z">
              <w:rPr>
                <w:rFonts w:eastAsia="SimSun" w:hint="eastAsia"/>
                <w:rtl/>
              </w:rPr>
            </w:rPrChange>
          </w:rPr>
          <w:t> </w:t>
        </w:r>
        <w:r w:rsidR="00867BB9" w:rsidRPr="00CF0E9C">
          <w:rPr>
            <w:rFonts w:eastAsia="SimSun"/>
            <w:spacing w:val="-4"/>
            <w:rtl/>
            <w:rPrChange w:id="32" w:author="Ajlouni, Nour" w:date="2015-07-17T14:26:00Z">
              <w:rPr>
                <w:rFonts w:eastAsia="SimSun"/>
                <w:rtl/>
              </w:rPr>
            </w:rPrChange>
          </w:rPr>
          <w:t>النشرة الإعلامية الدولية للترددات الصادرة عن مكتب الاتصالات</w:t>
        </w:r>
      </w:ins>
      <w:ins w:id="33" w:author="Ajlouni, Nour" w:date="2015-07-17T14:26:00Z">
        <w:r w:rsidR="00867BB9" w:rsidRPr="00CF0E9C">
          <w:rPr>
            <w:rFonts w:eastAsia="SimSun" w:hint="eastAsia"/>
            <w:spacing w:val="-4"/>
            <w:rtl/>
            <w:rPrChange w:id="34" w:author="Ajlouni, Nour" w:date="2015-07-17T14:26:00Z">
              <w:rPr>
                <w:rFonts w:eastAsia="SimSun" w:hint="eastAsia"/>
                <w:rtl/>
              </w:rPr>
            </w:rPrChange>
          </w:rPr>
          <w:t> </w:t>
        </w:r>
      </w:ins>
      <w:ins w:id="35" w:author="Riz, Imad " w:date="2015-07-10T15:37:00Z">
        <w:r w:rsidR="00867BB9" w:rsidRPr="00CF0E9C">
          <w:rPr>
            <w:rFonts w:eastAsia="SimSun"/>
            <w:spacing w:val="-4"/>
            <w:rtl/>
            <w:rPrChange w:id="36" w:author="Ajlouni, Nour" w:date="2015-07-17T14:26:00Z">
              <w:rPr>
                <w:rFonts w:eastAsia="SimSun"/>
                <w:rtl/>
              </w:rPr>
            </w:rPrChange>
          </w:rPr>
          <w:t>الراديوية</w:t>
        </w:r>
      </w:ins>
      <w:ins w:id="37" w:author="Ajlouni, Nour" w:date="2015-07-17T14:37:00Z">
        <w:r w:rsidR="00867BB9">
          <w:rPr>
            <w:rFonts w:eastAsia="SimSun" w:hint="cs"/>
            <w:spacing w:val="-4"/>
            <w:rtl/>
          </w:rPr>
          <w:t>.</w:t>
        </w:r>
      </w:ins>
      <w:r w:rsidR="00867BB9" w:rsidRPr="00CF0E9C">
        <w:rPr>
          <w:spacing w:val="-4"/>
          <w:sz w:val="16"/>
          <w:rPrChange w:id="38" w:author="Ajlouni, Nour" w:date="2015-07-17T14:26:00Z">
            <w:rPr>
              <w:sz w:val="16"/>
            </w:rPr>
          </w:rPrChange>
        </w:rPr>
        <w:t>(WRC</w:t>
      </w:r>
      <w:r w:rsidR="00867BB9" w:rsidRPr="00CF0E9C">
        <w:rPr>
          <w:spacing w:val="-4"/>
          <w:sz w:val="16"/>
          <w:rPrChange w:id="39" w:author="Ajlouni, Nour" w:date="2015-07-17T14:26:00Z">
            <w:rPr>
              <w:sz w:val="16"/>
            </w:rPr>
          </w:rPrChange>
        </w:rPr>
        <w:noBreakHyphen/>
      </w:r>
      <w:del w:id="40" w:author="Rami, Nadia" w:date="2015-07-15T10:40:00Z">
        <w:r w:rsidR="00867BB9" w:rsidRPr="00CF0E9C" w:rsidDel="0008729D">
          <w:rPr>
            <w:spacing w:val="-4"/>
            <w:sz w:val="16"/>
            <w:rPrChange w:id="41" w:author="Ajlouni, Nour" w:date="2015-07-17T14:26:00Z">
              <w:rPr>
                <w:sz w:val="16"/>
              </w:rPr>
            </w:rPrChange>
          </w:rPr>
          <w:delText>12</w:delText>
        </w:r>
      </w:del>
      <w:ins w:id="42" w:author="Rami, Nadia" w:date="2015-07-15T10:40:00Z">
        <w:r w:rsidR="00867BB9" w:rsidRPr="00CF0E9C">
          <w:rPr>
            <w:spacing w:val="-4"/>
            <w:sz w:val="16"/>
            <w:rPrChange w:id="43" w:author="Ajlouni, Nour" w:date="2015-07-17T14:26:00Z">
              <w:rPr>
                <w:sz w:val="16"/>
              </w:rPr>
            </w:rPrChange>
          </w:rPr>
          <w:t>15</w:t>
        </w:r>
      </w:ins>
      <w:r w:rsidR="00867BB9" w:rsidRPr="00CF0E9C">
        <w:rPr>
          <w:spacing w:val="-4"/>
          <w:sz w:val="16"/>
          <w:rPrChange w:id="44" w:author="Ajlouni, Nour" w:date="2015-07-17T14:26:00Z">
            <w:rPr>
              <w:sz w:val="16"/>
            </w:rPr>
          </w:rPrChange>
        </w:rPr>
        <w:t>)      </w:t>
      </w:r>
    </w:p>
    <w:p w:rsidR="00C82BF2" w:rsidRDefault="00C82BF2">
      <w:pPr>
        <w:pStyle w:val="Reasons"/>
      </w:pPr>
    </w:p>
    <w:p w:rsidR="00C82BF2" w:rsidRDefault="00F248ED" w:rsidP="00867BB9">
      <w:pPr>
        <w:pStyle w:val="Proposal"/>
        <w:ind w:left="1134" w:hanging="1134"/>
      </w:pPr>
      <w:r>
        <w:rPr>
          <w:u w:val="single"/>
        </w:rPr>
        <w:t>NOC</w:t>
      </w:r>
      <w:r>
        <w:tab/>
        <w:t>AGL/BOT/LSO/MDG/MWI/MAU/MOZ/NMB/COD/SEY/AFS/SWZ/TZA/ZMB/</w:t>
      </w:r>
      <w:r w:rsidR="00867BB9">
        <w:br/>
      </w:r>
      <w:r>
        <w:t>ZWE/130A21A2/3</w:t>
      </w:r>
    </w:p>
    <w:p w:rsidR="005E6FEB" w:rsidRDefault="005E6FEB" w:rsidP="00867BB9">
      <w:pPr>
        <w:pStyle w:val="FootnoteText"/>
        <w:rPr>
          <w:rStyle w:val="FootnoteReference"/>
          <w:rtl/>
        </w:rPr>
      </w:pPr>
      <w:r>
        <w:rPr>
          <w:rFonts w:hint="cs"/>
          <w:rtl/>
        </w:rPr>
        <w:t>__________</w:t>
      </w:r>
    </w:p>
    <w:p w:rsidR="00867BB9" w:rsidRDefault="00867BB9" w:rsidP="00867BB9">
      <w:pPr>
        <w:pStyle w:val="FootnoteText"/>
      </w:pPr>
      <w:r>
        <w:rPr>
          <w:rStyle w:val="FootnoteReference"/>
          <w:rtl/>
        </w:rPr>
        <w:t>22</w:t>
      </w:r>
      <w:r>
        <w:rPr>
          <w:rtl/>
        </w:rPr>
        <w:t xml:space="preserve"> </w:t>
      </w:r>
      <w:r>
        <w:rPr>
          <w:rFonts w:hint="cs"/>
          <w:rtl/>
        </w:rPr>
        <w:tab/>
      </w:r>
      <w:r w:rsidRPr="00A70A43">
        <w:rPr>
          <w:rStyle w:val="Artdef"/>
          <w:szCs w:val="20"/>
        </w:rPr>
        <w:t>1.49.11</w:t>
      </w:r>
      <w:r w:rsidRPr="00045447">
        <w:rPr>
          <w:rFonts w:hint="cs"/>
          <w:rtl/>
        </w:rPr>
        <w:tab/>
      </w:r>
      <w:r w:rsidRPr="005F5650">
        <w:rPr>
          <w:rStyle w:val="FootnoteTextChar"/>
          <w:rFonts w:hint="cs"/>
          <w:rtl/>
        </w:rPr>
        <w:t xml:space="preserve">يكون تاريخ </w:t>
      </w:r>
      <w:r>
        <w:rPr>
          <w:rStyle w:val="FootnoteTextChar"/>
          <w:rFonts w:hint="cs"/>
          <w:rtl/>
        </w:rPr>
        <w:t xml:space="preserve">إعادة </w:t>
      </w:r>
      <w:r w:rsidRPr="005F5650">
        <w:rPr>
          <w:rStyle w:val="FootnoteTextChar"/>
          <w:rFonts w:hint="cs"/>
          <w:rtl/>
        </w:rPr>
        <w:t xml:space="preserve">وضع </w:t>
      </w:r>
      <w:r>
        <w:rPr>
          <w:rStyle w:val="FootnoteTextChar"/>
          <w:rFonts w:hint="cs"/>
          <w:rtl/>
        </w:rPr>
        <w:t xml:space="preserve">تخصيص </w:t>
      </w:r>
      <w:r w:rsidRPr="005F5650">
        <w:rPr>
          <w:rStyle w:val="FootnoteTextChar"/>
          <w:rFonts w:hint="cs"/>
          <w:rtl/>
        </w:rPr>
        <w:t>تردد لمحطة فضائية مستقرة بالنسبة إلى الأرض</w:t>
      </w:r>
      <w:r>
        <w:rPr>
          <w:rStyle w:val="FootnoteTextChar"/>
          <w:rFonts w:hint="cs"/>
          <w:rtl/>
        </w:rPr>
        <w:t xml:space="preserve"> في </w:t>
      </w:r>
      <w:r w:rsidRPr="005F5650">
        <w:rPr>
          <w:rStyle w:val="FootnoteTextChar"/>
          <w:rFonts w:hint="cs"/>
          <w:rtl/>
        </w:rPr>
        <w:t>الخدمة هو تاريخ بدء الفتر</w:t>
      </w:r>
      <w:r>
        <w:rPr>
          <w:rStyle w:val="FootnoteTextChar"/>
          <w:rFonts w:hint="cs"/>
          <w:rtl/>
        </w:rPr>
        <w:t>ة المحددة أدناه بتسعين يوماً. و</w:t>
      </w:r>
      <w:r w:rsidRPr="005F5650">
        <w:rPr>
          <w:rStyle w:val="FootnoteTextChar"/>
          <w:rFonts w:hint="cs"/>
          <w:rtl/>
        </w:rPr>
        <w:t>يُعتبر تخصيص التردد لمحطة فضائية مستقرة بالنسبة إلى الأرض معاداً إلى الخدمة، إذا ما </w:t>
      </w:r>
      <w:r>
        <w:rPr>
          <w:rStyle w:val="FootnoteTextChar"/>
          <w:rFonts w:hint="cs"/>
          <w:rtl/>
        </w:rPr>
        <w:t>وضعت</w:t>
      </w:r>
      <w:r w:rsidRPr="005F5650">
        <w:rPr>
          <w:rStyle w:val="FootnoteTextChar"/>
          <w:rFonts w:hint="cs"/>
          <w:rtl/>
        </w:rPr>
        <w:t xml:space="preserve"> محطة فضائية مستقرة بالنسبة إلى الأرض</w:t>
      </w:r>
      <w:r>
        <w:rPr>
          <w:rStyle w:val="FootnoteTextChar"/>
          <w:rFonts w:hint="cs"/>
          <w:rtl/>
        </w:rPr>
        <w:t xml:space="preserve"> في </w:t>
      </w:r>
      <w:r w:rsidRPr="005F5650">
        <w:rPr>
          <w:rStyle w:val="FootnoteTextChar"/>
          <w:rtl/>
        </w:rPr>
        <w:t xml:space="preserve">الموقع المداري </w:t>
      </w:r>
      <w:r w:rsidRPr="005F5650">
        <w:rPr>
          <w:rStyle w:val="FootnoteTextChar"/>
          <w:rFonts w:hint="cs"/>
          <w:rtl/>
        </w:rPr>
        <w:t>المبلَّغ عنه و</w:t>
      </w:r>
      <w:r>
        <w:rPr>
          <w:rStyle w:val="FootnoteTextChar"/>
          <w:rFonts w:hint="cs"/>
          <w:rtl/>
        </w:rPr>
        <w:t xml:space="preserve">كانت </w:t>
      </w:r>
      <w:r w:rsidRPr="005F5650">
        <w:rPr>
          <w:rStyle w:val="FootnoteTextChar"/>
          <w:rFonts w:hint="cs"/>
          <w:rtl/>
        </w:rPr>
        <w:t xml:space="preserve">قادرة على </w:t>
      </w:r>
      <w:r>
        <w:rPr>
          <w:rStyle w:val="FootnoteTextChar"/>
          <w:rFonts w:hint="cs"/>
          <w:rtl/>
        </w:rPr>
        <w:t>ال</w:t>
      </w:r>
      <w:r w:rsidRPr="005F5650">
        <w:rPr>
          <w:rStyle w:val="FootnoteTextChar"/>
          <w:rtl/>
        </w:rPr>
        <w:t>إرسال</w:t>
      </w:r>
      <w:r>
        <w:rPr>
          <w:rStyle w:val="FootnoteTextChar"/>
          <w:rtl/>
        </w:rPr>
        <w:t xml:space="preserve"> أو </w:t>
      </w:r>
      <w:r>
        <w:rPr>
          <w:rStyle w:val="FootnoteTextChar"/>
          <w:rFonts w:hint="cs"/>
          <w:rtl/>
        </w:rPr>
        <w:t>ال</w:t>
      </w:r>
      <w:r w:rsidRPr="005F5650">
        <w:rPr>
          <w:rStyle w:val="FootnoteTextChar"/>
          <w:rtl/>
        </w:rPr>
        <w:t>استقبال</w:t>
      </w:r>
      <w:r w:rsidRPr="005F5650">
        <w:rPr>
          <w:rStyle w:val="FootnoteTextChar"/>
          <w:rFonts w:hint="cs"/>
          <w:rtl/>
        </w:rPr>
        <w:t xml:space="preserve"> </w:t>
      </w:r>
      <w:r>
        <w:rPr>
          <w:rStyle w:val="FootnoteTextChar"/>
          <w:rFonts w:hint="cs"/>
          <w:rtl/>
        </w:rPr>
        <w:t xml:space="preserve">باستخدام </w:t>
      </w:r>
      <w:r w:rsidRPr="005F5650">
        <w:rPr>
          <w:rStyle w:val="FootnoteTextChar"/>
          <w:rFonts w:hint="cs"/>
          <w:rtl/>
        </w:rPr>
        <w:t>هذا التخصيص</w:t>
      </w:r>
      <w:r w:rsidRPr="005F5650">
        <w:rPr>
          <w:rStyle w:val="FootnoteTextChar"/>
          <w:rtl/>
        </w:rPr>
        <w:t xml:space="preserve">، </w:t>
      </w:r>
      <w:r>
        <w:rPr>
          <w:rStyle w:val="FootnoteTextChar"/>
          <w:rFonts w:hint="cs"/>
          <w:rtl/>
        </w:rPr>
        <w:t>وظلت في </w:t>
      </w:r>
      <w:r w:rsidRPr="005F5650">
        <w:rPr>
          <w:rStyle w:val="FootnoteTextChar"/>
          <w:rFonts w:hint="cs"/>
          <w:rtl/>
        </w:rPr>
        <w:t>ذلك الموقع لمدة تسعين يوماً متواصلة</w:t>
      </w:r>
      <w:r w:rsidRPr="005F5650">
        <w:rPr>
          <w:rStyle w:val="FootnoteTextChar"/>
          <w:rtl/>
        </w:rPr>
        <w:t>.</w:t>
      </w:r>
      <w:r w:rsidRPr="005F5650">
        <w:rPr>
          <w:rStyle w:val="FootnoteTextChar"/>
          <w:rFonts w:hint="cs"/>
          <w:rtl/>
        </w:rPr>
        <w:t xml:space="preserve"> وتُعلم الإدارة المبلِّغة المكتب بذلك</w:t>
      </w:r>
      <w:r>
        <w:rPr>
          <w:rStyle w:val="FootnoteTextChar"/>
          <w:rFonts w:hint="cs"/>
          <w:rtl/>
        </w:rPr>
        <w:t xml:space="preserve"> في </w:t>
      </w:r>
      <w:r w:rsidRPr="005F5650">
        <w:rPr>
          <w:rStyle w:val="FootnoteTextChar"/>
          <w:rFonts w:hint="cs"/>
          <w:rtl/>
        </w:rPr>
        <w:t>غضون مدة ث</w:t>
      </w:r>
      <w:r>
        <w:rPr>
          <w:rStyle w:val="FootnoteTextChar"/>
          <w:rFonts w:hint="cs"/>
          <w:rtl/>
        </w:rPr>
        <w:t xml:space="preserve">لاثين يوماً اعتباراً من نهاية </w:t>
      </w:r>
      <w:r w:rsidRPr="005F5650">
        <w:rPr>
          <w:rStyle w:val="FootnoteTextChar"/>
          <w:rFonts w:hint="cs"/>
          <w:rtl/>
        </w:rPr>
        <w:t xml:space="preserve">فترة </w:t>
      </w:r>
      <w:r>
        <w:rPr>
          <w:rStyle w:val="FootnoteTextChar"/>
          <w:rFonts w:hint="cs"/>
          <w:rtl/>
        </w:rPr>
        <w:t>ال</w:t>
      </w:r>
      <w:r w:rsidRPr="005F5650">
        <w:rPr>
          <w:rStyle w:val="FootnoteTextChar"/>
          <w:rFonts w:hint="cs"/>
          <w:rtl/>
        </w:rPr>
        <w:t>تسعين يوماً.</w:t>
      </w:r>
      <w:r w:rsidRPr="00FD0956">
        <w:rPr>
          <w:sz w:val="16"/>
          <w:szCs w:val="24"/>
        </w:rPr>
        <w:t xml:space="preserve"> (WRC-12)    </w:t>
      </w:r>
    </w:p>
    <w:p w:rsidR="00867BB9" w:rsidRPr="00211FB0" w:rsidRDefault="00867BB9" w:rsidP="00867BB9">
      <w:bookmarkStart w:id="45" w:name="_GoBack"/>
      <w:r w:rsidRPr="005E6FEB">
        <w:rPr>
          <w:rFonts w:hint="cs"/>
          <w:b/>
          <w:bCs/>
          <w:rtl/>
        </w:rPr>
        <w:t>ملاحظة</w:t>
      </w:r>
      <w:r w:rsidRPr="00211FB0">
        <w:rPr>
          <w:rFonts w:hint="cs"/>
          <w:rtl/>
        </w:rPr>
        <w:t xml:space="preserve"> </w:t>
      </w:r>
      <w:bookmarkEnd w:id="45"/>
      <w:r w:rsidRPr="00211FB0">
        <w:rPr>
          <w:rFonts w:hint="cs"/>
          <w:rtl/>
        </w:rPr>
        <w:t xml:space="preserve">- </w:t>
      </w:r>
      <w:r w:rsidRPr="00211FB0">
        <w:rPr>
          <w:rtl/>
        </w:rPr>
        <w:t>إنّ إضافة</w:t>
      </w:r>
      <w:r>
        <w:rPr>
          <w:rtl/>
        </w:rPr>
        <w:t xml:space="preserve"> النص المبين في تعديل الرقمين</w:t>
      </w:r>
      <w:r>
        <w:rPr>
          <w:rFonts w:hint="cs"/>
          <w:rtl/>
        </w:rPr>
        <w:t xml:space="preserve"> </w:t>
      </w:r>
      <w:r>
        <w:t>44B.11</w:t>
      </w:r>
      <w:r>
        <w:rPr>
          <w:rFonts w:hint="cs"/>
          <w:rtl/>
        </w:rPr>
        <w:t xml:space="preserve"> </w:t>
      </w:r>
      <w:r w:rsidRPr="00211FB0">
        <w:rPr>
          <w:rtl/>
        </w:rPr>
        <w:t>و</w:t>
      </w:r>
      <w:r>
        <w:t>49.11</w:t>
      </w:r>
      <w:r>
        <w:rPr>
          <w:rFonts w:hint="cs"/>
          <w:rtl/>
          <w:lang w:bidi="ar-EG"/>
        </w:rPr>
        <w:t xml:space="preserve"> </w:t>
      </w:r>
      <w:r w:rsidRPr="00211FB0">
        <w:rPr>
          <w:rtl/>
        </w:rPr>
        <w:t>من لوائح الراديو يمكن أيضاً النظر في إضافته في</w:t>
      </w:r>
      <w:r>
        <w:rPr>
          <w:rFonts w:hint="cs"/>
          <w:rtl/>
        </w:rPr>
        <w:t> </w:t>
      </w:r>
      <w:r w:rsidRPr="00211FB0">
        <w:rPr>
          <w:rtl/>
        </w:rPr>
        <w:t>الفقرة</w:t>
      </w:r>
      <w:r>
        <w:rPr>
          <w:rFonts w:hint="cs"/>
          <w:rtl/>
        </w:rPr>
        <w:t> </w:t>
      </w:r>
      <w:r>
        <w:t>10.2.5</w:t>
      </w:r>
      <w:r>
        <w:rPr>
          <w:rFonts w:hint="cs"/>
          <w:rtl/>
          <w:lang w:bidi="ar-EG"/>
        </w:rPr>
        <w:t xml:space="preserve"> </w:t>
      </w:r>
      <w:r w:rsidRPr="00211FB0">
        <w:rPr>
          <w:rtl/>
        </w:rPr>
        <w:t xml:space="preserve">من التذييلين </w:t>
      </w:r>
      <w:r>
        <w:t>30</w:t>
      </w:r>
      <w:r w:rsidRPr="00211FB0">
        <w:rPr>
          <w:rtl/>
        </w:rPr>
        <w:t xml:space="preserve"> </w:t>
      </w:r>
      <w:r>
        <w:rPr>
          <w:rFonts w:hint="cs"/>
          <w:rtl/>
        </w:rPr>
        <w:t>و</w:t>
      </w:r>
      <w:r>
        <w:t>30A</w:t>
      </w:r>
      <w:r>
        <w:rPr>
          <w:rFonts w:hint="cs"/>
          <w:rtl/>
          <w:lang w:bidi="ar-EG"/>
        </w:rPr>
        <w:t xml:space="preserve"> </w:t>
      </w:r>
      <w:r>
        <w:rPr>
          <w:rtl/>
        </w:rPr>
        <w:t xml:space="preserve">والفقرة </w:t>
      </w:r>
      <w:r>
        <w:t>17.8</w:t>
      </w:r>
      <w:r w:rsidRPr="00211FB0">
        <w:rPr>
          <w:rtl/>
        </w:rPr>
        <w:t xml:space="preserve"> من التذييل</w:t>
      </w:r>
      <w:r>
        <w:rPr>
          <w:rFonts w:hint="cs"/>
          <w:rtl/>
        </w:rPr>
        <w:t> </w:t>
      </w:r>
      <w:r>
        <w:t>30B</w:t>
      </w:r>
      <w:r>
        <w:rPr>
          <w:rFonts w:hint="cs"/>
          <w:rtl/>
          <w:lang w:bidi="ar-EG"/>
        </w:rPr>
        <w:t xml:space="preserve"> </w:t>
      </w:r>
      <w:r w:rsidRPr="00211FB0">
        <w:rPr>
          <w:rtl/>
        </w:rPr>
        <w:t>للوائح الراديو</w:t>
      </w:r>
      <w:r w:rsidRPr="00211FB0">
        <w:t>.</w:t>
      </w:r>
    </w:p>
    <w:p w:rsidR="00C82BF2" w:rsidRDefault="00F248ED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867BB9">
        <w:rPr>
          <w:rFonts w:hint="cs"/>
          <w:b w:val="0"/>
          <w:bCs w:val="0"/>
          <w:rtl/>
        </w:rPr>
        <w:t>لتحسين اللوائح المتعلقة بالخدمات الساتلية.</w:t>
      </w:r>
    </w:p>
    <w:p w:rsidR="00867BB9" w:rsidRPr="00867BB9" w:rsidRDefault="00867BB9" w:rsidP="00867BB9">
      <w:pPr>
        <w:spacing w:before="600"/>
        <w:jc w:val="center"/>
        <w:rPr>
          <w:rtl/>
          <w:lang w:bidi="ar-EG"/>
        </w:rPr>
      </w:pPr>
      <w:r>
        <w:rPr>
          <w:rtl/>
        </w:rPr>
        <w:t>___________</w:t>
      </w:r>
    </w:p>
    <w:sectPr w:rsidR="00867BB9" w:rsidRPr="00867BB9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ahom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F248ED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012B49">
      <w:rPr>
        <w:noProof/>
        <w:lang w:val="es-ES"/>
      </w:rPr>
      <w:t>P:\ARA\ITU-R\CONF-R\CMR15\100\130ADD21ADD02A.docx</w:t>
    </w:r>
    <w:r w:rsidRPr="00CB4300">
      <w:fldChar w:fldCharType="end"/>
    </w:r>
    <w:r w:rsidRPr="00CB4300">
      <w:rPr>
        <w:lang w:val="es-ES"/>
      </w:rPr>
      <w:t xml:space="preserve">  (</w:t>
    </w:r>
    <w:r w:rsidR="00F248ED">
      <w:rPr>
        <w:lang w:val="es-ES"/>
      </w:rPr>
      <w:t>389023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12B49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012B49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F248ED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12B49">
      <w:rPr>
        <w:noProof/>
        <w:lang w:val="es-ES"/>
      </w:rPr>
      <w:t>P:\ARA\ITU-R\CONF-R\CMR15\100\130ADD21ADD02A.docx</w:t>
    </w:r>
    <w:r>
      <w:fldChar w:fldCharType="end"/>
    </w:r>
    <w:r w:rsidRPr="00CB4300">
      <w:rPr>
        <w:lang w:val="es-ES"/>
      </w:rPr>
      <w:t xml:space="preserve">   (</w:t>
    </w:r>
    <w:r w:rsidR="00F248ED">
      <w:rPr>
        <w:lang w:val="es-ES"/>
      </w:rPr>
      <w:t>389023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12B49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12B49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E6FEB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130(Add.21)(Add.2)-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Ajlouni, Nour">
    <w15:presenceInfo w15:providerId="AD" w15:userId="S-1-5-21-8740799-900759487-1415713722-16644"/>
  </w15:person>
  <w15:person w15:author="Rami, Nadia">
    <w15:presenceInfo w15:providerId="AD" w15:userId="S-1-5-21-8740799-900759487-1415713722-2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2B49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E6FEB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67BB9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2BF2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48ED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5E25A61-E5B0-4502-B110-EBEBDACE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R15-WRC15-C-0130!A21-A2!MSW-A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19D0-E803-4263-BD4A-2715874066F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32a1a8c5-2265-4ebc-b7a0-2071e2c5c9bb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84DB71-A259-4322-B563-58293847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514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R15-WRC15-C-0130!A21-A2!MSW-A</vt:lpstr>
    </vt:vector>
  </TitlesOfParts>
  <Manager>General Secretariat - Pool</Manager>
  <Company>International Telecommunication Union (ITU)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R15-WRC15-C-0130!A21-A2!MSW-A</dc:title>
  <dc:creator>Documents Proposals Manager (DPM)</dc:creator>
  <cp:keywords>DPM_v5.2015.10.290_prod</cp:keywords>
  <cp:lastModifiedBy>Eltawabti, Ibrahim</cp:lastModifiedBy>
  <cp:revision>5</cp:revision>
  <cp:lastPrinted>2015-10-30T19:38:00Z</cp:lastPrinted>
  <dcterms:created xsi:type="dcterms:W3CDTF">2015-10-30T13:49:00Z</dcterms:created>
  <dcterms:modified xsi:type="dcterms:W3CDTF">2015-10-30T19:45:00Z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