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C67E56"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C67E56">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67E56" w:rsidRDefault="003E1608" w:rsidP="00C67E56">
            <w:pPr>
              <w:pStyle w:val="Adress"/>
              <w:framePr w:hSpace="0" w:wrap="auto" w:xAlign="left" w:yAlign="inline"/>
              <w:rPr>
                <w:rtl/>
              </w:rPr>
            </w:pPr>
            <w:r w:rsidRPr="00C67E56">
              <w:rPr>
                <w:rtl/>
              </w:rPr>
              <w:t xml:space="preserve">الإضافة </w:t>
            </w:r>
            <w:r w:rsidRPr="00C67E56">
              <w:t>3</w:t>
            </w:r>
            <w:r w:rsidRPr="00C67E56">
              <w:br/>
            </w:r>
            <w:r w:rsidRPr="00C67E56">
              <w:rPr>
                <w:rtl/>
              </w:rPr>
              <w:t xml:space="preserve">للوثيقة </w:t>
            </w:r>
            <w:r w:rsidRPr="00C67E56">
              <w:t>130(Add.22)-</w:t>
            </w:r>
            <w:r w:rsidR="00C67E56" w:rsidRPr="00C67E56">
              <w:t>A</w:t>
            </w:r>
          </w:p>
        </w:tc>
      </w:tr>
      <w:tr w:rsidR="00764079" w:rsidTr="003E1608">
        <w:trPr>
          <w:cantSplit/>
        </w:trPr>
        <w:tc>
          <w:tcPr>
            <w:tcW w:w="6619" w:type="dxa"/>
            <w:shd w:val="clear" w:color="auto" w:fill="auto"/>
          </w:tcPr>
          <w:p w:rsidR="00764079" w:rsidRPr="00C67E56" w:rsidRDefault="00764079" w:rsidP="00D44350">
            <w:pPr>
              <w:pStyle w:val="Adress"/>
              <w:framePr w:hSpace="0" w:wrap="auto" w:xAlign="left" w:yAlign="inline"/>
              <w:rPr>
                <w:rtl/>
              </w:rPr>
            </w:pPr>
          </w:p>
        </w:tc>
        <w:tc>
          <w:tcPr>
            <w:tcW w:w="3053" w:type="dxa"/>
            <w:shd w:val="clear" w:color="auto" w:fill="auto"/>
            <w:vAlign w:val="center"/>
          </w:tcPr>
          <w:p w:rsidR="00764079" w:rsidRPr="00C67E56" w:rsidRDefault="00764079" w:rsidP="00D44350">
            <w:pPr>
              <w:pStyle w:val="Adress"/>
              <w:framePr w:hSpace="0" w:wrap="auto" w:xAlign="left" w:yAlign="inline"/>
              <w:rPr>
                <w:rtl/>
              </w:rPr>
            </w:pPr>
            <w:r w:rsidRPr="00C67E56">
              <w:rPr>
                <w:rFonts w:eastAsia="SimSun"/>
              </w:rPr>
              <w:t>16</w:t>
            </w:r>
            <w:r w:rsidRPr="00C67E56">
              <w:rPr>
                <w:rFonts w:eastAsia="SimSun"/>
                <w:rtl/>
              </w:rPr>
              <w:t xml:space="preserve"> أكتوبر </w:t>
            </w:r>
            <w:r w:rsidRPr="00C67E56">
              <w:rPr>
                <w:rFonts w:eastAsia="SimSun"/>
              </w:rPr>
              <w:t>2015</w:t>
            </w:r>
          </w:p>
        </w:tc>
      </w:tr>
      <w:tr w:rsidR="00764079" w:rsidTr="003E1608">
        <w:trPr>
          <w:cantSplit/>
        </w:trPr>
        <w:tc>
          <w:tcPr>
            <w:tcW w:w="6619" w:type="dxa"/>
          </w:tcPr>
          <w:p w:rsidR="00764079" w:rsidRPr="00C67E56" w:rsidRDefault="00764079" w:rsidP="00D44350">
            <w:pPr>
              <w:pStyle w:val="Adress"/>
              <w:framePr w:hSpace="0" w:wrap="auto" w:xAlign="left" w:yAlign="inline"/>
              <w:rPr>
                <w:rFonts w:eastAsia="SimSun" w:hint="eastAsia"/>
                <w:rtl/>
              </w:rPr>
            </w:pPr>
          </w:p>
        </w:tc>
        <w:tc>
          <w:tcPr>
            <w:tcW w:w="3053" w:type="dxa"/>
            <w:vAlign w:val="center"/>
          </w:tcPr>
          <w:p w:rsidR="00764079" w:rsidRPr="00C67E56" w:rsidRDefault="00764079" w:rsidP="00D44350">
            <w:pPr>
              <w:pStyle w:val="Adress"/>
              <w:framePr w:hSpace="0" w:wrap="auto" w:xAlign="left" w:yAlign="inline"/>
              <w:rPr>
                <w:rFonts w:eastAsia="SimSun" w:hint="eastAsia"/>
              </w:rPr>
            </w:pPr>
            <w:r w:rsidRPr="00C67E56">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C10201">
            <w:pPr>
              <w:pStyle w:val="Source"/>
              <w:rPr>
                <w:rtl/>
              </w:rPr>
            </w:pPr>
            <w:r w:rsidRPr="008204AC">
              <w:rPr>
                <w:rtl/>
              </w:rPr>
              <w:t>جمهورية أنغولا/جمهورية بوتسوانا/مملكة ليسوتو/جمهورية مدغشقر/ملاوي/</w:t>
            </w:r>
            <w:r w:rsidR="00C10201">
              <w:rPr>
                <w:rtl/>
              </w:rPr>
              <w:br/>
            </w:r>
            <w:r w:rsidRPr="008204AC">
              <w:rPr>
                <w:rtl/>
              </w:rPr>
              <w:t>جمهورية موريشيوس/جمهورية موزامبيق/جمهورية ناميبيا/جمهورية الكونغو الديمقراطية/جمهورية سيشيل/جمهورية جنوب إفريقيا/مملكة سوازيلاند/</w:t>
            </w:r>
            <w:r w:rsidR="00C10201">
              <w:rPr>
                <w:rtl/>
              </w:rPr>
              <w:br/>
            </w:r>
            <w:r w:rsidRPr="008204AC">
              <w:rPr>
                <w:rtl/>
              </w:rPr>
              <w:t>جمهورية تنـزانيا المتحدة/جمهورية زامبيا/جمهورية زيمبابوي</w:t>
            </w:r>
            <w:bookmarkStart w:id="1" w:name="_GoBack"/>
            <w:bookmarkEnd w:id="1"/>
          </w:p>
        </w:tc>
      </w:tr>
      <w:tr w:rsidR="00764079" w:rsidTr="003E1608">
        <w:trPr>
          <w:cantSplit/>
        </w:trPr>
        <w:tc>
          <w:tcPr>
            <w:tcW w:w="9672" w:type="dxa"/>
            <w:gridSpan w:val="2"/>
          </w:tcPr>
          <w:p w:rsidR="00764079" w:rsidRPr="00BD6EF3" w:rsidRDefault="00C67E56"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67E56">
            <w:pPr>
              <w:pStyle w:val="Agendaitem"/>
              <w:spacing w:before="240" w:line="192" w:lineRule="auto"/>
            </w:pPr>
            <w:r w:rsidRPr="008204AC">
              <w:rPr>
                <w:rtl/>
              </w:rPr>
              <w:t xml:space="preserve">البنـد </w:t>
            </w:r>
            <w:r w:rsidR="00C67E56">
              <w:t>(3.1.9)1.9</w:t>
            </w:r>
            <w:r w:rsidRPr="008204AC">
              <w:rPr>
                <w:rtl/>
              </w:rPr>
              <w:t xml:space="preserve"> من جدول الأعمال</w:t>
            </w:r>
          </w:p>
        </w:tc>
      </w:tr>
    </w:tbl>
    <w:p w:rsidR="00534840" w:rsidRPr="00431196" w:rsidRDefault="002C7BA3" w:rsidP="00C67E56">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2C7BA3"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Default="002C7BA3" w:rsidP="00C2775E">
      <w:pPr>
        <w:rPr>
          <w:rFonts w:eastAsia="SimSun"/>
          <w:rtl/>
        </w:rPr>
      </w:pPr>
      <w:r w:rsidRPr="00431196">
        <w:rPr>
          <w:rFonts w:eastAsia="SimSun"/>
          <w:lang w:bidi="ar-SY"/>
        </w:rPr>
        <w:t xml:space="preserve"> (</w:t>
      </w:r>
      <w:r w:rsidRPr="00431196">
        <w:rPr>
          <w:rFonts w:eastAsia="SimSun"/>
        </w:rPr>
        <w:t>3.1.9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11 (WRC-12)</w:t>
      </w:r>
      <w:r w:rsidRPr="00431196">
        <w:rPr>
          <w:rFonts w:eastAsia="SimSun" w:hint="cs"/>
          <w:rtl/>
        </w:rPr>
        <w:t xml:space="preserve"> - استعمال</w:t>
      </w:r>
      <w:r w:rsidRPr="00431196">
        <w:rPr>
          <w:rFonts w:eastAsia="SimSun"/>
          <w:rtl/>
        </w:rPr>
        <w:t xml:space="preserve"> </w:t>
      </w:r>
      <w:r w:rsidRPr="00431196">
        <w:rPr>
          <w:rFonts w:eastAsia="SimSun" w:hint="cs"/>
          <w:rtl/>
        </w:rPr>
        <w:t>المواقع</w:t>
      </w:r>
      <w:r w:rsidRPr="00431196">
        <w:rPr>
          <w:rFonts w:eastAsia="SimSun"/>
          <w:rtl/>
        </w:rPr>
        <w:t xml:space="preserve"> </w:t>
      </w:r>
      <w:r w:rsidRPr="00431196">
        <w:rPr>
          <w:rFonts w:eastAsia="SimSun" w:hint="cs"/>
          <w:rtl/>
        </w:rPr>
        <w:t>المدارية</w:t>
      </w:r>
      <w:r w:rsidRPr="00431196">
        <w:rPr>
          <w:rFonts w:eastAsia="SimSun"/>
          <w:rtl/>
        </w:rPr>
        <w:t xml:space="preserve"> </w:t>
      </w:r>
      <w:r w:rsidRPr="00431196">
        <w:rPr>
          <w:rFonts w:eastAsia="SimSun" w:hint="cs"/>
          <w:rtl/>
        </w:rPr>
        <w:t>الساتلية</w:t>
      </w:r>
      <w:r w:rsidRPr="00431196">
        <w:rPr>
          <w:rFonts w:eastAsia="SimSun"/>
          <w:rtl/>
        </w:rPr>
        <w:t xml:space="preserve"> </w:t>
      </w:r>
      <w:r w:rsidRPr="00431196">
        <w:rPr>
          <w:rFonts w:eastAsia="SimSun" w:hint="cs"/>
          <w:rtl/>
        </w:rPr>
        <w:t>وطيف</w:t>
      </w:r>
      <w:r w:rsidRPr="00431196">
        <w:rPr>
          <w:rFonts w:eastAsia="SimSun"/>
          <w:rtl/>
        </w:rPr>
        <w:t xml:space="preserve"> </w:t>
      </w:r>
      <w:r w:rsidRPr="00431196">
        <w:rPr>
          <w:rFonts w:eastAsia="SimSun" w:hint="cs"/>
          <w:rtl/>
        </w:rPr>
        <w:t>الترددات</w:t>
      </w:r>
      <w:r w:rsidRPr="00431196">
        <w:rPr>
          <w:rFonts w:eastAsia="SimSun"/>
          <w:rtl/>
        </w:rPr>
        <w:t xml:space="preserve"> </w:t>
      </w:r>
      <w:r w:rsidRPr="00431196">
        <w:rPr>
          <w:rFonts w:eastAsia="SimSun" w:hint="cs"/>
          <w:rtl/>
        </w:rPr>
        <w:t>المرتبط</w:t>
      </w:r>
      <w:r w:rsidRPr="00431196">
        <w:rPr>
          <w:rFonts w:eastAsia="SimSun"/>
          <w:rtl/>
        </w:rPr>
        <w:t xml:space="preserve"> </w:t>
      </w:r>
      <w:r w:rsidRPr="00431196">
        <w:rPr>
          <w:rFonts w:eastAsia="SimSun" w:hint="cs"/>
          <w:rtl/>
        </w:rPr>
        <w:t>بها </w:t>
      </w:r>
      <w:r w:rsidRPr="00431196">
        <w:rPr>
          <w:rFonts w:eastAsia="SimSun"/>
          <w:rtl/>
        </w:rPr>
        <w:t xml:space="preserve"> </w:t>
      </w:r>
      <w:r w:rsidRPr="00431196">
        <w:rPr>
          <w:rFonts w:eastAsia="SimSun" w:hint="cs"/>
          <w:rtl/>
        </w:rPr>
        <w:t>لتوفير</w:t>
      </w:r>
      <w:r w:rsidRPr="00431196">
        <w:rPr>
          <w:rFonts w:eastAsia="SimSun"/>
          <w:rtl/>
        </w:rPr>
        <w:t xml:space="preserve"> </w:t>
      </w:r>
      <w:r w:rsidRPr="00431196">
        <w:rPr>
          <w:rFonts w:eastAsia="SimSun" w:hint="cs"/>
          <w:rtl/>
        </w:rPr>
        <w:t>خدمات</w:t>
      </w:r>
      <w:r w:rsidRPr="00431196">
        <w:rPr>
          <w:rFonts w:eastAsia="SimSun"/>
          <w:rtl/>
        </w:rPr>
        <w:t xml:space="preserve"> </w:t>
      </w:r>
      <w:r w:rsidRPr="00431196">
        <w:rPr>
          <w:rFonts w:eastAsia="SimSun" w:hint="cs"/>
          <w:rtl/>
        </w:rPr>
        <w:t>الاتصالات</w:t>
      </w:r>
      <w:r w:rsidRPr="00431196">
        <w:rPr>
          <w:rFonts w:eastAsia="SimSun"/>
          <w:rtl/>
        </w:rPr>
        <w:t xml:space="preserve"> </w:t>
      </w:r>
      <w:r w:rsidRPr="00431196">
        <w:rPr>
          <w:rFonts w:eastAsia="SimSun" w:hint="cs"/>
          <w:rtl/>
        </w:rPr>
        <w:t>العمومية</w:t>
      </w:r>
      <w:r w:rsidRPr="00431196">
        <w:rPr>
          <w:rFonts w:eastAsia="SimSun"/>
          <w:rtl/>
        </w:rPr>
        <w:t xml:space="preserve"> </w:t>
      </w:r>
      <w:r w:rsidRPr="00431196">
        <w:rPr>
          <w:rFonts w:eastAsia="SimSun" w:hint="cs"/>
          <w:rtl/>
        </w:rPr>
        <w:t>الدولية</w:t>
      </w:r>
      <w:r w:rsidRPr="00431196">
        <w:rPr>
          <w:rFonts w:eastAsia="SimSun"/>
          <w:rtl/>
        </w:rPr>
        <w:t xml:space="preserve"> في </w:t>
      </w:r>
      <w:r w:rsidRPr="00431196">
        <w:rPr>
          <w:rFonts w:eastAsia="SimSun" w:hint="cs"/>
          <w:rtl/>
        </w:rPr>
        <w:t>البلدان</w:t>
      </w:r>
      <w:r w:rsidRPr="00431196">
        <w:rPr>
          <w:rFonts w:eastAsia="SimSun"/>
          <w:rtl/>
        </w:rPr>
        <w:t xml:space="preserve"> </w:t>
      </w:r>
      <w:r w:rsidRPr="00431196">
        <w:rPr>
          <w:rFonts w:eastAsia="SimSun" w:hint="cs"/>
          <w:rtl/>
        </w:rPr>
        <w:t>النامية</w:t>
      </w:r>
    </w:p>
    <w:p w:rsidR="00C67E56" w:rsidRDefault="00C67E56" w:rsidP="00C67E56">
      <w:pPr>
        <w:pStyle w:val="Headingb"/>
        <w:rPr>
          <w:rFonts w:eastAsia="SimSun"/>
          <w:rtl/>
        </w:rPr>
      </w:pPr>
      <w:r>
        <w:rPr>
          <w:rFonts w:eastAsia="SimSun" w:hint="cs"/>
          <w:rtl/>
        </w:rPr>
        <w:t>مقدمة</w:t>
      </w:r>
    </w:p>
    <w:p w:rsidR="00C67E56" w:rsidRPr="00C871BE" w:rsidRDefault="00C871BE" w:rsidP="002059F4">
      <w:pPr>
        <w:rPr>
          <w:rtl/>
          <w:lang w:bidi="ar-SY"/>
        </w:rPr>
      </w:pPr>
      <w:r w:rsidRPr="00C871BE">
        <w:rPr>
          <w:rFonts w:eastAsia="SimSun" w:hint="cs"/>
          <w:rtl/>
          <w:lang w:bidi="ar-EG"/>
        </w:rPr>
        <w:t xml:space="preserve">اعتمد المؤتمر </w:t>
      </w:r>
      <w:r w:rsidRPr="00C871BE">
        <w:rPr>
          <w:rFonts w:eastAsia="SimSun" w:hint="cs"/>
          <w:rtl/>
        </w:rPr>
        <w:t xml:space="preserve">العالمي للاتصالات الراديوية لعام </w:t>
      </w:r>
      <w:r w:rsidRPr="00C871BE">
        <w:rPr>
          <w:rFonts w:eastAsia="SimSun"/>
        </w:rPr>
        <w:t>2012</w:t>
      </w:r>
      <w:r w:rsidR="00C67E56" w:rsidRPr="00C871BE">
        <w:rPr>
          <w:rFonts w:hint="cs"/>
          <w:rtl/>
          <w:lang w:bidi="ar-SY"/>
        </w:rPr>
        <w:t xml:space="preserve"> </w:t>
      </w:r>
      <w:r w:rsidRPr="00C871BE">
        <w:rPr>
          <w:rFonts w:hint="cs"/>
          <w:rtl/>
          <w:lang w:bidi="ar-SY"/>
        </w:rPr>
        <w:t xml:space="preserve">القرار </w:t>
      </w:r>
      <w:r w:rsidRPr="00C871BE">
        <w:rPr>
          <w:rFonts w:eastAsia="SimSun"/>
        </w:rPr>
        <w:t>11 (WRC-12)</w:t>
      </w:r>
      <w:r w:rsidR="00C67E56" w:rsidRPr="00C871BE">
        <w:rPr>
          <w:rFonts w:hint="cs"/>
          <w:rtl/>
          <w:lang w:bidi="ar-SY"/>
        </w:rPr>
        <w:t xml:space="preserve"> </w:t>
      </w:r>
      <w:r w:rsidRPr="00C871BE">
        <w:rPr>
          <w:rFonts w:hint="cs"/>
          <w:rtl/>
          <w:lang w:bidi="ar-SY"/>
        </w:rPr>
        <w:t>الذي قرر فيه أن يواصل</w:t>
      </w:r>
      <w:r w:rsidR="00C67E56" w:rsidRPr="00C871BE">
        <w:rPr>
          <w:rFonts w:hint="cs"/>
          <w:rtl/>
          <w:lang w:bidi="ar-SY"/>
        </w:rPr>
        <w:t xml:space="preserve"> قطاع الاتصالات الراديوية</w:t>
      </w:r>
      <w:r w:rsidR="002059F4">
        <w:rPr>
          <w:rFonts w:hint="eastAsia"/>
          <w:rtl/>
          <w:lang w:bidi="ar-SY"/>
        </w:rPr>
        <w:t> </w:t>
      </w:r>
      <w:r w:rsidR="00C67E56" w:rsidRPr="00C871BE">
        <w:rPr>
          <w:lang w:bidi="ar-SY"/>
        </w:rPr>
        <w:t>(ITU-R)</w:t>
      </w:r>
      <w:r w:rsidR="00C67E56" w:rsidRPr="00C871BE">
        <w:rPr>
          <w:rFonts w:hint="cs"/>
          <w:rtl/>
          <w:lang w:bidi="ar-SY"/>
        </w:rPr>
        <w:t xml:space="preserve"> التعاون مع قطاع تنمية الاتصالات </w:t>
      </w:r>
      <w:r w:rsidR="00C67E56" w:rsidRPr="00C871BE">
        <w:rPr>
          <w:lang w:bidi="ar-SY"/>
        </w:rPr>
        <w:t>(ITU-D)</w:t>
      </w:r>
      <w:r w:rsidR="00C67E56" w:rsidRPr="00C871BE">
        <w:rPr>
          <w:rFonts w:hint="cs"/>
          <w:rtl/>
          <w:lang w:bidi="ar-SY"/>
        </w:rPr>
        <w:t xml:space="preserve"> بتوفير المعلومات التي يطلبها بشأن التكنولوجيات والتطبيقات الساتلية المحددة في توصيات القطاع وتقاريره وبشأن الإجراءات التنظيمية الساتلية الواردة في لوائح الراديو التي تساعد البلدان النامية في إقامة وتنفيذ الشبكات والخدمات الساتلية.</w:t>
      </w:r>
    </w:p>
    <w:p w:rsidR="00C67E56" w:rsidRDefault="00C871BE" w:rsidP="00C871BE">
      <w:pPr>
        <w:rPr>
          <w:rtl/>
        </w:rPr>
      </w:pPr>
      <w:r>
        <w:rPr>
          <w:rFonts w:hint="cs"/>
          <w:rtl/>
          <w:lang w:bidi="ar-SY"/>
        </w:rPr>
        <w:t>وإضافة</w:t>
      </w:r>
      <w:r w:rsidR="002059F4">
        <w:rPr>
          <w:rFonts w:hint="cs"/>
          <w:rtl/>
          <w:lang w:bidi="ar-SY"/>
        </w:rPr>
        <w:t>ً</w:t>
      </w:r>
      <w:r>
        <w:rPr>
          <w:rFonts w:hint="cs"/>
          <w:rtl/>
          <w:lang w:bidi="ar-SY"/>
        </w:rPr>
        <w:t xml:space="preserve"> إلى ذلك، قرر المؤتمر في القرار</w:t>
      </w:r>
      <w:r w:rsidR="00C67E56" w:rsidRPr="00C67E56">
        <w:rPr>
          <w:rFonts w:hint="cs"/>
          <w:rtl/>
          <w:lang w:bidi="ar-EG"/>
        </w:rPr>
        <w:t xml:space="preserve"> </w:t>
      </w:r>
      <w:r w:rsidRPr="00C871BE">
        <w:rPr>
          <w:rFonts w:eastAsia="SimSun"/>
        </w:rPr>
        <w:t>11 (WRC-12)</w:t>
      </w:r>
      <w:r>
        <w:rPr>
          <w:rFonts w:eastAsia="SimSun" w:hint="cs"/>
          <w:rtl/>
        </w:rPr>
        <w:t xml:space="preserve"> </w:t>
      </w:r>
      <w:r w:rsidR="00C67E56" w:rsidRPr="00C67E56">
        <w:rPr>
          <w:rFonts w:hint="cs"/>
          <w:rtl/>
          <w:lang w:bidi="ar-EG"/>
        </w:rPr>
        <w:t xml:space="preserve">أن يجري قطاع الاتصالات الراديوية دراسات </w:t>
      </w:r>
      <w:r w:rsidR="00C67E56" w:rsidRPr="00C67E56">
        <w:rPr>
          <w:rFonts w:hint="cs"/>
          <w:rtl/>
        </w:rPr>
        <w:t>للوقوف على</w:t>
      </w:r>
      <w:r w:rsidR="00C67E56" w:rsidRPr="00C67E56">
        <w:rPr>
          <w:rtl/>
        </w:rPr>
        <w:t xml:space="preserve"> ما إذا كانت هناك ضرورة ل</w:t>
      </w:r>
      <w:r w:rsidR="00C67E56" w:rsidRPr="00C67E56">
        <w:rPr>
          <w:rFonts w:hint="cs"/>
          <w:rtl/>
        </w:rPr>
        <w:t xml:space="preserve">تطبيق </w:t>
      </w:r>
      <w:r w:rsidR="00C67E56" w:rsidRPr="00C67E56">
        <w:rPr>
          <w:rtl/>
        </w:rPr>
        <w:t>تدابير تنظيمية إضافية لزيادة تيسر خدمات الاتصالات العمومية الدولية</w:t>
      </w:r>
      <w:r w:rsidR="00C67E56" w:rsidRPr="00C67E56">
        <w:rPr>
          <w:rFonts w:hint="cs"/>
          <w:rtl/>
        </w:rPr>
        <w:t xml:space="preserve"> المقدمة من خلال التكنولوجيا الساتلية</w:t>
      </w:r>
      <w:r w:rsidR="00C67E56">
        <w:rPr>
          <w:rFonts w:hint="cs"/>
          <w:rtl/>
        </w:rPr>
        <w:t>.</w:t>
      </w:r>
    </w:p>
    <w:p w:rsidR="00C67E56" w:rsidRDefault="00681E56" w:rsidP="00C67E56">
      <w:pPr>
        <w:pStyle w:val="Headingb"/>
        <w:rPr>
          <w:rtl/>
        </w:rPr>
      </w:pPr>
      <w:r>
        <w:rPr>
          <w:rFonts w:hint="cs"/>
          <w:rtl/>
        </w:rPr>
        <w:lastRenderedPageBreak/>
        <w:t>المقترح</w:t>
      </w:r>
    </w:p>
    <w:p w:rsidR="00C67E56" w:rsidRDefault="00C871BE" w:rsidP="002059F4">
      <w:pPr>
        <w:rPr>
          <w:rtl/>
        </w:rPr>
      </w:pPr>
      <w:r>
        <w:rPr>
          <w:color w:val="000000"/>
          <w:rtl/>
        </w:rPr>
        <w:t>تؤيد الجماعة الإنمائية للجنوب الإفريقي</w:t>
      </w:r>
      <w:r w:rsidR="002059F4">
        <w:rPr>
          <w:rFonts w:hint="cs"/>
          <w:color w:val="000000"/>
          <w:rtl/>
        </w:rPr>
        <w:t xml:space="preserve"> </w:t>
      </w:r>
      <w:r w:rsidR="002059F4">
        <w:rPr>
          <w:color w:val="000000"/>
        </w:rPr>
        <w:t>(SADC)</w:t>
      </w:r>
      <w:r w:rsidR="002059F4">
        <w:rPr>
          <w:rFonts w:hint="cs"/>
          <w:color w:val="000000"/>
          <w:rtl/>
        </w:rPr>
        <w:t xml:space="preserve"> </w:t>
      </w:r>
      <w:r>
        <w:rPr>
          <w:rFonts w:hint="cs"/>
          <w:color w:val="000000"/>
          <w:rtl/>
        </w:rPr>
        <w:t xml:space="preserve">مراجعة القرار </w:t>
      </w:r>
      <w:r w:rsidRPr="00C871BE">
        <w:rPr>
          <w:rFonts w:eastAsia="SimSun"/>
        </w:rPr>
        <w:t>11 (WRC-12)</w:t>
      </w:r>
      <w:r>
        <w:rPr>
          <w:rFonts w:hint="cs"/>
          <w:color w:val="000000"/>
          <w:rtl/>
        </w:rPr>
        <w:t xml:space="preserve"> </w:t>
      </w:r>
      <w:r w:rsidR="00C67E56" w:rsidRPr="00C67E56">
        <w:rPr>
          <w:rFonts w:hint="cs"/>
          <w:rtl/>
        </w:rPr>
        <w:t>من أجل الاستمرار في الدراسات</w:t>
      </w:r>
      <w:r>
        <w:rPr>
          <w:rFonts w:hint="cs"/>
          <w:rtl/>
        </w:rPr>
        <w:t xml:space="preserve"> </w:t>
      </w:r>
      <w:r w:rsidR="0028036B">
        <w:rPr>
          <w:rFonts w:hint="cs"/>
          <w:rtl/>
        </w:rPr>
        <w:t>إذ قد تد</w:t>
      </w:r>
      <w:r w:rsidR="00E119DB">
        <w:rPr>
          <w:rFonts w:hint="cs"/>
          <w:rtl/>
          <w:lang w:bidi="ar-EG"/>
        </w:rPr>
        <w:t>ع</w:t>
      </w:r>
      <w:r w:rsidR="0028036B">
        <w:rPr>
          <w:rFonts w:hint="cs"/>
          <w:rtl/>
        </w:rPr>
        <w:t xml:space="preserve">و الحاجة إلى الإبقاء على </w:t>
      </w:r>
      <w:r w:rsidR="00C67E56" w:rsidRPr="00C67E56">
        <w:rPr>
          <w:rFonts w:hint="cs"/>
          <w:rtl/>
        </w:rPr>
        <w:t xml:space="preserve">فقرة </w:t>
      </w:r>
      <w:r w:rsidR="00C67E56" w:rsidRPr="0028036B">
        <w:rPr>
          <w:rFonts w:hint="cs"/>
          <w:i/>
          <w:iCs/>
          <w:rtl/>
        </w:rPr>
        <w:t>يقرر</w:t>
      </w:r>
      <w:r w:rsidR="00C67E56" w:rsidRPr="00C67E56">
        <w:rPr>
          <w:rFonts w:hint="cs"/>
          <w:rtl/>
        </w:rPr>
        <w:t xml:space="preserve"> </w:t>
      </w:r>
      <w:r w:rsidR="00C67E56" w:rsidRPr="00C67E56">
        <w:t>2</w:t>
      </w:r>
      <w:r w:rsidR="00C67E56" w:rsidRPr="00C67E56">
        <w:rPr>
          <w:rFonts w:hint="cs"/>
          <w:rtl/>
        </w:rPr>
        <w:t xml:space="preserve"> من القرار </w:t>
      </w:r>
      <w:r w:rsidR="00C67E56" w:rsidRPr="00C67E56">
        <w:t>11 (WRC-12)</w:t>
      </w:r>
      <w:r w:rsidR="00C67E56" w:rsidRPr="00C67E56">
        <w:rPr>
          <w:rFonts w:hint="cs"/>
          <w:rtl/>
        </w:rPr>
        <w:t xml:space="preserve"> حتى بعد المؤتمر العالمي للاتصالات الراديوية لعام </w:t>
      </w:r>
      <w:r w:rsidR="00C67E56" w:rsidRPr="00C67E56">
        <w:t>2015</w:t>
      </w:r>
      <w:r w:rsidR="00C67E56">
        <w:rPr>
          <w:rFonts w:hint="cs"/>
          <w:rtl/>
        </w:rPr>
        <w:t>.</w:t>
      </w:r>
    </w:p>
    <w:p w:rsidR="00C67E56" w:rsidRDefault="00C67E56" w:rsidP="00C871BE">
      <w:pPr>
        <w:pStyle w:val="Reasons"/>
        <w:rPr>
          <w:b w:val="0"/>
          <w:bCs w:val="0"/>
          <w:rtl/>
          <w:lang w:bidi="ar-EG"/>
        </w:rPr>
      </w:pPr>
      <w:r>
        <w:rPr>
          <w:rFonts w:hint="cs"/>
          <w:rtl/>
          <w:lang w:bidi="ar-EG"/>
        </w:rPr>
        <w:t>الأسباب:</w:t>
      </w:r>
      <w:r>
        <w:rPr>
          <w:rFonts w:hint="cs"/>
          <w:rtl/>
          <w:lang w:bidi="ar-EG"/>
        </w:rPr>
        <w:tab/>
      </w:r>
      <w:r w:rsidR="00C871BE">
        <w:rPr>
          <w:rFonts w:hint="cs"/>
          <w:b w:val="0"/>
          <w:bCs w:val="0"/>
          <w:rtl/>
          <w:lang w:bidi="ar-EG"/>
        </w:rPr>
        <w:t xml:space="preserve">يتسم توفير خدمات الاتصالات العمومية الدولية عالية الجودة والموثوق بها والميسورة التكاليف بأهمية بالغة </w:t>
      </w:r>
      <w:r w:rsidR="0028036B">
        <w:rPr>
          <w:rFonts w:hint="cs"/>
          <w:b w:val="0"/>
          <w:bCs w:val="0"/>
          <w:rtl/>
          <w:lang w:bidi="ar-EG"/>
        </w:rPr>
        <w:t>للبلدان النامية. ويرمي هذا المقترح إلى الحفاظ على استمرار توفير خدمة الاتصالات العمومية الدولية.</w:t>
      </w:r>
    </w:p>
    <w:p w:rsidR="002919E1" w:rsidRPr="002919E1" w:rsidRDefault="00C67E56" w:rsidP="00C67E56">
      <w:pPr>
        <w:spacing w:before="600"/>
        <w:jc w:val="center"/>
        <w:rPr>
          <w:noProof/>
          <w:rtl/>
        </w:rPr>
      </w:pPr>
      <w:r>
        <w:rPr>
          <w:rFonts w:eastAsia="SimSun" w:hint="cs"/>
          <w:rtl/>
          <w:lang w:bidi="ar-EG"/>
        </w:rPr>
        <w:t>___________</w:t>
      </w:r>
    </w:p>
    <w:sectPr w:rsidR="002919E1" w:rsidRPr="002919E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67E56" w:rsidRDefault="00281F5F" w:rsidP="00C67E56">
    <w:pPr>
      <w:pStyle w:val="Footer"/>
      <w:tabs>
        <w:tab w:val="clear" w:pos="5812"/>
        <w:tab w:val="left" w:pos="5670"/>
      </w:tabs>
    </w:pPr>
    <w:r w:rsidRPr="00CB4300">
      <w:fldChar w:fldCharType="begin"/>
    </w:r>
    <w:r w:rsidRPr="00C67E56">
      <w:instrText xml:space="preserve"> FILENAME \p \* MERGEFORMAT </w:instrText>
    </w:r>
    <w:r w:rsidRPr="00CB4300">
      <w:fldChar w:fldCharType="separate"/>
    </w:r>
    <w:r w:rsidR="00280CF4">
      <w:rPr>
        <w:noProof/>
      </w:rPr>
      <w:t>P:\ARA\ITU-R\CONF-R\CMR15\100\130ADD22ADD03A.docx</w:t>
    </w:r>
    <w:r w:rsidRPr="00CB4300">
      <w:fldChar w:fldCharType="end"/>
    </w:r>
    <w:r w:rsidRPr="00C67E56">
      <w:t xml:space="preserve">  (</w:t>
    </w:r>
    <w:r w:rsidR="00C67E56" w:rsidRPr="00C67E56">
      <w:t>389045</w:t>
    </w:r>
    <w:r w:rsidRPr="00C67E56">
      <w:t>)</w:t>
    </w:r>
    <w:r w:rsidRPr="00C67E56">
      <w:tab/>
    </w:r>
    <w:r w:rsidRPr="00CB4300">
      <w:fldChar w:fldCharType="begin"/>
    </w:r>
    <w:r w:rsidRPr="00CB4300">
      <w:instrText xml:space="preserve"> savedate \@ dd.MM.yy </w:instrText>
    </w:r>
    <w:r w:rsidRPr="00CB4300">
      <w:fldChar w:fldCharType="separate"/>
    </w:r>
    <w:r w:rsidR="00280CF4">
      <w:rPr>
        <w:noProof/>
      </w:rPr>
      <w:t>01.11.15</w:t>
    </w:r>
    <w:r w:rsidRPr="00CB4300">
      <w:fldChar w:fldCharType="end"/>
    </w:r>
    <w:r w:rsidRPr="00C67E56">
      <w:tab/>
    </w:r>
    <w:r w:rsidRPr="00CB4300">
      <w:fldChar w:fldCharType="begin"/>
    </w:r>
    <w:r w:rsidRPr="00CB4300">
      <w:instrText xml:space="preserve"> printdate \@ dd.MM.yy </w:instrText>
    </w:r>
    <w:r w:rsidRPr="00CB4300">
      <w:fldChar w:fldCharType="separate"/>
    </w:r>
    <w:r w:rsidR="00280CF4">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67E56" w:rsidRDefault="00281F5F" w:rsidP="00C67E56">
    <w:pPr>
      <w:pStyle w:val="Footer"/>
    </w:pPr>
    <w:r>
      <w:fldChar w:fldCharType="begin"/>
    </w:r>
    <w:r w:rsidRPr="00C67E56">
      <w:instrText xml:space="preserve"> FILENAME \p \* MERGEFORMAT </w:instrText>
    </w:r>
    <w:r>
      <w:fldChar w:fldCharType="separate"/>
    </w:r>
    <w:r w:rsidR="00280CF4">
      <w:rPr>
        <w:noProof/>
      </w:rPr>
      <w:t>P:\ARA\ITU-R\CONF-R\CMR15\100\130ADD22ADD03A.docx</w:t>
    </w:r>
    <w:r>
      <w:fldChar w:fldCharType="end"/>
    </w:r>
    <w:r w:rsidRPr="00C67E56">
      <w:t xml:space="preserve">   (</w:t>
    </w:r>
    <w:r w:rsidR="00C67E56" w:rsidRPr="00C67E56">
      <w:t>389045</w:t>
    </w:r>
    <w:r w:rsidRPr="00C67E56">
      <w:t>)</w:t>
    </w:r>
    <w:r w:rsidRPr="00C67E56">
      <w:tab/>
    </w:r>
    <w:r w:rsidRPr="00B12661">
      <w:fldChar w:fldCharType="begin"/>
    </w:r>
    <w:r w:rsidRPr="00B12661">
      <w:instrText xml:space="preserve"> savedate \@ dd.MM.yy </w:instrText>
    </w:r>
    <w:r w:rsidRPr="00B12661">
      <w:fldChar w:fldCharType="separate"/>
    </w:r>
    <w:r w:rsidR="00280CF4">
      <w:rPr>
        <w:noProof/>
      </w:rPr>
      <w:t>01.11.15</w:t>
    </w:r>
    <w:r w:rsidRPr="00B12661">
      <w:fldChar w:fldCharType="end"/>
    </w:r>
    <w:r w:rsidRPr="00C67E56">
      <w:tab/>
    </w:r>
    <w:r w:rsidRPr="00B12661">
      <w:fldChar w:fldCharType="begin"/>
    </w:r>
    <w:r w:rsidRPr="00B12661">
      <w:instrText xml:space="preserve"> printdate \@ dd.MM.yy </w:instrText>
    </w:r>
    <w:r w:rsidRPr="00B12661">
      <w:fldChar w:fldCharType="separate"/>
    </w:r>
    <w:r w:rsidR="00280CF4">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80CF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130(Add.22)(Add.3)-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59F4"/>
    <w:rsid w:val="002075D4"/>
    <w:rsid w:val="00211B2A"/>
    <w:rsid w:val="002333A0"/>
    <w:rsid w:val="002543CF"/>
    <w:rsid w:val="00255868"/>
    <w:rsid w:val="0026062E"/>
    <w:rsid w:val="00260F50"/>
    <w:rsid w:val="00261EF7"/>
    <w:rsid w:val="0027069F"/>
    <w:rsid w:val="002775B2"/>
    <w:rsid w:val="00277869"/>
    <w:rsid w:val="0028036B"/>
    <w:rsid w:val="00280CF4"/>
    <w:rsid w:val="00280E04"/>
    <w:rsid w:val="00281F5F"/>
    <w:rsid w:val="002843E4"/>
    <w:rsid w:val="002919E1"/>
    <w:rsid w:val="00295917"/>
    <w:rsid w:val="00296071"/>
    <w:rsid w:val="002A4572"/>
    <w:rsid w:val="002A7E2E"/>
    <w:rsid w:val="002B16D8"/>
    <w:rsid w:val="002C7BA3"/>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184F"/>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45993"/>
    <w:rsid w:val="00651343"/>
    <w:rsid w:val="0065562F"/>
    <w:rsid w:val="00680A66"/>
    <w:rsid w:val="00681391"/>
    <w:rsid w:val="00681E56"/>
    <w:rsid w:val="006A12AC"/>
    <w:rsid w:val="006A1A0B"/>
    <w:rsid w:val="006A2162"/>
    <w:rsid w:val="006B0D94"/>
    <w:rsid w:val="006B4B90"/>
    <w:rsid w:val="006B658C"/>
    <w:rsid w:val="006B7FB1"/>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066"/>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160A"/>
    <w:rsid w:val="00B357E9"/>
    <w:rsid w:val="00B4164D"/>
    <w:rsid w:val="00B425C1"/>
    <w:rsid w:val="00B44A56"/>
    <w:rsid w:val="00B528DF"/>
    <w:rsid w:val="00B606BA"/>
    <w:rsid w:val="00B66817"/>
    <w:rsid w:val="00B71E3B"/>
    <w:rsid w:val="00B721D5"/>
    <w:rsid w:val="00B81CB5"/>
    <w:rsid w:val="00B8351F"/>
    <w:rsid w:val="00B86C44"/>
    <w:rsid w:val="00B9727C"/>
    <w:rsid w:val="00BA610A"/>
    <w:rsid w:val="00BA7D44"/>
    <w:rsid w:val="00BD6EF3"/>
    <w:rsid w:val="00BE69C3"/>
    <w:rsid w:val="00C10201"/>
    <w:rsid w:val="00C1165E"/>
    <w:rsid w:val="00C22074"/>
    <w:rsid w:val="00C2377B"/>
    <w:rsid w:val="00C3693C"/>
    <w:rsid w:val="00C53F6F"/>
    <w:rsid w:val="00C5489D"/>
    <w:rsid w:val="00C67284"/>
    <w:rsid w:val="00C67E56"/>
    <w:rsid w:val="00C71759"/>
    <w:rsid w:val="00C8199C"/>
    <w:rsid w:val="00C84112"/>
    <w:rsid w:val="00C841EB"/>
    <w:rsid w:val="00C8665F"/>
    <w:rsid w:val="00C871BE"/>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19DB"/>
    <w:rsid w:val="00E165ED"/>
    <w:rsid w:val="00E2489D"/>
    <w:rsid w:val="00E25C06"/>
    <w:rsid w:val="00E26520"/>
    <w:rsid w:val="00E343A3"/>
    <w:rsid w:val="00E51BFA"/>
    <w:rsid w:val="00E621A3"/>
    <w:rsid w:val="00E77D29"/>
    <w:rsid w:val="00E833BC"/>
    <w:rsid w:val="00E8580E"/>
    <w:rsid w:val="00EA1B76"/>
    <w:rsid w:val="00EA1E14"/>
    <w:rsid w:val="00EA77D7"/>
    <w:rsid w:val="00EC09B9"/>
    <w:rsid w:val="00ED048C"/>
    <w:rsid w:val="00ED4B29"/>
    <w:rsid w:val="00EE1218"/>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B6A95E9-0C8E-40A8-9F07-C2E117E0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R15-WRC15-C-0130!A22-A3!MSW-A</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F78C-F512-424B-8229-C44FCD9BF7E5}">
  <ds:schemaRefs>
    <ds:schemaRef ds:uri="32a1a8c5-2265-4ebc-b7a0-2071e2c5c9bb"/>
    <ds:schemaRef ds:uri="http://purl.org/dc/term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7FD44F-2C88-4385-AF1E-3DDE4C62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262</Words>
  <Characters>1661</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R15-WRC15-C-0130!A22-A3!MSW-A</vt:lpstr>
    </vt:vector>
  </TitlesOfParts>
  <Manager>General Secretariat - Pool</Manager>
  <Company>International Telecommunication Union (ITU)</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R15-WRC15-C-0130!A22-A3!MSW-A</dc:title>
  <dc:creator>Documents Proposals Manager (DPM)</dc:creator>
  <cp:keywords>DPM_v5.2015.10.270_prod</cp:keywords>
  <cp:lastModifiedBy>Awad, Samy</cp:lastModifiedBy>
  <cp:revision>16</cp:revision>
  <cp:lastPrinted>2015-11-01T17:11:00Z</cp:lastPrinted>
  <dcterms:created xsi:type="dcterms:W3CDTF">2015-11-01T13:33:00Z</dcterms:created>
  <dcterms:modified xsi:type="dcterms:W3CDTF">2015-11-01T17:11:00Z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