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Fonts w:hint="eastAsia"/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Fonts w:hint="eastAsia"/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Fonts w:hint="eastAsi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D700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 w:hint="eastAsia"/>
                <w:sz w:val="30"/>
                <w:szCs w:val="30"/>
                <w:rtl/>
              </w:rPr>
            </w:pPr>
            <w:r w:rsidRPr="009D700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D7009" w:rsidRDefault="003E1608" w:rsidP="007B2AFC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  <w:r w:rsidRPr="009D7009">
              <w:rPr>
                <w:rtl/>
              </w:rPr>
              <w:t xml:space="preserve">الإضافة </w:t>
            </w:r>
            <w:r w:rsidRPr="009D7009">
              <w:t>5</w:t>
            </w:r>
            <w:r w:rsidRPr="009D7009">
              <w:br/>
            </w:r>
            <w:r w:rsidRPr="009D7009">
              <w:rPr>
                <w:rtl/>
              </w:rPr>
              <w:t xml:space="preserve">للوثيقة </w:t>
            </w:r>
            <w:r w:rsidRPr="009D7009">
              <w:t>130(Add.22)-</w:t>
            </w:r>
            <w:r w:rsidR="009D7009" w:rsidRPr="009D7009">
              <w:t>A</w:t>
            </w:r>
            <w:r w:rsidRPr="009D7009">
              <w:rPr>
                <w:rFonts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D7009" w:rsidRDefault="00764079" w:rsidP="00D4435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D7009" w:rsidRDefault="00764079" w:rsidP="00D44350">
            <w:pPr>
              <w:pStyle w:val="Adress"/>
              <w:framePr w:hSpace="0" w:wrap="auto" w:xAlign="left" w:yAlign="inline"/>
              <w:rPr>
                <w:rFonts w:hint="eastAsia"/>
                <w:rtl/>
              </w:rPr>
            </w:pPr>
            <w:r w:rsidRPr="009D7009">
              <w:rPr>
                <w:rFonts w:eastAsia="SimSun"/>
              </w:rPr>
              <w:t>19</w:t>
            </w:r>
            <w:r w:rsidRPr="009D7009">
              <w:rPr>
                <w:rFonts w:eastAsia="SimSun"/>
                <w:rtl/>
              </w:rPr>
              <w:t xml:space="preserve"> أكتوبر </w:t>
            </w:r>
            <w:r w:rsidRPr="009D700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D700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D700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D700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مدغشقر/ملاوي/جمهورية موريشيوس/جمهورية موزامبيق/جمهورية ناميبيا/جمهورية الكونغو الديمقراطية/جمهورية سيشيل/جمهورية جنوب إفريقيا/مملكة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D700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D700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D7009">
              <w:t>(5.1.9)1.9</w:t>
            </w:r>
            <w:r w:rsidR="009D7009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885714" w:rsidP="009D700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885714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7B2AFC" w:rsidP="00C2775E">
      <w:pPr>
        <w:rPr>
          <w:rFonts w:eastAsia="SimSun"/>
        </w:rPr>
      </w:pPr>
      <w:r>
        <w:rPr>
          <w:rFonts w:eastAsia="SimSun"/>
          <w:lang w:bidi="ar-SY"/>
        </w:rPr>
        <w:t>(</w:t>
      </w:r>
      <w:r w:rsidR="00885714" w:rsidRPr="00431196">
        <w:rPr>
          <w:rFonts w:eastAsia="SimSun"/>
        </w:rPr>
        <w:t>5.1.9</w:t>
      </w:r>
      <w:r w:rsidR="00885714" w:rsidRPr="00431196">
        <w:rPr>
          <w:rFonts w:eastAsia="SimSun"/>
          <w:lang w:bidi="ar-SY"/>
        </w:rPr>
        <w:t>)1.9</w:t>
      </w:r>
      <w:r w:rsidR="00885714" w:rsidRPr="00431196">
        <w:rPr>
          <w:rFonts w:eastAsia="SimSun"/>
          <w:rtl/>
        </w:rPr>
        <w:tab/>
      </w:r>
      <w:r w:rsidR="00885714" w:rsidRPr="00431196">
        <w:rPr>
          <w:rFonts w:eastAsia="SimSun" w:hint="cs"/>
          <w:rtl/>
        </w:rPr>
        <w:t>القـرار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/>
          <w:b/>
          <w:bCs/>
        </w:rPr>
        <w:t>154 (WRC</w:t>
      </w:r>
      <w:r w:rsidR="00885714" w:rsidRPr="00431196">
        <w:rPr>
          <w:rFonts w:eastAsia="SimSun"/>
          <w:b/>
          <w:bCs/>
        </w:rPr>
        <w:noBreakHyphen/>
        <w:t>12)</w:t>
      </w:r>
      <w:r w:rsidR="00885714" w:rsidRPr="00431196">
        <w:rPr>
          <w:rFonts w:eastAsia="SimSun" w:hint="cs"/>
          <w:rtl/>
        </w:rPr>
        <w:t xml:space="preserve"> - النظر</w:t>
      </w:r>
      <w:r w:rsidR="00885714" w:rsidRPr="00431196">
        <w:rPr>
          <w:rFonts w:eastAsia="SimSun"/>
          <w:rtl/>
        </w:rPr>
        <w:t xml:space="preserve"> في </w:t>
      </w:r>
      <w:r w:rsidR="00885714" w:rsidRPr="00431196">
        <w:rPr>
          <w:rFonts w:eastAsia="SimSun" w:hint="cs"/>
          <w:rtl/>
        </w:rPr>
        <w:t>إجراءات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تقنية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وتنظيمية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بغية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دعم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التشغيل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الحالي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والمقبل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للمحطات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الأرضية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للخدمة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الثابتة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الساتلية</w:t>
      </w:r>
      <w:r w:rsidR="00885714" w:rsidRPr="00431196">
        <w:rPr>
          <w:rFonts w:eastAsia="SimSun"/>
          <w:rtl/>
        </w:rPr>
        <w:t xml:space="preserve"> في </w:t>
      </w:r>
      <w:r w:rsidR="00885714" w:rsidRPr="00431196">
        <w:rPr>
          <w:rFonts w:eastAsia="SimSun" w:hint="cs"/>
          <w:rtl/>
        </w:rPr>
        <w:t>النطاق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/>
        </w:rPr>
        <w:t>MHz 4 200</w:t>
      </w:r>
      <w:r w:rsidR="00885714" w:rsidRPr="00431196">
        <w:rPr>
          <w:rFonts w:eastAsia="SimSun"/>
        </w:rPr>
        <w:noBreakHyphen/>
        <w:t>3 400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كمساعدة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للتشغيل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الآمن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للطائرات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والتوزيع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الموثوق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لمعلومات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الأرصاد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الجوية</w:t>
      </w:r>
      <w:r w:rsidR="00885714" w:rsidRPr="00431196">
        <w:rPr>
          <w:rFonts w:eastAsia="SimSun"/>
          <w:rtl/>
        </w:rPr>
        <w:t xml:space="preserve"> في </w:t>
      </w:r>
      <w:r w:rsidR="00885714" w:rsidRPr="00431196">
        <w:rPr>
          <w:rFonts w:eastAsia="SimSun" w:hint="cs"/>
          <w:rtl/>
        </w:rPr>
        <w:t>بعض</w:t>
      </w:r>
      <w:r w:rsidR="00885714" w:rsidRPr="00431196">
        <w:rPr>
          <w:rFonts w:eastAsia="SimSun"/>
          <w:rtl/>
        </w:rPr>
        <w:t xml:space="preserve"> </w:t>
      </w:r>
      <w:r w:rsidR="00885714" w:rsidRPr="00431196">
        <w:rPr>
          <w:rFonts w:eastAsia="SimSun" w:hint="cs"/>
          <w:rtl/>
        </w:rPr>
        <w:t>البلدان</w:t>
      </w:r>
      <w:r w:rsidR="00885714" w:rsidRPr="00431196">
        <w:rPr>
          <w:rFonts w:eastAsia="SimSun"/>
          <w:rtl/>
        </w:rPr>
        <w:t xml:space="preserve"> في </w:t>
      </w:r>
      <w:r w:rsidR="00885714" w:rsidRPr="00431196">
        <w:rPr>
          <w:rFonts w:eastAsia="SimSun" w:hint="cs"/>
          <w:rtl/>
        </w:rPr>
        <w:t>الإقليم</w:t>
      </w:r>
      <w:r w:rsidR="00885714" w:rsidRPr="00431196">
        <w:rPr>
          <w:rFonts w:eastAsia="SimSun"/>
          <w:rtl/>
        </w:rPr>
        <w:t> </w:t>
      </w:r>
      <w:r w:rsidR="00885714" w:rsidRPr="00431196">
        <w:rPr>
          <w:rFonts w:eastAsia="SimSun"/>
        </w:rPr>
        <w:t>1</w:t>
      </w:r>
    </w:p>
    <w:p w:rsidR="00F16602" w:rsidRDefault="00936CB3" w:rsidP="00936CB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4182F" w:rsidRPr="00E4182F" w:rsidRDefault="00E4182F" w:rsidP="00081957">
      <w:pPr>
        <w:rPr>
          <w:rtl/>
          <w:lang w:bidi="ar-EG"/>
        </w:rPr>
      </w:pPr>
      <w:r w:rsidRPr="00E4182F">
        <w:rPr>
          <w:rFonts w:hint="cs"/>
          <w:rtl/>
        </w:rPr>
        <w:t xml:space="preserve">يستلزم توفير خدمات الملاحة الجوية بكفاءة تنفيذ وتشغيل بنى تحتية للاتصالات الأرضية تتسم بارتفاع </w:t>
      </w:r>
      <w:proofErr w:type="spellStart"/>
      <w:r w:rsidRPr="00E4182F">
        <w:rPr>
          <w:rFonts w:hint="cs"/>
          <w:rtl/>
        </w:rPr>
        <w:t>التيسر</w:t>
      </w:r>
      <w:proofErr w:type="spellEnd"/>
      <w:r w:rsidRPr="00E4182F">
        <w:rPr>
          <w:rFonts w:hint="cs"/>
          <w:rtl/>
        </w:rPr>
        <w:t xml:space="preserve"> والاعتمادية والسلامة. وصعوبة تحقيق هذه الشروط في بعض بلدان إفريقيا، نتيجة لاتساع المجال الجوي وضعف البنى التحتية للاتصالات الأرضية، أدت إلى </w:t>
      </w:r>
      <w:r w:rsidR="00081957">
        <w:rPr>
          <w:rFonts w:hint="cs"/>
          <w:rtl/>
          <w:lang w:bidi="ar-EG"/>
        </w:rPr>
        <w:t>استعمال</w:t>
      </w:r>
      <w:r w:rsidRPr="00E4182F">
        <w:rPr>
          <w:rFonts w:hint="cs"/>
          <w:rtl/>
        </w:rPr>
        <w:t xml:space="preserve"> كثيف </w:t>
      </w:r>
      <w:r w:rsidR="00081957">
        <w:rPr>
          <w:rFonts w:hint="cs"/>
          <w:rtl/>
        </w:rPr>
        <w:t>للبنية</w:t>
      </w:r>
      <w:r w:rsidRPr="00E4182F">
        <w:rPr>
          <w:rFonts w:hint="cs"/>
          <w:rtl/>
        </w:rPr>
        <w:t xml:space="preserve"> التحتية لاتصالات الطيران</w:t>
      </w:r>
      <w:r w:rsidR="00081957">
        <w:rPr>
          <w:rFonts w:hint="cs"/>
          <w:rtl/>
        </w:rPr>
        <w:t xml:space="preserve"> التي</w:t>
      </w:r>
      <w:r w:rsidRPr="00E4182F">
        <w:rPr>
          <w:rFonts w:hint="cs"/>
          <w:rtl/>
        </w:rPr>
        <w:t xml:space="preserve"> تقوم على أنظمة المطاريف ذات الفتحات الصغيرة جداً </w:t>
      </w:r>
      <w:r w:rsidRPr="00E4182F">
        <w:rPr>
          <w:lang w:val="en-CA"/>
        </w:rPr>
        <w:t>(</w:t>
      </w:r>
      <w:r w:rsidRPr="00E4182F">
        <w:t>VSAT)</w:t>
      </w:r>
      <w:r w:rsidRPr="00E4182F">
        <w:rPr>
          <w:rFonts w:hint="cs"/>
          <w:rtl/>
        </w:rPr>
        <w:t xml:space="preserve"> العاملة</w:t>
      </w:r>
      <w:r w:rsidRPr="00E4182F">
        <w:rPr>
          <w:rFonts w:hint="eastAsia"/>
        </w:rPr>
        <w:t> </w:t>
      </w:r>
      <w:r w:rsidRPr="00E4182F">
        <w:rPr>
          <w:rFonts w:hint="cs"/>
          <w:rtl/>
        </w:rPr>
        <w:t>في</w:t>
      </w:r>
      <w:r w:rsidRPr="00E4182F">
        <w:rPr>
          <w:rFonts w:hint="eastAsia"/>
          <w:rtl/>
        </w:rPr>
        <w:t> </w:t>
      </w:r>
      <w:r w:rsidRPr="00E4182F">
        <w:rPr>
          <w:rFonts w:hint="cs"/>
          <w:rtl/>
        </w:rPr>
        <w:t>الخدمة الثابتة الساتلية.</w:t>
      </w:r>
    </w:p>
    <w:p w:rsidR="00936CB3" w:rsidRPr="007D52B3" w:rsidRDefault="00E4182F" w:rsidP="007D52B3">
      <w:pPr>
        <w:rPr>
          <w:spacing w:val="-2"/>
          <w:rtl/>
        </w:rPr>
      </w:pPr>
      <w:r w:rsidRPr="007D52B3">
        <w:rPr>
          <w:rFonts w:hint="cs"/>
          <w:spacing w:val="-2"/>
          <w:rtl/>
        </w:rPr>
        <w:lastRenderedPageBreak/>
        <w:t xml:space="preserve">وقد اعتمد المؤتمر </w:t>
      </w:r>
      <w:r w:rsidRPr="007D52B3">
        <w:rPr>
          <w:spacing w:val="-2"/>
        </w:rPr>
        <w:t>WRC-12</w:t>
      </w:r>
      <w:r w:rsidRPr="007D52B3">
        <w:rPr>
          <w:rFonts w:hint="cs"/>
          <w:spacing w:val="-2"/>
          <w:rtl/>
        </w:rPr>
        <w:t xml:space="preserve"> القرار </w:t>
      </w:r>
      <w:r w:rsidRPr="007D52B3">
        <w:rPr>
          <w:spacing w:val="-2"/>
        </w:rPr>
        <w:t>154</w:t>
      </w:r>
      <w:r w:rsidR="007D52B3" w:rsidRPr="007D52B3">
        <w:rPr>
          <w:spacing w:val="-2"/>
        </w:rPr>
        <w:t> </w:t>
      </w:r>
      <w:r w:rsidRPr="007D52B3">
        <w:rPr>
          <w:spacing w:val="-2"/>
        </w:rPr>
        <w:t>(WRC-12)</w:t>
      </w:r>
      <w:r w:rsidRPr="007D52B3">
        <w:rPr>
          <w:rFonts w:hint="cs"/>
          <w:spacing w:val="-2"/>
          <w:rtl/>
        </w:rPr>
        <w:t xml:space="preserve"> ودعا قطاع الاتصالات الراديوية إلى أن يدرس التدابير التقنية والتنظيمية الممكنة في</w:t>
      </w:r>
      <w:r w:rsidRPr="007D52B3">
        <w:rPr>
          <w:rFonts w:hint="eastAsia"/>
          <w:spacing w:val="-2"/>
          <w:rtl/>
        </w:rPr>
        <w:t> </w:t>
      </w:r>
      <w:r w:rsidRPr="007D52B3">
        <w:rPr>
          <w:rFonts w:hint="cs"/>
          <w:spacing w:val="-2"/>
          <w:rtl/>
        </w:rPr>
        <w:t>بعض بلدان الإقليم</w:t>
      </w:r>
      <w:r w:rsidRPr="007D52B3">
        <w:rPr>
          <w:rFonts w:hint="eastAsia"/>
          <w:spacing w:val="-2"/>
          <w:rtl/>
        </w:rPr>
        <w:t> </w:t>
      </w:r>
      <w:r w:rsidRPr="007D52B3">
        <w:rPr>
          <w:spacing w:val="-2"/>
        </w:rPr>
        <w:t>1</w:t>
      </w:r>
      <w:r w:rsidRPr="007D52B3">
        <w:rPr>
          <w:rFonts w:hint="cs"/>
          <w:spacing w:val="-2"/>
          <w:rtl/>
        </w:rPr>
        <w:t xml:space="preserve"> لدعم المحط</w:t>
      </w:r>
      <w:bookmarkStart w:id="1" w:name="_GoBack"/>
      <w:bookmarkEnd w:id="1"/>
      <w:r w:rsidRPr="007D52B3">
        <w:rPr>
          <w:rFonts w:hint="cs"/>
          <w:spacing w:val="-2"/>
          <w:rtl/>
        </w:rPr>
        <w:t xml:space="preserve">ات الأرضية الحالية </w:t>
      </w:r>
      <w:r w:rsidR="00081957" w:rsidRPr="007D52B3">
        <w:rPr>
          <w:rFonts w:hint="cs"/>
          <w:spacing w:val="-2"/>
          <w:rtl/>
        </w:rPr>
        <w:t>والمستقبلية</w:t>
      </w:r>
      <w:r w:rsidRPr="007D52B3">
        <w:rPr>
          <w:rFonts w:hint="cs"/>
          <w:spacing w:val="-2"/>
          <w:rtl/>
        </w:rPr>
        <w:t xml:space="preserve"> للخدمة الثابتة الساتلية في</w:t>
      </w:r>
      <w:r w:rsidRPr="007D52B3">
        <w:rPr>
          <w:rFonts w:hint="eastAsia"/>
          <w:spacing w:val="-2"/>
          <w:rtl/>
        </w:rPr>
        <w:t> </w:t>
      </w:r>
      <w:r w:rsidRPr="007D52B3">
        <w:rPr>
          <w:rFonts w:hint="cs"/>
          <w:spacing w:val="-2"/>
          <w:rtl/>
        </w:rPr>
        <w:t>نطاق التردد</w:t>
      </w:r>
      <w:r w:rsidRPr="007D52B3">
        <w:rPr>
          <w:rFonts w:hint="eastAsia"/>
          <w:spacing w:val="-2"/>
          <w:rtl/>
        </w:rPr>
        <w:t> </w:t>
      </w:r>
      <w:r w:rsidRPr="007D52B3">
        <w:rPr>
          <w:spacing w:val="-2"/>
        </w:rPr>
        <w:t>MHz 4 200</w:t>
      </w:r>
      <w:r w:rsidRPr="007D52B3">
        <w:rPr>
          <w:spacing w:val="-2"/>
        </w:rPr>
        <w:noBreakHyphen/>
        <w:t>3 400</w:t>
      </w:r>
      <w:r w:rsidRPr="007D52B3">
        <w:rPr>
          <w:rFonts w:hint="cs"/>
          <w:spacing w:val="-2"/>
          <w:rtl/>
        </w:rPr>
        <w:t xml:space="preserve"> لأغراض الاتصالات الساتلية المتصلة بالتشغيل الآمن للطائرات والتوزيع الموث</w:t>
      </w:r>
      <w:r w:rsidR="00081957" w:rsidRPr="007D52B3">
        <w:rPr>
          <w:rFonts w:hint="cs"/>
          <w:spacing w:val="-2"/>
          <w:rtl/>
        </w:rPr>
        <w:t>وق لمعلومات الأرصاد</w:t>
      </w:r>
      <w:r w:rsidR="00EE0CF7" w:rsidRPr="007D52B3">
        <w:rPr>
          <w:rFonts w:hint="eastAsia"/>
          <w:spacing w:val="-2"/>
        </w:rPr>
        <w:t> </w:t>
      </w:r>
      <w:r w:rsidR="00081957" w:rsidRPr="007D52B3">
        <w:rPr>
          <w:rFonts w:hint="cs"/>
          <w:spacing w:val="-2"/>
          <w:rtl/>
        </w:rPr>
        <w:t>الجوية.</w:t>
      </w:r>
    </w:p>
    <w:p w:rsidR="00932033" w:rsidRPr="00B36E9F" w:rsidRDefault="00B36E9F" w:rsidP="00081957">
      <w:pPr>
        <w:pStyle w:val="Headingb"/>
        <w:rPr>
          <w:rFonts w:cs="Times New Roman"/>
          <w:lang w:eastAsia="ja-JP"/>
        </w:rPr>
      </w:pPr>
      <w:r w:rsidRPr="004267EF">
        <w:rPr>
          <w:rFonts w:hint="cs"/>
          <w:rtl/>
        </w:rPr>
        <w:t>مقترح</w:t>
      </w:r>
      <w:r w:rsidR="00081957" w:rsidRPr="004267EF">
        <w:rPr>
          <w:rFonts w:hint="cs"/>
          <w:rtl/>
        </w:rPr>
        <w:t xml:space="preserve"> مقدم من عدة بلدان</w:t>
      </w:r>
      <w:r w:rsidR="00932033">
        <w:rPr>
          <w:rFonts w:hint="cs"/>
          <w:rtl/>
        </w:rPr>
        <w:t xml:space="preserve"> </w:t>
      </w:r>
    </w:p>
    <w:p w:rsidR="00021864" w:rsidRDefault="00AB6B80" w:rsidP="00AB6B80">
      <w:pPr>
        <w:pStyle w:val="Proposal"/>
        <w:ind w:left="1134" w:hanging="1134"/>
      </w:pPr>
      <w:r>
        <w:tab/>
      </w:r>
      <w:r w:rsidR="00885714">
        <w:t>AGL/BOT/LSO/MDG/MWI/MAU/MOZ/NMB/COD/SEY/AFS/SWZ/TZA/ZMB/</w:t>
      </w:r>
      <w:r>
        <w:br/>
      </w:r>
      <w:r w:rsidR="00885714">
        <w:t>ZWE/130A22A5/1</w:t>
      </w:r>
    </w:p>
    <w:p w:rsidR="00021864" w:rsidRPr="00081957" w:rsidRDefault="00081957" w:rsidP="00AB6B80">
      <w:pPr>
        <w:spacing w:before="240"/>
      </w:pPr>
      <w:r w:rsidRPr="00081957">
        <w:rPr>
          <w:rFonts w:hint="cs"/>
          <w:rtl/>
        </w:rPr>
        <w:t xml:space="preserve">تقترح الدول الأعضاء في الجماعة </w:t>
      </w:r>
      <w:r w:rsidRPr="00081957">
        <w:rPr>
          <w:color w:val="000000"/>
          <w:rtl/>
        </w:rPr>
        <w:t>الإنمائية للجنوب الإفريق</w:t>
      </w:r>
      <w:r w:rsidRPr="00081957">
        <w:rPr>
          <w:rFonts w:hint="cs"/>
          <w:color w:val="000000"/>
          <w:rtl/>
        </w:rPr>
        <w:t xml:space="preserve">ي </w:t>
      </w:r>
      <w:r w:rsidRPr="00081957">
        <w:rPr>
          <w:color w:val="000000"/>
        </w:rPr>
        <w:t>(SADC)</w:t>
      </w:r>
      <w:r w:rsidR="00885714" w:rsidRPr="00081957">
        <w:rPr>
          <w:rFonts w:hint="cs"/>
          <w:rtl/>
        </w:rPr>
        <w:t xml:space="preserve"> </w:t>
      </w:r>
      <w:r w:rsidRPr="00081957">
        <w:rPr>
          <w:rFonts w:hint="cs"/>
          <w:rtl/>
        </w:rPr>
        <w:t>الأسلوب الوحيد الوارد في تقرير الاجتماع التحضيري للمؤتمر والمتمثل في</w:t>
      </w:r>
      <w:r w:rsidR="00885714" w:rsidRPr="00081957">
        <w:rPr>
          <w:rFonts w:hint="cs"/>
          <w:rtl/>
        </w:rPr>
        <w:t xml:space="preserve"> تعديل القرار </w:t>
      </w:r>
      <w:r w:rsidR="00885714" w:rsidRPr="00081957">
        <w:t>154 (WRC-12)</w:t>
      </w:r>
      <w:r w:rsidR="00885714" w:rsidRPr="00081957">
        <w:rPr>
          <w:rFonts w:hint="cs"/>
          <w:rtl/>
        </w:rPr>
        <w:t xml:space="preserve"> الذي يدعو الإدارات ذات الصلة في الإقليم </w:t>
      </w:r>
      <w:r w:rsidR="00885714" w:rsidRPr="00081957">
        <w:t>1</w:t>
      </w:r>
      <w:r w:rsidR="00885714" w:rsidRPr="00081957">
        <w:rPr>
          <w:rFonts w:hint="cs"/>
          <w:rtl/>
        </w:rPr>
        <w:t xml:space="preserve"> لإيلاء عناية خاصة عند تنسيق الترددات وتخصيصها وإدارتها مع مراعاة التأثير المحتمل على المحطات الأرضية للخدمة الثابتة الساتلية المستخدمة في</w:t>
      </w:r>
      <w:r w:rsidR="00885714" w:rsidRPr="00081957">
        <w:rPr>
          <w:rFonts w:hint="eastAsia"/>
          <w:rtl/>
        </w:rPr>
        <w:t> </w:t>
      </w:r>
      <w:r w:rsidR="00885714" w:rsidRPr="00081957">
        <w:rPr>
          <w:rFonts w:hint="cs"/>
          <w:rtl/>
        </w:rPr>
        <w:t xml:space="preserve">الاتصالات الساتلية المتعلقة بالتشغيل الآمن للطائرات والتوزيع الموثوق لمعلومات الأرصاد الجوية في نطاق التردد </w:t>
      </w:r>
      <w:r w:rsidR="00885714" w:rsidRPr="00081957">
        <w:t>MHz 4 200</w:t>
      </w:r>
      <w:r w:rsidR="00885714" w:rsidRPr="00081957">
        <w:noBreakHyphen/>
        <w:t>3 400</w:t>
      </w:r>
      <w:r w:rsidR="00885714" w:rsidRPr="00081957">
        <w:rPr>
          <w:rFonts w:hint="cs"/>
          <w:rtl/>
        </w:rPr>
        <w:t>.</w:t>
      </w:r>
    </w:p>
    <w:p w:rsidR="00021864" w:rsidRDefault="00885714" w:rsidP="00081957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081957" w:rsidRPr="00081957">
        <w:rPr>
          <w:rFonts w:hint="cs"/>
          <w:b w:val="0"/>
          <w:bCs w:val="0"/>
          <w:rtl/>
        </w:rPr>
        <w:t>هذا هو الأسلوب الوحيد الوارد في تقرير الاجتماع التحضيري للمؤتمر.</w:t>
      </w:r>
    </w:p>
    <w:p w:rsidR="00932033" w:rsidRPr="00932033" w:rsidRDefault="00932033" w:rsidP="00932033">
      <w:pPr>
        <w:spacing w:before="600"/>
        <w:jc w:val="center"/>
      </w:pPr>
      <w:r>
        <w:rPr>
          <w:rFonts w:hint="cs"/>
          <w:rtl/>
        </w:rPr>
        <w:t>___________</w:t>
      </w:r>
    </w:p>
    <w:sectPr w:rsidR="00932033" w:rsidRPr="00932033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4182F" w:rsidRDefault="00281F5F" w:rsidP="00E4182F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E4182F">
      <w:instrText xml:space="preserve"> FILENAME \p \* MERGEFORMAT </w:instrText>
    </w:r>
    <w:r w:rsidRPr="00CB4300">
      <w:fldChar w:fldCharType="separate"/>
    </w:r>
    <w:r w:rsidR="007D52B3">
      <w:rPr>
        <w:noProof/>
      </w:rPr>
      <w:t>P:\ARA\ITU-R\CONF-R\CMR15\100\130ADD22ADD05A.docx</w:t>
    </w:r>
    <w:r w:rsidRPr="00CB4300">
      <w:fldChar w:fldCharType="end"/>
    </w:r>
    <w:r w:rsidRPr="00E4182F">
      <w:t xml:space="preserve">  (</w:t>
    </w:r>
    <w:r w:rsidR="00E4182F" w:rsidRPr="00E4182F">
      <w:t>389047</w:t>
    </w:r>
    <w:r w:rsidRPr="00E4182F">
      <w:t>)</w:t>
    </w:r>
    <w:r w:rsidRPr="00E4182F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40D75">
      <w:rPr>
        <w:noProof/>
      </w:rPr>
      <w:t>31.10.15</w:t>
    </w:r>
    <w:r w:rsidRPr="00CB4300">
      <w:fldChar w:fldCharType="end"/>
    </w:r>
    <w:r w:rsidRPr="00E4182F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4182F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4182F" w:rsidRDefault="00281F5F" w:rsidP="00E4182F">
    <w:pPr>
      <w:pStyle w:val="Footer"/>
    </w:pPr>
    <w:r>
      <w:fldChar w:fldCharType="begin"/>
    </w:r>
    <w:r w:rsidRPr="00E4182F">
      <w:instrText xml:space="preserve"> FILENAME \p \* MERGEFORMAT </w:instrText>
    </w:r>
    <w:r>
      <w:fldChar w:fldCharType="separate"/>
    </w:r>
    <w:r w:rsidR="007D52B3">
      <w:rPr>
        <w:noProof/>
      </w:rPr>
      <w:t>P:\ARA\ITU-R\CONF-R\CMR15\100\130ADD22ADD05A.docx</w:t>
    </w:r>
    <w:r>
      <w:fldChar w:fldCharType="end"/>
    </w:r>
    <w:r w:rsidRPr="00E4182F">
      <w:t xml:space="preserve">   (</w:t>
    </w:r>
    <w:r w:rsidR="00E4182F" w:rsidRPr="00E4182F">
      <w:t>389047</w:t>
    </w:r>
    <w:r w:rsidRPr="00E4182F">
      <w:t>)</w:t>
    </w:r>
    <w:r w:rsidRPr="00E4182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40D75">
      <w:rPr>
        <w:noProof/>
      </w:rPr>
      <w:t>31.10.15</w:t>
    </w:r>
    <w:r w:rsidRPr="00B12661">
      <w:fldChar w:fldCharType="end"/>
    </w:r>
    <w:r w:rsidRPr="00E4182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4182F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D52B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130(Add.22)(Add.5)-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864"/>
    <w:rsid w:val="00040C94"/>
    <w:rsid w:val="000425FC"/>
    <w:rsid w:val="00044D43"/>
    <w:rsid w:val="00051907"/>
    <w:rsid w:val="00075A3F"/>
    <w:rsid w:val="00081957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267EF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2AFC"/>
    <w:rsid w:val="007C2C12"/>
    <w:rsid w:val="007C3CFA"/>
    <w:rsid w:val="007D52B3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85714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2033"/>
    <w:rsid w:val="00936CB3"/>
    <w:rsid w:val="00951718"/>
    <w:rsid w:val="00954CCB"/>
    <w:rsid w:val="00960962"/>
    <w:rsid w:val="00972CE0"/>
    <w:rsid w:val="009A3D30"/>
    <w:rsid w:val="009B0BD8"/>
    <w:rsid w:val="009D6348"/>
    <w:rsid w:val="009D7009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0D75"/>
    <w:rsid w:val="00A66D2B"/>
    <w:rsid w:val="00A83981"/>
    <w:rsid w:val="00A870AD"/>
    <w:rsid w:val="00A90843"/>
    <w:rsid w:val="00A9645C"/>
    <w:rsid w:val="00AB2A33"/>
    <w:rsid w:val="00AB6B80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36E9F"/>
    <w:rsid w:val="00B4164D"/>
    <w:rsid w:val="00B425C1"/>
    <w:rsid w:val="00B46A3C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21AC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182F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0CF7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8FD3743-3515-4210-83A5-47347C3B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R15-WRC15-C-0130!A22-A5!MSW-A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B4A50-AF34-4858-A404-7607728E8568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9C8C4E7-E639-4BB3-8981-30C357EA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R15-WRC15-C-0130!A22-A5!MSW-A</vt:lpstr>
    </vt:vector>
  </TitlesOfParts>
  <Manager>General Secretariat - Pool</Manager>
  <Company>International Telecommunication Union (ITU)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R15-WRC15-C-0130!A22-A5!MSW-A</dc:title>
  <dc:creator>Documents Proposals Manager (DPM)</dc:creator>
  <cp:keywords>DPM_v5.2015.10.270_prod</cp:keywords>
  <cp:lastModifiedBy>Tahawi, Mohamad </cp:lastModifiedBy>
  <cp:revision>7</cp:revision>
  <cp:lastPrinted>2011-11-07T13:53:00Z</cp:lastPrinted>
  <dcterms:created xsi:type="dcterms:W3CDTF">2015-10-31T20:03:00Z</dcterms:created>
  <dcterms:modified xsi:type="dcterms:W3CDTF">2015-10-31T20:06:00Z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