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61"/>
        <w:gridCol w:w="3270"/>
      </w:tblGrid>
      <w:tr w:rsidR="0090121B" w:rsidRPr="00D66701" w:rsidTr="00B252B1">
        <w:trPr>
          <w:cantSplit/>
        </w:trPr>
        <w:tc>
          <w:tcPr>
            <w:tcW w:w="6761" w:type="dxa"/>
          </w:tcPr>
          <w:p w:rsidR="0090121B" w:rsidRPr="00D66701" w:rsidRDefault="005D46FB" w:rsidP="0002785D">
            <w:pPr>
              <w:spacing w:before="400" w:after="48" w:line="240" w:lineRule="atLeast"/>
              <w:rPr>
                <w:rFonts w:ascii="Verdana" w:hAnsi="Verdana"/>
                <w:position w:val="6"/>
                <w:lang w:val="es-ES"/>
              </w:rPr>
            </w:pPr>
            <w:r w:rsidRPr="00D66701">
              <w:rPr>
                <w:rFonts w:ascii="Verdana" w:hAnsi="Verdana" w:cs="Times"/>
                <w:b/>
                <w:position w:val="6"/>
                <w:sz w:val="20"/>
                <w:lang w:val="es-ES"/>
              </w:rPr>
              <w:t>Conferencia Mundial de Radiocomunicaciones (CMR-15)</w:t>
            </w:r>
            <w:r w:rsidRPr="00D66701">
              <w:rPr>
                <w:rFonts w:ascii="Verdana" w:hAnsi="Verdana" w:cs="Times"/>
                <w:b/>
                <w:position w:val="6"/>
                <w:sz w:val="20"/>
                <w:lang w:val="es-ES"/>
              </w:rPr>
              <w:br/>
            </w:r>
            <w:r w:rsidRPr="00D66701">
              <w:rPr>
                <w:rFonts w:ascii="Verdana" w:hAnsi="Verdana"/>
                <w:b/>
                <w:bCs/>
                <w:position w:val="6"/>
                <w:sz w:val="18"/>
                <w:szCs w:val="18"/>
                <w:lang w:val="es-ES"/>
              </w:rPr>
              <w:t>Ginebra, 2-27 de noviembre de 2015</w:t>
            </w:r>
          </w:p>
        </w:tc>
        <w:tc>
          <w:tcPr>
            <w:tcW w:w="3270" w:type="dxa"/>
          </w:tcPr>
          <w:p w:rsidR="0090121B" w:rsidRPr="00D66701" w:rsidRDefault="00CE7431" w:rsidP="00CE7431">
            <w:pPr>
              <w:spacing w:before="0" w:line="240" w:lineRule="atLeast"/>
              <w:jc w:val="right"/>
              <w:rPr>
                <w:lang w:val="es-ES"/>
              </w:rPr>
            </w:pPr>
            <w:bookmarkStart w:id="0" w:name="ditulogo"/>
            <w:bookmarkEnd w:id="0"/>
            <w:r w:rsidRPr="00D66701">
              <w:rPr>
                <w:noProof/>
                <w:lang w:val="en-US" w:eastAsia="zh-CN"/>
              </w:rPr>
              <w:drawing>
                <wp:inline distT="0" distB="0" distL="0" distR="0" wp14:anchorId="56782BD3" wp14:editId="5B3622A8">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D66701" w:rsidTr="00B252B1">
        <w:trPr>
          <w:cantSplit/>
        </w:trPr>
        <w:tc>
          <w:tcPr>
            <w:tcW w:w="6761" w:type="dxa"/>
            <w:tcBorders>
              <w:bottom w:val="single" w:sz="12" w:space="0" w:color="auto"/>
            </w:tcBorders>
          </w:tcPr>
          <w:p w:rsidR="0090121B" w:rsidRPr="00D66701" w:rsidRDefault="00CE7431" w:rsidP="0090121B">
            <w:pPr>
              <w:spacing w:before="0" w:after="48" w:line="240" w:lineRule="atLeast"/>
              <w:rPr>
                <w:b/>
                <w:smallCaps/>
                <w:szCs w:val="24"/>
                <w:lang w:val="es-ES"/>
              </w:rPr>
            </w:pPr>
            <w:bookmarkStart w:id="1" w:name="dhead"/>
            <w:r w:rsidRPr="00D66701">
              <w:rPr>
                <w:rFonts w:ascii="Verdana" w:hAnsi="Verdana"/>
                <w:b/>
                <w:smallCaps/>
                <w:sz w:val="20"/>
                <w:lang w:val="es-ES"/>
              </w:rPr>
              <w:t>UNIÓN INTERNACIONAL DE TELECOMUNICACIONES</w:t>
            </w:r>
          </w:p>
        </w:tc>
        <w:tc>
          <w:tcPr>
            <w:tcW w:w="3270" w:type="dxa"/>
            <w:tcBorders>
              <w:bottom w:val="single" w:sz="12" w:space="0" w:color="auto"/>
            </w:tcBorders>
          </w:tcPr>
          <w:p w:rsidR="0090121B" w:rsidRPr="00D66701" w:rsidRDefault="0090121B" w:rsidP="0090121B">
            <w:pPr>
              <w:spacing w:before="0" w:line="240" w:lineRule="atLeast"/>
              <w:rPr>
                <w:rFonts w:ascii="Verdana" w:hAnsi="Verdana"/>
                <w:szCs w:val="24"/>
                <w:lang w:val="es-ES"/>
              </w:rPr>
            </w:pPr>
          </w:p>
        </w:tc>
      </w:tr>
      <w:tr w:rsidR="0090121B" w:rsidRPr="00D66701" w:rsidTr="00B252B1">
        <w:trPr>
          <w:cantSplit/>
        </w:trPr>
        <w:tc>
          <w:tcPr>
            <w:tcW w:w="6761" w:type="dxa"/>
            <w:tcBorders>
              <w:top w:val="single" w:sz="12" w:space="0" w:color="auto"/>
            </w:tcBorders>
          </w:tcPr>
          <w:p w:rsidR="0090121B" w:rsidRPr="00D66701" w:rsidRDefault="0090121B" w:rsidP="0090121B">
            <w:pPr>
              <w:spacing w:before="0" w:after="48" w:line="240" w:lineRule="atLeast"/>
              <w:rPr>
                <w:rFonts w:ascii="Verdana" w:hAnsi="Verdana"/>
                <w:b/>
                <w:smallCaps/>
                <w:sz w:val="20"/>
                <w:lang w:val="es-ES"/>
              </w:rPr>
            </w:pPr>
          </w:p>
        </w:tc>
        <w:tc>
          <w:tcPr>
            <w:tcW w:w="3270" w:type="dxa"/>
            <w:tcBorders>
              <w:top w:val="single" w:sz="12" w:space="0" w:color="auto"/>
            </w:tcBorders>
          </w:tcPr>
          <w:p w:rsidR="0090121B" w:rsidRPr="00D66701" w:rsidRDefault="0090121B" w:rsidP="0090121B">
            <w:pPr>
              <w:spacing w:before="0" w:line="240" w:lineRule="atLeast"/>
              <w:rPr>
                <w:rFonts w:ascii="Verdana" w:hAnsi="Verdana"/>
                <w:sz w:val="20"/>
                <w:lang w:val="es-ES"/>
              </w:rPr>
            </w:pPr>
          </w:p>
        </w:tc>
      </w:tr>
      <w:tr w:rsidR="0090121B" w:rsidRPr="00D66701" w:rsidTr="00B252B1">
        <w:trPr>
          <w:cantSplit/>
        </w:trPr>
        <w:tc>
          <w:tcPr>
            <w:tcW w:w="6761" w:type="dxa"/>
            <w:shd w:val="clear" w:color="auto" w:fill="auto"/>
          </w:tcPr>
          <w:p w:rsidR="0090121B" w:rsidRPr="00D66701" w:rsidRDefault="00AE658F" w:rsidP="0045384C">
            <w:pPr>
              <w:spacing w:before="0"/>
              <w:rPr>
                <w:rFonts w:ascii="Verdana" w:hAnsi="Verdana"/>
                <w:b/>
                <w:sz w:val="20"/>
                <w:lang w:val="es-ES"/>
              </w:rPr>
            </w:pPr>
            <w:r w:rsidRPr="00D66701">
              <w:rPr>
                <w:rFonts w:ascii="Verdana" w:hAnsi="Verdana"/>
                <w:b/>
                <w:sz w:val="20"/>
                <w:lang w:val="es-ES"/>
              </w:rPr>
              <w:t>SESIÓN PLENARIA</w:t>
            </w:r>
          </w:p>
        </w:tc>
        <w:tc>
          <w:tcPr>
            <w:tcW w:w="3270" w:type="dxa"/>
            <w:shd w:val="clear" w:color="auto" w:fill="auto"/>
          </w:tcPr>
          <w:p w:rsidR="0090121B" w:rsidRPr="00D66701" w:rsidRDefault="00AE658F" w:rsidP="0045384C">
            <w:pPr>
              <w:spacing w:before="0"/>
              <w:rPr>
                <w:rFonts w:ascii="Verdana" w:hAnsi="Verdana"/>
                <w:sz w:val="20"/>
                <w:lang w:val="es-ES"/>
              </w:rPr>
            </w:pPr>
            <w:r w:rsidRPr="00D66701">
              <w:rPr>
                <w:rFonts w:ascii="Verdana" w:eastAsia="SimSun" w:hAnsi="Verdana" w:cs="Traditional Arabic"/>
                <w:b/>
                <w:sz w:val="20"/>
                <w:lang w:val="es-ES"/>
              </w:rPr>
              <w:t>Addéndum 5 al</w:t>
            </w:r>
            <w:r w:rsidRPr="00D66701">
              <w:rPr>
                <w:rFonts w:ascii="Verdana" w:eastAsia="SimSun" w:hAnsi="Verdana" w:cs="Traditional Arabic"/>
                <w:b/>
                <w:sz w:val="20"/>
                <w:lang w:val="es-ES"/>
              </w:rPr>
              <w:br/>
              <w:t>Documento 130(Add.22)</w:t>
            </w:r>
            <w:r w:rsidR="0090121B" w:rsidRPr="00D66701">
              <w:rPr>
                <w:rFonts w:ascii="Verdana" w:hAnsi="Verdana"/>
                <w:b/>
                <w:sz w:val="20"/>
                <w:lang w:val="es-ES"/>
              </w:rPr>
              <w:t>-</w:t>
            </w:r>
            <w:r w:rsidRPr="00D66701">
              <w:rPr>
                <w:rFonts w:ascii="Verdana" w:hAnsi="Verdana"/>
                <w:b/>
                <w:sz w:val="20"/>
                <w:lang w:val="es-ES"/>
              </w:rPr>
              <w:t>S</w:t>
            </w:r>
          </w:p>
        </w:tc>
      </w:tr>
      <w:bookmarkEnd w:id="1"/>
      <w:tr w:rsidR="000A5B9A" w:rsidRPr="00D66701" w:rsidTr="00B252B1">
        <w:trPr>
          <w:cantSplit/>
        </w:trPr>
        <w:tc>
          <w:tcPr>
            <w:tcW w:w="6761" w:type="dxa"/>
            <w:shd w:val="clear" w:color="auto" w:fill="auto"/>
          </w:tcPr>
          <w:p w:rsidR="000A5B9A" w:rsidRPr="00D66701" w:rsidRDefault="000A5B9A" w:rsidP="0045384C">
            <w:pPr>
              <w:spacing w:before="0" w:after="48"/>
              <w:rPr>
                <w:rFonts w:ascii="Verdana" w:hAnsi="Verdana"/>
                <w:b/>
                <w:smallCaps/>
                <w:sz w:val="20"/>
                <w:lang w:val="es-ES"/>
              </w:rPr>
            </w:pPr>
          </w:p>
        </w:tc>
        <w:tc>
          <w:tcPr>
            <w:tcW w:w="3270" w:type="dxa"/>
            <w:shd w:val="clear" w:color="auto" w:fill="auto"/>
          </w:tcPr>
          <w:p w:rsidR="000A5B9A" w:rsidRPr="00D66701" w:rsidRDefault="000A5B9A" w:rsidP="0045384C">
            <w:pPr>
              <w:spacing w:before="0"/>
              <w:rPr>
                <w:rFonts w:ascii="Verdana" w:hAnsi="Verdana"/>
                <w:b/>
                <w:sz w:val="20"/>
                <w:lang w:val="es-ES"/>
              </w:rPr>
            </w:pPr>
            <w:r w:rsidRPr="00D66701">
              <w:rPr>
                <w:rFonts w:ascii="Verdana" w:hAnsi="Verdana"/>
                <w:b/>
                <w:sz w:val="20"/>
                <w:lang w:val="es-ES"/>
              </w:rPr>
              <w:t>19 de octubre de 2015</w:t>
            </w:r>
          </w:p>
        </w:tc>
      </w:tr>
      <w:tr w:rsidR="000A5B9A" w:rsidRPr="00D66701" w:rsidTr="00B252B1">
        <w:trPr>
          <w:cantSplit/>
        </w:trPr>
        <w:tc>
          <w:tcPr>
            <w:tcW w:w="6761" w:type="dxa"/>
          </w:tcPr>
          <w:p w:rsidR="000A5B9A" w:rsidRPr="00D66701" w:rsidRDefault="000A5B9A" w:rsidP="0045384C">
            <w:pPr>
              <w:spacing w:before="0" w:after="48"/>
              <w:rPr>
                <w:rFonts w:ascii="Verdana" w:hAnsi="Verdana"/>
                <w:b/>
                <w:smallCaps/>
                <w:sz w:val="20"/>
                <w:lang w:val="es-ES"/>
              </w:rPr>
            </w:pPr>
          </w:p>
        </w:tc>
        <w:tc>
          <w:tcPr>
            <w:tcW w:w="3270" w:type="dxa"/>
          </w:tcPr>
          <w:p w:rsidR="000A5B9A" w:rsidRPr="00D66701" w:rsidRDefault="000A5B9A" w:rsidP="0045384C">
            <w:pPr>
              <w:spacing w:before="0"/>
              <w:rPr>
                <w:rFonts w:ascii="Verdana" w:hAnsi="Verdana"/>
                <w:b/>
                <w:sz w:val="20"/>
                <w:lang w:val="es-ES"/>
              </w:rPr>
            </w:pPr>
            <w:r w:rsidRPr="00D66701">
              <w:rPr>
                <w:rFonts w:ascii="Verdana" w:hAnsi="Verdana"/>
                <w:b/>
                <w:sz w:val="20"/>
                <w:lang w:val="es-ES"/>
              </w:rPr>
              <w:t>Original: inglés</w:t>
            </w:r>
          </w:p>
        </w:tc>
      </w:tr>
      <w:tr w:rsidR="000A5B9A" w:rsidRPr="00D66701" w:rsidTr="006744FC">
        <w:trPr>
          <w:cantSplit/>
        </w:trPr>
        <w:tc>
          <w:tcPr>
            <w:tcW w:w="10031" w:type="dxa"/>
            <w:gridSpan w:val="2"/>
          </w:tcPr>
          <w:p w:rsidR="000A5B9A" w:rsidRPr="00D66701" w:rsidRDefault="000A5B9A" w:rsidP="0045384C">
            <w:pPr>
              <w:spacing w:before="0"/>
              <w:rPr>
                <w:rFonts w:ascii="Verdana" w:hAnsi="Verdana"/>
                <w:b/>
                <w:sz w:val="20"/>
                <w:lang w:val="es-ES"/>
              </w:rPr>
            </w:pPr>
          </w:p>
        </w:tc>
      </w:tr>
      <w:tr w:rsidR="000A5B9A" w:rsidRPr="00D66701" w:rsidTr="0050008E">
        <w:trPr>
          <w:cantSplit/>
        </w:trPr>
        <w:tc>
          <w:tcPr>
            <w:tcW w:w="10031" w:type="dxa"/>
            <w:gridSpan w:val="2"/>
          </w:tcPr>
          <w:p w:rsidR="000A5B9A" w:rsidRPr="00D66701" w:rsidRDefault="000A5B9A" w:rsidP="000A5B9A">
            <w:pPr>
              <w:pStyle w:val="Source"/>
              <w:rPr>
                <w:lang w:val="es-ES"/>
              </w:rPr>
            </w:pPr>
            <w:bookmarkStart w:id="2" w:name="dsource" w:colFirst="0" w:colLast="0"/>
            <w:r w:rsidRPr="00D66701">
              <w:rPr>
                <w:lang w:val="es-ES"/>
              </w:rPr>
              <w:t>Angola (República de)/Botswana (República de)/Lesotho (Reino de)/Madagascar (República de)/Malawi/Mauricio (República de)/Mozambique (República de)/Namibia (República de)/República Democrática del Congo/Seychelles (República de)/Sudafricana (República)/Swazilandia (Reino de)/Tanzanía (República Unida de)/Zambia (República de)/Zimbabwe (República de)</w:t>
            </w:r>
          </w:p>
        </w:tc>
      </w:tr>
      <w:tr w:rsidR="000A5B9A" w:rsidRPr="00D66701" w:rsidTr="0050008E">
        <w:trPr>
          <w:cantSplit/>
        </w:trPr>
        <w:tc>
          <w:tcPr>
            <w:tcW w:w="10031" w:type="dxa"/>
            <w:gridSpan w:val="2"/>
          </w:tcPr>
          <w:p w:rsidR="000A5B9A" w:rsidRPr="00D66701" w:rsidRDefault="00D1244F" w:rsidP="000A5B9A">
            <w:pPr>
              <w:pStyle w:val="Title1"/>
              <w:rPr>
                <w:lang w:val="es-ES"/>
              </w:rPr>
            </w:pPr>
            <w:bookmarkStart w:id="3" w:name="dtitle1" w:colFirst="0" w:colLast="0"/>
            <w:bookmarkEnd w:id="2"/>
            <w:r w:rsidRPr="00D66701">
              <w:rPr>
                <w:lang w:val="es-ES"/>
              </w:rPr>
              <w:t>propuestas para los trabajos de la asamblea</w:t>
            </w:r>
          </w:p>
        </w:tc>
      </w:tr>
      <w:tr w:rsidR="000A5B9A" w:rsidRPr="00D66701" w:rsidTr="0050008E">
        <w:trPr>
          <w:cantSplit/>
        </w:trPr>
        <w:tc>
          <w:tcPr>
            <w:tcW w:w="10031" w:type="dxa"/>
            <w:gridSpan w:val="2"/>
          </w:tcPr>
          <w:p w:rsidR="000A5B9A" w:rsidRPr="00D66701" w:rsidRDefault="000A5B9A" w:rsidP="000A5B9A">
            <w:pPr>
              <w:pStyle w:val="Title2"/>
              <w:rPr>
                <w:lang w:val="es-ES"/>
              </w:rPr>
            </w:pPr>
            <w:bookmarkStart w:id="4" w:name="dtitle2" w:colFirst="0" w:colLast="0"/>
            <w:bookmarkEnd w:id="3"/>
          </w:p>
        </w:tc>
      </w:tr>
      <w:tr w:rsidR="000A5B9A" w:rsidRPr="00D66701" w:rsidTr="0050008E">
        <w:trPr>
          <w:cantSplit/>
        </w:trPr>
        <w:tc>
          <w:tcPr>
            <w:tcW w:w="10031" w:type="dxa"/>
            <w:gridSpan w:val="2"/>
          </w:tcPr>
          <w:p w:rsidR="000A5B9A" w:rsidRPr="00D66701" w:rsidRDefault="000A5B9A" w:rsidP="000A5B9A">
            <w:pPr>
              <w:pStyle w:val="Agendaitem"/>
              <w:rPr>
                <w:lang w:val="es-ES"/>
              </w:rPr>
            </w:pPr>
            <w:bookmarkStart w:id="5" w:name="dtitle3" w:colFirst="0" w:colLast="0"/>
            <w:bookmarkEnd w:id="4"/>
            <w:r w:rsidRPr="00D66701">
              <w:rPr>
                <w:lang w:val="es-ES"/>
              </w:rPr>
              <w:t>Punto 9.1(9.1.5) del orden del día</w:t>
            </w:r>
          </w:p>
        </w:tc>
      </w:tr>
    </w:tbl>
    <w:bookmarkEnd w:id="5"/>
    <w:p w:rsidR="006C20F8" w:rsidRPr="00D66701" w:rsidRDefault="00910DCF" w:rsidP="006C20F8">
      <w:pPr>
        <w:rPr>
          <w:lang w:val="es-ES"/>
        </w:rPr>
      </w:pPr>
      <w:r w:rsidRPr="00D66701">
        <w:rPr>
          <w:lang w:val="es-ES"/>
        </w:rPr>
        <w:t>9</w:t>
      </w:r>
      <w:r w:rsidRPr="00D66701">
        <w:rPr>
          <w:lang w:val="es-ES"/>
        </w:rPr>
        <w:tab/>
        <w:t>examinar y aprobar el Informe del Director de la Oficina de Radiocomunicaciones, de conformidad con el Artículo 7 del Convenio:</w:t>
      </w:r>
    </w:p>
    <w:p w:rsidR="001C0E40" w:rsidRPr="00D66701" w:rsidRDefault="00910DCF" w:rsidP="00482C06">
      <w:pPr>
        <w:rPr>
          <w:lang w:val="es-ES"/>
        </w:rPr>
      </w:pPr>
      <w:r w:rsidRPr="00D66701">
        <w:rPr>
          <w:lang w:val="es-ES"/>
        </w:rPr>
        <w:t>9.1</w:t>
      </w:r>
      <w:r w:rsidRPr="00D66701">
        <w:rPr>
          <w:lang w:val="es-ES"/>
        </w:rPr>
        <w:tab/>
        <w:t>sobre las actividades del Sector de Radiocomunicaciones desde la CMR-12;</w:t>
      </w:r>
    </w:p>
    <w:p w:rsidR="001C0E40" w:rsidRPr="00D66701" w:rsidRDefault="00910DCF" w:rsidP="002E33F4">
      <w:pPr>
        <w:rPr>
          <w:lang w:val="es-ES"/>
        </w:rPr>
      </w:pPr>
      <w:r w:rsidRPr="00D66701">
        <w:rPr>
          <w:lang w:val="es-ES"/>
        </w:rPr>
        <w:t xml:space="preserve">9.1(9.1.5) </w:t>
      </w:r>
      <w:r w:rsidRPr="00D66701">
        <w:rPr>
          <w:lang w:val="es-ES"/>
        </w:rPr>
        <w:tab/>
        <w:t xml:space="preserve">Resolución </w:t>
      </w:r>
      <w:r w:rsidRPr="00D66701">
        <w:rPr>
          <w:b/>
          <w:bCs/>
          <w:lang w:val="es-ES"/>
        </w:rPr>
        <w:t>154 (CMR-12)</w:t>
      </w:r>
      <w:r w:rsidRPr="00D66701">
        <w:rPr>
          <w:lang w:val="es-ES"/>
        </w:rPr>
        <w:t xml:space="preserve"> - Consideración de medidas técnicas y reglamentarias para apoyar el funcionamiento actual y futuro de las estaciones terrenas del servicio fijo p</w:t>
      </w:r>
      <w:r w:rsidR="00E70D52">
        <w:rPr>
          <w:lang w:val="es-ES"/>
        </w:rPr>
        <w:t>or satélite en la banda 3 400-4 </w:t>
      </w:r>
      <w:r w:rsidRPr="00D66701">
        <w:rPr>
          <w:lang w:val="es-ES"/>
        </w:rPr>
        <w:t>200 MHz como ayuda a la explotación de aeronaves en condiciones de seguridad y la difusión fiable de información meteorológica en algunos países de la Región 1</w:t>
      </w:r>
    </w:p>
    <w:p w:rsidR="00D1244F" w:rsidRPr="00D66701" w:rsidRDefault="00D1244F" w:rsidP="00D1244F">
      <w:pPr>
        <w:pStyle w:val="Headingb"/>
        <w:rPr>
          <w:lang w:val="es-ES"/>
        </w:rPr>
      </w:pPr>
      <w:r w:rsidRPr="00D66701">
        <w:rPr>
          <w:lang w:val="es-ES"/>
        </w:rPr>
        <w:t>Introducción</w:t>
      </w:r>
    </w:p>
    <w:p w:rsidR="00D1244F" w:rsidRPr="00D66701" w:rsidRDefault="00D1244F" w:rsidP="00A61904">
      <w:pPr>
        <w:rPr>
          <w:lang w:val="es-ES"/>
        </w:rPr>
      </w:pPr>
      <w:r w:rsidRPr="00D66701">
        <w:rPr>
          <w:lang w:val="es-ES"/>
        </w:rPr>
        <w:t>La prestación eficiente de servicios de aeronavegación requiere la implantación y explotación de infraestructuras de comunicaciones en tierra con alta disponibilidad, fiabilidad e integridad. En algunos países de África, la dificultad para satisfacer estos requisitos, dada la extensión del espacio aéreo y la debilidad de la infraestructura de comunicaci</w:t>
      </w:r>
      <w:r w:rsidR="00D66701" w:rsidRPr="00D66701">
        <w:rPr>
          <w:lang w:val="es-ES"/>
        </w:rPr>
        <w:t xml:space="preserve">ones </w:t>
      </w:r>
      <w:r w:rsidRPr="00D66701">
        <w:rPr>
          <w:lang w:val="es-ES"/>
        </w:rPr>
        <w:t>terrenal</w:t>
      </w:r>
      <w:r w:rsidR="00D66701" w:rsidRPr="00D66701">
        <w:rPr>
          <w:lang w:val="es-ES"/>
        </w:rPr>
        <w:t>es</w:t>
      </w:r>
      <w:r w:rsidRPr="00D66701">
        <w:rPr>
          <w:lang w:val="es-ES"/>
        </w:rPr>
        <w:t>, ha llevado a la implantación generalizada de una infraestructura de comunicación aeronáutica</w:t>
      </w:r>
      <w:r w:rsidR="009337CE">
        <w:rPr>
          <w:lang w:val="es-ES"/>
        </w:rPr>
        <w:t xml:space="preserve"> basada en sistemas de terminales </w:t>
      </w:r>
      <w:r w:rsidRPr="00D66701">
        <w:rPr>
          <w:lang w:val="es-ES"/>
        </w:rPr>
        <w:t>de muy pequeña apertura (VSAT) que funcionan en el SFS.</w:t>
      </w:r>
    </w:p>
    <w:p w:rsidR="00D66701" w:rsidRPr="00D66701" w:rsidRDefault="00D1244F" w:rsidP="00E70D52">
      <w:pPr>
        <w:rPr>
          <w:lang w:val="es-ES"/>
        </w:rPr>
      </w:pPr>
      <w:r w:rsidRPr="00D66701">
        <w:rPr>
          <w:lang w:val="es-ES"/>
        </w:rPr>
        <w:t xml:space="preserve">La CMR-12 adoptó la Resolución </w:t>
      </w:r>
      <w:r w:rsidRPr="00D66701">
        <w:rPr>
          <w:b/>
          <w:bCs/>
          <w:lang w:val="es-ES"/>
        </w:rPr>
        <w:t>154 (CMR-12)</w:t>
      </w:r>
      <w:r w:rsidRPr="00D66701">
        <w:rPr>
          <w:lang w:val="es-ES"/>
        </w:rPr>
        <w:t>, e invitó al UIT-R a estudiar posibles medidas técnicas y reglamentarias adicionales en algunos países de la Región 1 para apoyar la implantación actual y futura de estaciones terrenas del S</w:t>
      </w:r>
      <w:r w:rsidR="00E70D52">
        <w:rPr>
          <w:lang w:val="es-ES"/>
        </w:rPr>
        <w:t>FS en la banda de frecuencias 3 </w:t>
      </w:r>
      <w:r w:rsidRPr="00D66701">
        <w:rPr>
          <w:lang w:val="es-ES"/>
        </w:rPr>
        <w:t>400-4</w:t>
      </w:r>
      <w:r w:rsidR="00E70D52">
        <w:rPr>
          <w:lang w:val="es-ES"/>
        </w:rPr>
        <w:t> </w:t>
      </w:r>
      <w:r w:rsidRPr="00D66701">
        <w:rPr>
          <w:lang w:val="es-ES"/>
        </w:rPr>
        <w:t>200</w:t>
      </w:r>
      <w:r w:rsidR="00E70D52">
        <w:rPr>
          <w:lang w:val="es-ES"/>
        </w:rPr>
        <w:t> </w:t>
      </w:r>
      <w:r w:rsidRPr="00D66701">
        <w:rPr>
          <w:lang w:val="es-ES"/>
        </w:rPr>
        <w:t>MHz utilizadas en las comunicaciones por satélite en relación con la explotación de aeronaves en condiciones de seguridad y la difusión fiable de información meteorológica.</w:t>
      </w:r>
    </w:p>
    <w:p w:rsidR="00D66701" w:rsidRPr="00D66701" w:rsidRDefault="00D66701" w:rsidP="000F78BA">
      <w:pPr>
        <w:pStyle w:val="Headingb"/>
        <w:rPr>
          <w:lang w:val="es-ES"/>
        </w:rPr>
      </w:pPr>
      <w:r w:rsidRPr="00D66701">
        <w:rPr>
          <w:lang w:val="es-ES"/>
        </w:rPr>
        <w:lastRenderedPageBreak/>
        <w:t>Propuesta presentada por más de un país</w:t>
      </w:r>
    </w:p>
    <w:p w:rsidR="00881D18" w:rsidRPr="00D66701" w:rsidRDefault="000F78BA" w:rsidP="000F78BA">
      <w:pPr>
        <w:pStyle w:val="Proposal"/>
        <w:ind w:left="1134" w:hanging="1134"/>
        <w:rPr>
          <w:lang w:val="es-ES"/>
        </w:rPr>
      </w:pPr>
      <w:r>
        <w:rPr>
          <w:lang w:val="es-ES"/>
        </w:rPr>
        <w:tab/>
      </w:r>
      <w:r w:rsidR="00910DCF" w:rsidRPr="00D66701">
        <w:rPr>
          <w:lang w:val="es-ES"/>
        </w:rPr>
        <w:t>AGL/BOT/LSO/MDG/MWI/MAU/MOZ/NMB/COD/SEY/AFS/SWZ/TZA/ZMB/</w:t>
      </w:r>
      <w:r>
        <w:rPr>
          <w:lang w:val="es-ES"/>
        </w:rPr>
        <w:br/>
      </w:r>
      <w:r w:rsidR="00910DCF" w:rsidRPr="00D66701">
        <w:rPr>
          <w:lang w:val="es-ES"/>
        </w:rPr>
        <w:t>ZWE/130A22A5/1</w:t>
      </w:r>
    </w:p>
    <w:p w:rsidR="00D1244F" w:rsidRPr="00D66701" w:rsidRDefault="00FF4908" w:rsidP="00D66701">
      <w:pPr>
        <w:rPr>
          <w:lang w:val="es-ES"/>
        </w:rPr>
      </w:pPr>
      <w:r w:rsidRPr="00D66701">
        <w:rPr>
          <w:lang w:val="es-ES"/>
        </w:rPr>
        <w:t xml:space="preserve">Los </w:t>
      </w:r>
      <w:r w:rsidR="00D66701" w:rsidRPr="00D66701">
        <w:rPr>
          <w:lang w:val="es-ES"/>
        </w:rPr>
        <w:t>Estados Miembros de la Comunidad de Desarrollo de África Meridional (SADC) apoyan el único método que proporciona el Informe de la RPC, que con</w:t>
      </w:r>
      <w:r w:rsidR="000F78BA">
        <w:rPr>
          <w:lang w:val="es-ES"/>
        </w:rPr>
        <w:t>siste en la modificación de la R</w:t>
      </w:r>
      <w:r w:rsidR="00D66701" w:rsidRPr="00D66701">
        <w:rPr>
          <w:lang w:val="es-ES"/>
        </w:rPr>
        <w:t xml:space="preserve">esolución </w:t>
      </w:r>
      <w:r w:rsidRPr="00D66701">
        <w:rPr>
          <w:b/>
          <w:bCs/>
          <w:lang w:val="es-ES"/>
        </w:rPr>
        <w:t>154 (CMR-12)</w:t>
      </w:r>
      <w:r w:rsidRPr="00D66701">
        <w:rPr>
          <w:lang w:val="es-ES"/>
        </w:rPr>
        <w:t xml:space="preserve"> en la que se pide a las administraciones pertinentes de la Región 1 que pongan especial cuidado en la coordinación, asignación y gestión de frecuencias, teniendo en cuenta la posible repercusión sobre las estaciones terrenas del SFS utilizadas en las comunicaciones por satélite en relación con la explotación de aeronaves en condiciones de seguridad y la difusión fiable de información meteorológica en la banda de frecuencias 3 400-4 200 MHz.</w:t>
      </w:r>
    </w:p>
    <w:p w:rsidR="00D66701" w:rsidRPr="00D66701" w:rsidRDefault="00910DCF" w:rsidP="00A61904">
      <w:pPr>
        <w:pStyle w:val="Reasons"/>
        <w:rPr>
          <w:lang w:val="es-ES"/>
        </w:rPr>
      </w:pPr>
      <w:r w:rsidRPr="00D66701">
        <w:rPr>
          <w:b/>
          <w:lang w:val="es-ES"/>
        </w:rPr>
        <w:t>Motivos:</w:t>
      </w:r>
      <w:r w:rsidRPr="00D66701">
        <w:rPr>
          <w:lang w:val="es-ES"/>
        </w:rPr>
        <w:tab/>
      </w:r>
      <w:r w:rsidR="00D66701" w:rsidRPr="00D66701">
        <w:rPr>
          <w:lang w:val="es-ES"/>
        </w:rPr>
        <w:t>Se trata del único método que p</w:t>
      </w:r>
      <w:r w:rsidR="00A61904">
        <w:rPr>
          <w:lang w:val="es-ES"/>
        </w:rPr>
        <w:t xml:space="preserve">roporciona el Informe de </w:t>
      </w:r>
      <w:r w:rsidR="000F78BA">
        <w:rPr>
          <w:lang w:val="es-ES"/>
        </w:rPr>
        <w:t>l</w:t>
      </w:r>
      <w:r w:rsidR="00A61904">
        <w:rPr>
          <w:lang w:val="es-ES"/>
        </w:rPr>
        <w:t>a RPC.</w:t>
      </w:r>
    </w:p>
    <w:p w:rsidR="00FF4908" w:rsidRPr="00D66701" w:rsidRDefault="00FF4908" w:rsidP="00D66701">
      <w:pPr>
        <w:pStyle w:val="Reasons"/>
        <w:rPr>
          <w:lang w:val="es-ES"/>
        </w:rPr>
      </w:pPr>
    </w:p>
    <w:p w:rsidR="00FF4908" w:rsidRPr="00D66701" w:rsidRDefault="00FF4908">
      <w:pPr>
        <w:jc w:val="center"/>
        <w:rPr>
          <w:lang w:val="es-ES"/>
        </w:rPr>
      </w:pPr>
      <w:r w:rsidRPr="00D66701">
        <w:rPr>
          <w:lang w:val="es-ES"/>
        </w:rPr>
        <w:t>______________</w:t>
      </w:r>
    </w:p>
    <w:sectPr w:rsidR="00FF4908" w:rsidRPr="00D66701">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D64B8D">
      <w:rPr>
        <w:noProof/>
        <w:lang w:val="en-US"/>
      </w:rPr>
      <w:t>P:\TRAD\S\ITU-R\CONF-R\CMR15\100\130ADD22ADD05S_MONTAJE (389047) AGM LINS .docx</w:t>
    </w:r>
    <w:r>
      <w:fldChar w:fldCharType="end"/>
    </w:r>
    <w:r>
      <w:rPr>
        <w:lang w:val="en-US"/>
      </w:rPr>
      <w:tab/>
    </w:r>
    <w:r>
      <w:fldChar w:fldCharType="begin"/>
    </w:r>
    <w:r>
      <w:instrText xml:space="preserve"> SAVEDATE \@ DD.MM.YY </w:instrText>
    </w:r>
    <w:r>
      <w:fldChar w:fldCharType="separate"/>
    </w:r>
    <w:r w:rsidR="00A61904">
      <w:rPr>
        <w:noProof/>
      </w:rPr>
      <w:t>27.10.15</w:t>
    </w:r>
    <w:r>
      <w:fldChar w:fldCharType="end"/>
    </w:r>
    <w:r>
      <w:rPr>
        <w:lang w:val="en-US"/>
      </w:rPr>
      <w:tab/>
    </w:r>
    <w:r>
      <w:fldChar w:fldCharType="begin"/>
    </w:r>
    <w:r>
      <w:instrText xml:space="preserve"> PRINTDATE \@ DD.MM.YY </w:instrText>
    </w:r>
    <w:r>
      <w:fldChar w:fldCharType="separate"/>
    </w:r>
    <w:r w:rsidR="00D64B8D">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23" w:rsidRDefault="005B0C23" w:rsidP="005B0C23">
    <w:pPr>
      <w:pStyle w:val="Footer"/>
    </w:pPr>
    <w:r>
      <w:fldChar w:fldCharType="begin"/>
    </w:r>
    <w:r>
      <w:instrText xml:space="preserve"> FILENAME \p  \* MERGEFORMAT </w:instrText>
    </w:r>
    <w:r>
      <w:fldChar w:fldCharType="separate"/>
    </w:r>
    <w:r>
      <w:t>P:\ESP\ITU-R\CONF-R\CMR15\100\130ADD22ADD05S .docx</w:t>
    </w:r>
    <w:r>
      <w:fldChar w:fldCharType="end"/>
    </w:r>
    <w:r>
      <w:t xml:space="preserve"> (389047)</w:t>
    </w:r>
    <w:r>
      <w:tab/>
    </w:r>
    <w:r>
      <w:fldChar w:fldCharType="begin"/>
    </w:r>
    <w:r>
      <w:instrText xml:space="preserve"> SAVEDATE \@ DD.MM.YY </w:instrText>
    </w:r>
    <w:r>
      <w:fldChar w:fldCharType="separate"/>
    </w:r>
    <w:r>
      <w:t>28.10.15</w:t>
    </w:r>
    <w:r>
      <w:fldChar w:fldCharType="end"/>
    </w:r>
    <w:r>
      <w:tab/>
    </w:r>
    <w:r>
      <w:fldChar w:fldCharType="begin"/>
    </w:r>
    <w:r>
      <w:instrText xml:space="preserve"> PRINTDATE \@ DD.MM.YY </w:instrText>
    </w:r>
    <w:r>
      <w:fldChar w:fldCharType="separate"/>
    </w:r>
    <w:r>
      <w:t>27.10.15</w:t>
    </w:r>
    <w:r>
      <w:fldChar w:fldCharType="end"/>
    </w:r>
    <w:bookmarkStart w:id="6" w:name="_GoBack"/>
    <w:bookmarkEnd w:id="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23" w:rsidRDefault="005B0C23">
    <w:pPr>
      <w:pStyle w:val="Footer"/>
    </w:pPr>
    <w:fldSimple w:instr=" FILENAME \p  \* MERGEFORMAT ">
      <w:r>
        <w:t>P:\ESP\ITU-R\CONF-R\CMR15\100\130ADD22ADD05S .docx</w:t>
      </w:r>
    </w:fldSimple>
    <w:r>
      <w:t xml:space="preserve"> (389047)</w:t>
    </w:r>
    <w:r>
      <w:tab/>
    </w:r>
    <w:r>
      <w:fldChar w:fldCharType="begin"/>
    </w:r>
    <w:r>
      <w:instrText xml:space="preserve"> SAVEDATE \@ DD.MM.YY </w:instrText>
    </w:r>
    <w:r>
      <w:fldChar w:fldCharType="separate"/>
    </w:r>
    <w:r>
      <w:t>28.10.15</w:t>
    </w:r>
    <w:r>
      <w:fldChar w:fldCharType="end"/>
    </w:r>
    <w:r>
      <w:tab/>
    </w:r>
    <w:r>
      <w:fldChar w:fldCharType="begin"/>
    </w:r>
    <w:r>
      <w:instrText xml:space="preserve"> PRINTDATE \@ DD.MM.YY </w:instrText>
    </w:r>
    <w:r>
      <w:fldChar w:fldCharType="separate"/>
    </w:r>
    <w:r>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23" w:rsidRDefault="005B0C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B0C23">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130(Add.22)(Add.5)-</w:t>
    </w:r>
    <w:r w:rsidR="003248A9"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23" w:rsidRDefault="005B0C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437DA"/>
    <w:rsid w:val="00087AE8"/>
    <w:rsid w:val="000A5B9A"/>
    <w:rsid w:val="000E5BF9"/>
    <w:rsid w:val="000F0E6D"/>
    <w:rsid w:val="000F78BA"/>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8787B"/>
    <w:rsid w:val="003B1E8C"/>
    <w:rsid w:val="003C2508"/>
    <w:rsid w:val="003D0AA3"/>
    <w:rsid w:val="00440B3A"/>
    <w:rsid w:val="0045384C"/>
    <w:rsid w:val="00454553"/>
    <w:rsid w:val="004B124A"/>
    <w:rsid w:val="004E2866"/>
    <w:rsid w:val="005133B5"/>
    <w:rsid w:val="00532097"/>
    <w:rsid w:val="0058350F"/>
    <w:rsid w:val="00583C7E"/>
    <w:rsid w:val="005B0C23"/>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81D18"/>
    <w:rsid w:val="008E5AF2"/>
    <w:rsid w:val="008F559F"/>
    <w:rsid w:val="0090121B"/>
    <w:rsid w:val="00910DCF"/>
    <w:rsid w:val="009144C9"/>
    <w:rsid w:val="009337CE"/>
    <w:rsid w:val="0094091F"/>
    <w:rsid w:val="00973754"/>
    <w:rsid w:val="009C0BED"/>
    <w:rsid w:val="009E11EC"/>
    <w:rsid w:val="00A118DB"/>
    <w:rsid w:val="00A4450C"/>
    <w:rsid w:val="00A61904"/>
    <w:rsid w:val="00AA5E6C"/>
    <w:rsid w:val="00AE5677"/>
    <w:rsid w:val="00AE658F"/>
    <w:rsid w:val="00AF2F78"/>
    <w:rsid w:val="00B239FA"/>
    <w:rsid w:val="00B252B1"/>
    <w:rsid w:val="00B52D55"/>
    <w:rsid w:val="00B8288C"/>
    <w:rsid w:val="00BE2E80"/>
    <w:rsid w:val="00BE5EDD"/>
    <w:rsid w:val="00BE6A1F"/>
    <w:rsid w:val="00C126C4"/>
    <w:rsid w:val="00C63EB5"/>
    <w:rsid w:val="00CC01E0"/>
    <w:rsid w:val="00CD5FEE"/>
    <w:rsid w:val="00CE60D2"/>
    <w:rsid w:val="00CE7431"/>
    <w:rsid w:val="00D0288A"/>
    <w:rsid w:val="00D1244F"/>
    <w:rsid w:val="00D64B8D"/>
    <w:rsid w:val="00D66701"/>
    <w:rsid w:val="00D72A5D"/>
    <w:rsid w:val="00DC629B"/>
    <w:rsid w:val="00E01738"/>
    <w:rsid w:val="00E05BFF"/>
    <w:rsid w:val="00E262F1"/>
    <w:rsid w:val="00E3176A"/>
    <w:rsid w:val="00E54754"/>
    <w:rsid w:val="00E56BD3"/>
    <w:rsid w:val="00E70D52"/>
    <w:rsid w:val="00E71D14"/>
    <w:rsid w:val="00E83541"/>
    <w:rsid w:val="00F66597"/>
    <w:rsid w:val="00F675D0"/>
    <w:rsid w:val="00F8150C"/>
    <w:rsid w:val="00FE4574"/>
    <w:rsid w:val="00FF49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3917F7D-4F90-444C-ADC3-43004335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styleId="BalloonText">
    <w:name w:val="Balloon Text"/>
    <w:basedOn w:val="Normal"/>
    <w:link w:val="BalloonTextChar"/>
    <w:semiHidden/>
    <w:unhideWhenUsed/>
    <w:rsid w:val="00D64B8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64B8D"/>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R15-WRC15-C-0130!A22-A5!MSW-S</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EA946E55-A843-4017-9E55-8110335C1063}">
  <ds:schemaRefs>
    <ds:schemaRef ds:uri="996b2e75-67fd-4955-a3b0-5ab9934cb50b"/>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7EBDFFB1-1322-4B3A-9826-B46932274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R15-WRC15-C-0130!A22-A5!MSW-S</vt:lpstr>
    </vt:vector>
  </TitlesOfParts>
  <Manager>Secretaría General - Pool</Manager>
  <Company>Unión Internacional de Telecomunicaciones (UIT)</Company>
  <LinksUpToDate>false</LinksUpToDate>
  <CharactersWithSpaces>3112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R15-WRC15-C-0130!A22-A5!MSW-S</dc:title>
  <dc:subject>Conferencia Mundial de Radiocomunicaciones - 2015</dc:subject>
  <dc:creator>Documents Proposals Manager (DPM)</dc:creator>
  <cp:keywords>DPM_v5.2015.10.270_prod</cp:keywords>
  <dc:description/>
  <cp:lastModifiedBy>Spanish</cp:lastModifiedBy>
  <cp:revision>3</cp:revision>
  <cp:lastPrinted>2015-10-27T15:42:00Z</cp:lastPrinted>
  <dcterms:created xsi:type="dcterms:W3CDTF">2015-10-28T10:59:00Z</dcterms:created>
  <dcterms:modified xsi:type="dcterms:W3CDTF">2015-10-28T10:59:00Z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