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90121B" w:rsidRPr="0002785D" w:rsidTr="008C7845">
        <w:trPr>
          <w:cantSplit/>
        </w:trPr>
        <w:tc>
          <w:tcPr>
            <w:tcW w:w="6663" w:type="dxa"/>
          </w:tcPr>
          <w:p w:rsidR="0090121B" w:rsidRPr="00F60B33" w:rsidRDefault="005D46FB" w:rsidP="00017088">
            <w:pPr>
              <w:spacing w:before="400" w:after="48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368" w:type="dxa"/>
          </w:tcPr>
          <w:p w:rsidR="0090121B" w:rsidRPr="0002785D" w:rsidRDefault="00CE7431" w:rsidP="00017088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1332269" wp14:editId="11BBF2F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8C7845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90121B" w:rsidRPr="0002785D" w:rsidRDefault="00CE7431" w:rsidP="00017088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90121B" w:rsidRPr="0002785D" w:rsidRDefault="0090121B" w:rsidP="00017088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8C7845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90121B" w:rsidRPr="0002785D" w:rsidRDefault="0090121B" w:rsidP="00017088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90121B" w:rsidRPr="0002785D" w:rsidRDefault="0090121B" w:rsidP="00017088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8C7845">
        <w:trPr>
          <w:cantSplit/>
        </w:trPr>
        <w:tc>
          <w:tcPr>
            <w:tcW w:w="6663" w:type="dxa"/>
            <w:shd w:val="clear" w:color="auto" w:fill="auto"/>
          </w:tcPr>
          <w:p w:rsidR="0090121B" w:rsidRPr="00B239FA" w:rsidRDefault="00AE658F" w:rsidP="00017088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368" w:type="dxa"/>
            <w:shd w:val="clear" w:color="auto" w:fill="auto"/>
          </w:tcPr>
          <w:p w:rsidR="0090121B" w:rsidRPr="00F60B33" w:rsidRDefault="00AE658F" w:rsidP="00017088">
            <w:pPr>
              <w:spacing w:before="0"/>
              <w:rPr>
                <w:rFonts w:ascii="Verdana" w:hAnsi="Verdana"/>
                <w:sz w:val="20"/>
              </w:rPr>
            </w:pPr>
            <w:r w:rsidRPr="00F60B33">
              <w:rPr>
                <w:rFonts w:ascii="Verdana" w:eastAsia="SimSun" w:hAnsi="Verdana" w:cs="Traditional Arabic"/>
                <w:b/>
                <w:sz w:val="20"/>
              </w:rPr>
              <w:t>Addéndum 6 al</w:t>
            </w:r>
            <w:r w:rsidRPr="00F60B33">
              <w:rPr>
                <w:rFonts w:ascii="Verdana" w:eastAsia="SimSun" w:hAnsi="Verdana" w:cs="Traditional Arabic"/>
                <w:b/>
                <w:sz w:val="20"/>
              </w:rPr>
              <w:br/>
              <w:t>Documento 130(Add.22)</w:t>
            </w:r>
            <w:r w:rsidR="0090121B" w:rsidRPr="00F60B33">
              <w:rPr>
                <w:rFonts w:ascii="Verdana" w:hAnsi="Verdana"/>
                <w:b/>
                <w:sz w:val="20"/>
              </w:rPr>
              <w:t>-</w:t>
            </w:r>
            <w:r w:rsidRPr="00F60B33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02785D" w:rsidTr="008C7845">
        <w:trPr>
          <w:cantSplit/>
        </w:trPr>
        <w:tc>
          <w:tcPr>
            <w:tcW w:w="6663" w:type="dxa"/>
            <w:shd w:val="clear" w:color="auto" w:fill="auto"/>
          </w:tcPr>
          <w:p w:rsidR="000A5B9A" w:rsidRPr="00F60B33" w:rsidRDefault="000A5B9A" w:rsidP="00017088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:rsidR="000A5B9A" w:rsidRPr="0002785D" w:rsidRDefault="000A5B9A" w:rsidP="00017088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16 de octubre de 2015</w:t>
            </w:r>
          </w:p>
        </w:tc>
      </w:tr>
      <w:tr w:rsidR="000A5B9A" w:rsidRPr="0002785D" w:rsidTr="008C7845">
        <w:trPr>
          <w:cantSplit/>
        </w:trPr>
        <w:tc>
          <w:tcPr>
            <w:tcW w:w="6663" w:type="dxa"/>
          </w:tcPr>
          <w:p w:rsidR="000A5B9A" w:rsidRPr="0002785D" w:rsidRDefault="000A5B9A" w:rsidP="00017088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368" w:type="dxa"/>
          </w:tcPr>
          <w:p w:rsidR="000A5B9A" w:rsidRPr="0002785D" w:rsidRDefault="000A5B9A" w:rsidP="00017088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017088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F60B33" w:rsidRDefault="000A5B9A" w:rsidP="00017088">
            <w:pPr>
              <w:pStyle w:val="Source"/>
            </w:pPr>
            <w:bookmarkStart w:id="2" w:name="dsource" w:colFirst="0" w:colLast="0"/>
            <w:r w:rsidRPr="00F60B33">
              <w:t>Angola (República de)/Botswana (República de)/República Democrática del Congo/Lesotho (Reino de)/Mauricio (República de)/Madagascar (República de)/Mozambique (República de)/Malawi/Namibia (República de)/Seychelles (República de)/Sudafricana (República)/Swazilandia (Reino de)/Tanzanía (República Unida de)/Zambia (República de)/Zimbabwe (República de)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F60B33" w:rsidRDefault="00F60B33" w:rsidP="00017088">
            <w:pPr>
              <w:pStyle w:val="Title1"/>
            </w:pPr>
            <w:bookmarkStart w:id="3" w:name="dtitle1" w:colFirst="0" w:colLast="0"/>
            <w:bookmarkEnd w:id="2"/>
            <w:r w:rsidRPr="00F60B33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F60B33" w:rsidRDefault="000A5B9A" w:rsidP="00017088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17088">
            <w:pPr>
              <w:pStyle w:val="Agendaitem"/>
            </w:pPr>
            <w:bookmarkStart w:id="5" w:name="dtitle3" w:colFirst="0" w:colLast="0"/>
            <w:bookmarkEnd w:id="4"/>
            <w:r w:rsidRPr="00AE658F">
              <w:t>Punto 9.1(9.1.6) del orden del día</w:t>
            </w:r>
          </w:p>
        </w:tc>
      </w:tr>
      <w:bookmarkEnd w:id="5"/>
    </w:tbl>
    <w:p w:rsidR="001C0E40" w:rsidRPr="006C20F8" w:rsidRDefault="00566F5A" w:rsidP="00017088"/>
    <w:p w:rsidR="006C20F8" w:rsidRPr="00211854" w:rsidRDefault="00D47A1B" w:rsidP="00017088">
      <w:r w:rsidRPr="00211854">
        <w:t>9</w:t>
      </w:r>
      <w:r w:rsidRPr="00211854">
        <w:tab/>
        <w:t>examinar y aprobar el Informe del Director de la Oficina de Radiocomunicaciones, de conformidad con el Artículo 7 del Convenio:</w:t>
      </w:r>
    </w:p>
    <w:p w:rsidR="001C0E40" w:rsidRPr="00482C06" w:rsidRDefault="00D47A1B" w:rsidP="00017088">
      <w:r w:rsidRPr="00211854">
        <w:t>9.1</w:t>
      </w:r>
      <w:r w:rsidRPr="00211854">
        <w:tab/>
        <w:t>sobre las actividades del Sector de Radiocomunicaciones desde la CMR-12;</w:t>
      </w:r>
    </w:p>
    <w:p w:rsidR="001C0E40" w:rsidRDefault="00D47A1B" w:rsidP="00017088">
      <w:r>
        <w:t xml:space="preserve">9.1(9.1.6) </w:t>
      </w:r>
      <w:r>
        <w:tab/>
      </w:r>
      <w:r w:rsidRPr="00A064AD">
        <w:t xml:space="preserve">Resolución </w:t>
      </w:r>
      <w:r w:rsidRPr="00D53641">
        <w:rPr>
          <w:b/>
          <w:bCs/>
        </w:rPr>
        <w:t>957 (CMR-12)</w:t>
      </w:r>
      <w:r w:rsidRPr="00A064AD">
        <w:t xml:space="preserve"> - Estudios para revisar las definiciones de servicio fijo, estación fija y estación móvil</w:t>
      </w:r>
    </w:p>
    <w:p w:rsidR="000B414C" w:rsidRPr="003327CA" w:rsidRDefault="000B414C" w:rsidP="00017088"/>
    <w:p w:rsidR="000B414C" w:rsidRDefault="000B414C" w:rsidP="00017088">
      <w:pPr>
        <w:pStyle w:val="Headingb"/>
        <w:rPr>
          <w:lang w:eastAsia="zh-CN"/>
        </w:rPr>
      </w:pPr>
      <w:r>
        <w:rPr>
          <w:lang w:eastAsia="zh-CN"/>
        </w:rPr>
        <w:t>Introducción</w:t>
      </w:r>
    </w:p>
    <w:p w:rsidR="000B414C" w:rsidRPr="000B414C" w:rsidRDefault="000B414C" w:rsidP="00017088">
      <w:pPr>
        <w:rPr>
          <w:lang w:eastAsia="zh-CN"/>
        </w:rPr>
      </w:pPr>
      <w:r w:rsidRPr="000B414C">
        <w:rPr>
          <w:lang w:eastAsia="zh-CN"/>
        </w:rPr>
        <w:t>considerando</w:t>
      </w:r>
      <w:r>
        <w:rPr>
          <w:lang w:eastAsia="zh-CN"/>
        </w:rPr>
        <w:t xml:space="preserve"> </w:t>
      </w:r>
      <w:r w:rsidRPr="000B414C">
        <w:rPr>
          <w:rFonts w:ascii="TimesNewRoman" w:hAnsi="TimesNewRoman" w:cs="TimesNewRoman"/>
          <w:lang w:eastAsia="zh-CN"/>
        </w:rPr>
        <w:t xml:space="preserve">que, para algunas aplicaciones, el contexto </w:t>
      </w:r>
      <w:r w:rsidR="00CE3ABD" w:rsidRPr="000B414C">
        <w:rPr>
          <w:rFonts w:ascii="TimesNewRoman" w:hAnsi="TimesNewRoman" w:cs="TimesNewRoman"/>
          <w:lang w:eastAsia="zh-CN"/>
        </w:rPr>
        <w:t>tecnológico</w:t>
      </w:r>
      <w:r w:rsidRPr="000B414C">
        <w:rPr>
          <w:rFonts w:ascii="TimesNewRoman" w:hAnsi="TimesNewRoman" w:cs="TimesNewRoman"/>
          <w:lang w:eastAsia="zh-CN"/>
        </w:rPr>
        <w:t xml:space="preserve"> actual es fundamentalmente</w:t>
      </w:r>
      <w:r>
        <w:rPr>
          <w:lang w:eastAsia="zh-CN"/>
        </w:rPr>
        <w:t xml:space="preserve"> </w:t>
      </w:r>
      <w:r w:rsidRPr="000B414C">
        <w:rPr>
          <w:rFonts w:ascii="TimesNewRoman" w:hAnsi="TimesNewRoman" w:cs="TimesNewRoman"/>
          <w:lang w:eastAsia="zh-CN"/>
        </w:rPr>
        <w:t xml:space="preserve">distinto de aquel en que se establecieron las definiciones utilizadas hoy en </w:t>
      </w:r>
      <w:r w:rsidR="00CE3ABD" w:rsidRPr="000B414C">
        <w:rPr>
          <w:rFonts w:ascii="TimesNewRoman" w:hAnsi="TimesNewRoman" w:cs="TimesNewRoman"/>
          <w:lang w:eastAsia="zh-CN"/>
        </w:rPr>
        <w:t>día</w:t>
      </w:r>
      <w:r w:rsidR="00430B85">
        <w:rPr>
          <w:rFonts w:ascii="TimesNewRoman" w:hAnsi="TimesNewRoman" w:cs="TimesNewRoman"/>
          <w:lang w:eastAsia="zh-CN"/>
        </w:rPr>
        <w:t xml:space="preserve"> y</w:t>
      </w:r>
      <w:r w:rsidR="009D50E2">
        <w:rPr>
          <w:rFonts w:ascii="TimesNewRoman" w:hAnsi="TimesNewRoman" w:cs="TimesNewRoman"/>
          <w:lang w:eastAsia="zh-CN"/>
        </w:rPr>
        <w:t xml:space="preserve"> se </w:t>
      </w:r>
      <w:r w:rsidR="00430B85">
        <w:rPr>
          <w:rFonts w:ascii="TimesNewRoman" w:hAnsi="TimesNewRoman" w:cs="TimesNewRoman"/>
          <w:lang w:eastAsia="zh-CN"/>
        </w:rPr>
        <w:t>resolvió</w:t>
      </w:r>
      <w:r w:rsidRPr="000B414C">
        <w:rPr>
          <w:rFonts w:ascii="TimesNewRoman" w:hAnsi="TimesNewRoman" w:cs="TimesNewRoman"/>
          <w:lang w:eastAsia="zh-CN"/>
        </w:rPr>
        <w:t>;</w:t>
      </w:r>
    </w:p>
    <w:p w:rsidR="000B414C" w:rsidRPr="000B414C" w:rsidRDefault="000B414C" w:rsidP="00B70F01">
      <w:pPr>
        <w:pStyle w:val="enumlev1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 w:rsidRPr="000B414C">
        <w:rPr>
          <w:lang w:eastAsia="zh-CN"/>
        </w:rPr>
        <w:t>que se examinen las definiciones de servicio fijo, estación fija y estación móvil del</w:t>
      </w:r>
      <w:r>
        <w:rPr>
          <w:lang w:eastAsia="zh-CN"/>
        </w:rPr>
        <w:t xml:space="preserve"> </w:t>
      </w:r>
      <w:r w:rsidRPr="000B414C">
        <w:rPr>
          <w:lang w:eastAsia="zh-CN"/>
        </w:rPr>
        <w:t xml:space="preserve">Artículo 1 </w:t>
      </w:r>
      <w:r w:rsidR="009D50E2">
        <w:rPr>
          <w:lang w:eastAsia="zh-CN"/>
        </w:rPr>
        <w:t xml:space="preserve">del Reglamento de Radiocomunicaciones </w:t>
      </w:r>
      <w:r w:rsidRPr="000B414C">
        <w:rPr>
          <w:lang w:eastAsia="zh-CN"/>
        </w:rPr>
        <w:t>con miras a su posible modificación;</w:t>
      </w:r>
    </w:p>
    <w:p w:rsidR="00363A65" w:rsidRDefault="000B414C" w:rsidP="00B70F01">
      <w:pPr>
        <w:pStyle w:val="enumlev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Pr="000B414C">
        <w:rPr>
          <w:lang w:eastAsia="zh-CN"/>
        </w:rPr>
        <w:t>que se estudien las posibles consecuencias para los procedimientos reglamentarios del</w:t>
      </w:r>
      <w:r>
        <w:rPr>
          <w:lang w:eastAsia="zh-CN"/>
        </w:rPr>
        <w:t xml:space="preserve"> </w:t>
      </w:r>
      <w:r w:rsidRPr="000B414C">
        <w:rPr>
          <w:lang w:eastAsia="zh-CN"/>
        </w:rPr>
        <w:t>Reglamento de Radiocomunicaciones (coordinación, notificación e inscripción) y las consecuencias</w:t>
      </w:r>
      <w:r>
        <w:rPr>
          <w:lang w:eastAsia="zh-CN"/>
        </w:rPr>
        <w:t xml:space="preserve"> </w:t>
      </w:r>
      <w:r w:rsidRPr="000B414C">
        <w:rPr>
          <w:lang w:eastAsia="zh-CN"/>
        </w:rPr>
        <w:t>para las actuales asignaciones de frecuencias y otros servicios a que dieran lugar los posibles</w:t>
      </w:r>
      <w:r>
        <w:rPr>
          <w:lang w:eastAsia="zh-CN"/>
        </w:rPr>
        <w:t xml:space="preserve"> </w:t>
      </w:r>
      <w:r w:rsidRPr="000B414C">
        <w:rPr>
          <w:lang w:eastAsia="zh-CN"/>
        </w:rPr>
        <w:t>cambios de las definiciones indicadas en el resuelve 1,</w:t>
      </w:r>
    </w:p>
    <w:p w:rsidR="000B414C" w:rsidRPr="000B414C" w:rsidRDefault="000B414C" w:rsidP="00017088">
      <w:pPr>
        <w:pStyle w:val="Headingb"/>
        <w:rPr>
          <w:lang w:eastAsia="zh-CN"/>
        </w:rPr>
      </w:pPr>
      <w:r w:rsidRPr="000B414C">
        <w:rPr>
          <w:lang w:eastAsia="zh-CN"/>
        </w:rPr>
        <w:t>Propuestas</w:t>
      </w:r>
    </w:p>
    <w:p w:rsidR="008750A8" w:rsidRDefault="008750A8" w:rsidP="0001708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B7639" w:rsidRPr="00391D5A" w:rsidRDefault="00D47A1B" w:rsidP="00566F5A">
      <w:pPr>
        <w:pStyle w:val="Proposal"/>
        <w:ind w:left="1134" w:hanging="1134"/>
      </w:pPr>
      <w:r w:rsidRPr="00391D5A">
        <w:lastRenderedPageBreak/>
        <w:tab/>
        <w:t>AGL/BOT/COD/LSO/MAU/MDG/MOZ/MWI/NMB/SEY/AFS/SWZ/TZA/ZMB/</w:t>
      </w:r>
      <w:r w:rsidR="00566F5A">
        <w:br/>
      </w:r>
      <w:r w:rsidRPr="00391D5A">
        <w:t>ZWE/130A22A6/1</w:t>
      </w:r>
    </w:p>
    <w:p w:rsidR="00285110" w:rsidRDefault="00285110" w:rsidP="00017088">
      <w:pPr>
        <w:rPr>
          <w:iCs/>
        </w:rPr>
      </w:pPr>
      <w:r w:rsidRPr="000630AC">
        <w:t xml:space="preserve">Los </w:t>
      </w:r>
      <w:r w:rsidR="009D50E2">
        <w:t>Estados Miembros de la SAC recomiendan que no se modifique e</w:t>
      </w:r>
      <w:r w:rsidRPr="000630AC">
        <w:rPr>
          <w:iCs/>
        </w:rPr>
        <w:t xml:space="preserve">l Artículo 1 del Reglamento de Radiocomunicaciones, </w:t>
      </w:r>
      <w:r w:rsidR="009D50E2">
        <w:rPr>
          <w:iCs/>
        </w:rPr>
        <w:t>habida cuenta de que las actuales</w:t>
      </w:r>
      <w:r w:rsidRPr="000630AC">
        <w:rPr>
          <w:iCs/>
        </w:rPr>
        <w:t xml:space="preserve"> definiciones </w:t>
      </w:r>
      <w:r w:rsidR="009D50E2" w:rsidRPr="000B414C">
        <w:rPr>
          <w:rFonts w:ascii="TimesNewRoman" w:hAnsi="TimesNewRoman" w:cs="TimesNewRoman"/>
          <w:lang w:eastAsia="zh-CN"/>
        </w:rPr>
        <w:t xml:space="preserve">de servicio fijo, estación fija y estación móvil </w:t>
      </w:r>
      <w:r w:rsidRPr="000630AC">
        <w:rPr>
          <w:iCs/>
        </w:rPr>
        <w:t>pueden adaptarse a la evoluci</w:t>
      </w:r>
      <w:r>
        <w:rPr>
          <w:iCs/>
        </w:rPr>
        <w:t>ón de la tecnología y que existe suficiente flexibilidad en el actual Reglamento de Radiocomunicaciones.</w:t>
      </w:r>
    </w:p>
    <w:p w:rsidR="006568BD" w:rsidRPr="009D50E2" w:rsidRDefault="009D50E2" w:rsidP="0057251C">
      <w:pPr>
        <w:rPr>
          <w:bCs/>
        </w:rPr>
      </w:pPr>
      <w:r w:rsidRPr="000630AC">
        <w:t xml:space="preserve">Los </w:t>
      </w:r>
      <w:r>
        <w:t>Estados Miembros de la SAC rec</w:t>
      </w:r>
      <w:bookmarkStart w:id="6" w:name="_GoBack"/>
      <w:bookmarkEnd w:id="6"/>
      <w:r>
        <w:t>omiendan asimismo que se suprima la Resolución</w:t>
      </w:r>
      <w:r w:rsidR="006568BD" w:rsidRPr="009D50E2">
        <w:t xml:space="preserve"> </w:t>
      </w:r>
      <w:r w:rsidR="006568BD" w:rsidRPr="009D50E2">
        <w:rPr>
          <w:bCs/>
        </w:rPr>
        <w:t>957 (</w:t>
      </w:r>
      <w:r>
        <w:rPr>
          <w:bCs/>
        </w:rPr>
        <w:t>CMR</w:t>
      </w:r>
      <w:r w:rsidR="0057251C">
        <w:rPr>
          <w:bCs/>
        </w:rPr>
        <w:noBreakHyphen/>
      </w:r>
      <w:r w:rsidR="006568BD" w:rsidRPr="009D50E2">
        <w:rPr>
          <w:bCs/>
        </w:rPr>
        <w:t>12).</w:t>
      </w:r>
    </w:p>
    <w:p w:rsidR="006568BD" w:rsidRDefault="009D50E2" w:rsidP="00017088">
      <w:pPr>
        <w:pStyle w:val="Reasons"/>
      </w:pPr>
      <w:r>
        <w:rPr>
          <w:b/>
        </w:rPr>
        <w:t>Motivos</w:t>
      </w:r>
      <w:r w:rsidR="006568BD" w:rsidRPr="00CE3ABD">
        <w:t xml:space="preserve">: </w:t>
      </w:r>
    </w:p>
    <w:p w:rsidR="008E6969" w:rsidRPr="00BF454D" w:rsidRDefault="00363C74" w:rsidP="00017088">
      <w:pPr>
        <w:pStyle w:val="Reasons"/>
        <w:rPr>
          <w:color w:val="000000"/>
          <w:spacing w:val="-2"/>
        </w:rPr>
      </w:pPr>
      <w:r>
        <w:t>A raíz del</w:t>
      </w:r>
      <w:r w:rsidR="009D50E2">
        <w:t xml:space="preserve"> análisis de los estudios realizados por </w:t>
      </w:r>
      <w:r>
        <w:t>l</w:t>
      </w:r>
      <w:r w:rsidRPr="00363C74">
        <w:t>os grupos de trabajo a cargo de los servicios de satélite y terrenales que presentaron contribuciones</w:t>
      </w:r>
      <w:r>
        <w:t xml:space="preserve">, los estados miembros de la SADC </w:t>
      </w:r>
      <w:r w:rsidR="00430B85">
        <w:t>convienen en</w:t>
      </w:r>
      <w:r>
        <w:t xml:space="preserve"> que: </w:t>
      </w:r>
    </w:p>
    <w:p w:rsidR="008E6969" w:rsidRPr="00BF454D" w:rsidRDefault="008E6969" w:rsidP="00566F5A">
      <w:pPr>
        <w:pStyle w:val="Reasons"/>
        <w:ind w:left="1134" w:hanging="1134"/>
      </w:pPr>
      <w:r w:rsidRPr="00BF454D">
        <w:rPr>
          <w:color w:val="000000"/>
        </w:rPr>
        <w:t>–</w:t>
      </w:r>
      <w:r w:rsidRPr="00BF454D">
        <w:tab/>
      </w:r>
      <w:r>
        <w:t>las propuestas de modificación de las definiciones de servicio fijo, estación fija y estación móvil se debatieron ampliamente en las dos CMR previas;</w:t>
      </w:r>
    </w:p>
    <w:p w:rsidR="008E6969" w:rsidRPr="00BF454D" w:rsidRDefault="008E6969" w:rsidP="00566F5A">
      <w:pPr>
        <w:pStyle w:val="Reasons"/>
        <w:ind w:left="1134" w:hanging="1134"/>
      </w:pPr>
      <w:r w:rsidRPr="00BF454D">
        <w:rPr>
          <w:color w:val="000000"/>
        </w:rPr>
        <w:t>–</w:t>
      </w:r>
      <w:r w:rsidRPr="00BF454D">
        <w:tab/>
      </w:r>
      <w:r>
        <w:t xml:space="preserve">dicha modificación tendría repercusiones negativas para la explotación de diversos servicios </w:t>
      </w:r>
      <w:r w:rsidR="00430B85">
        <w:t xml:space="preserve">o sistemas </w:t>
      </w:r>
      <w:r>
        <w:t>de radiocomunicaciones por satélite, puesto que dichos cambios modificarían completamente el entorno de compartición e interferencia de los servicios espaciales y dificultarían en gran medida, e incluso impedirían, el trabajo de las administraciones en el proceso de coordinación entre redes de satélites y servicios terrenales;</w:t>
      </w:r>
    </w:p>
    <w:p w:rsidR="00FB7639" w:rsidRPr="008E6969" w:rsidRDefault="008E6969" w:rsidP="00566F5A">
      <w:pPr>
        <w:pStyle w:val="Reasons"/>
        <w:ind w:left="1134" w:hanging="1134"/>
      </w:pPr>
      <w:r w:rsidRPr="00BF454D">
        <w:rPr>
          <w:color w:val="000000"/>
        </w:rPr>
        <w:t>–</w:t>
      </w:r>
      <w:r w:rsidRPr="00BF454D">
        <w:tab/>
      </w:r>
      <w:r>
        <w:t>dado que las definiciones actuales no han creado problema alguno, no es necesario realizar ningún cambio en las definiciones de servicio fijo, estación fija y estación móvil.</w:t>
      </w:r>
    </w:p>
    <w:p w:rsidR="00FB7639" w:rsidRPr="00391D5A" w:rsidRDefault="00D47A1B" w:rsidP="00566F5A">
      <w:pPr>
        <w:pStyle w:val="Proposal"/>
        <w:ind w:left="1134" w:hanging="1134"/>
      </w:pPr>
      <w:r w:rsidRPr="00391D5A">
        <w:t>SUP</w:t>
      </w:r>
      <w:r w:rsidRPr="00391D5A">
        <w:tab/>
        <w:t>AGL/BOT/COD/LSO/MAU/MDG/MOZ/MWI/NMB/SEY/AFS/SWZ/TZA/ZMB/</w:t>
      </w:r>
      <w:r w:rsidR="00566F5A">
        <w:br/>
      </w:r>
      <w:r w:rsidRPr="00391D5A">
        <w:t>ZWE/130A22A6/2</w:t>
      </w:r>
    </w:p>
    <w:p w:rsidR="009E7ADB" w:rsidRPr="00D14182" w:rsidRDefault="00D47A1B" w:rsidP="00017088">
      <w:pPr>
        <w:pStyle w:val="ResNo"/>
      </w:pPr>
      <w:bookmarkStart w:id="7" w:name="_Toc328141517"/>
      <w:r w:rsidRPr="00D14182">
        <w:t xml:space="preserve">RESOLUCIÓN </w:t>
      </w:r>
      <w:r w:rsidRPr="00D14182">
        <w:rPr>
          <w:rStyle w:val="href"/>
        </w:rPr>
        <w:t>957</w:t>
      </w:r>
      <w:r>
        <w:t xml:space="preserve"> </w:t>
      </w:r>
      <w:r w:rsidRPr="00D14182">
        <w:t>(CMR-12)</w:t>
      </w:r>
      <w:bookmarkEnd w:id="7"/>
    </w:p>
    <w:p w:rsidR="009E7ADB" w:rsidRPr="00D14182" w:rsidRDefault="00D47A1B" w:rsidP="00017088">
      <w:pPr>
        <w:pStyle w:val="Restitle"/>
        <w:rPr>
          <w:b w:val="0"/>
        </w:rPr>
      </w:pPr>
      <w:bookmarkStart w:id="8" w:name="_Toc328141518"/>
      <w:r w:rsidRPr="00D14182">
        <w:t>Estudios para revisar las definiciones de servicio fijo,</w:t>
      </w:r>
      <w:r w:rsidRPr="00D14182">
        <w:br/>
      </w:r>
      <w:r w:rsidRPr="00D14182">
        <w:rPr>
          <w:rFonts w:ascii="Times New Roman"/>
          <w:bCs/>
          <w:i/>
        </w:rPr>
        <w:t>estaci</w:t>
      </w:r>
      <w:r w:rsidRPr="00D14182">
        <w:rPr>
          <w:rFonts w:ascii="Times New Roman"/>
          <w:bCs/>
          <w:i/>
        </w:rPr>
        <w:t>ó</w:t>
      </w:r>
      <w:r w:rsidRPr="00D14182">
        <w:rPr>
          <w:rFonts w:ascii="Times New Roman"/>
          <w:bCs/>
          <w:i/>
        </w:rPr>
        <w:t xml:space="preserve">n fija </w:t>
      </w:r>
      <w:r w:rsidRPr="00D14182">
        <w:t xml:space="preserve">y </w:t>
      </w:r>
      <w:r w:rsidRPr="00D14182">
        <w:rPr>
          <w:rFonts w:ascii="Times New Roman"/>
          <w:bCs/>
          <w:i/>
          <w:iCs/>
        </w:rPr>
        <w:t>estaci</w:t>
      </w:r>
      <w:r w:rsidRPr="00D14182">
        <w:rPr>
          <w:rFonts w:ascii="Times New Roman"/>
          <w:bCs/>
          <w:i/>
          <w:iCs/>
        </w:rPr>
        <w:t>ó</w:t>
      </w:r>
      <w:r w:rsidRPr="00D14182">
        <w:rPr>
          <w:rFonts w:ascii="Times New Roman"/>
          <w:bCs/>
          <w:i/>
          <w:iCs/>
        </w:rPr>
        <w:t>n m</w:t>
      </w:r>
      <w:r w:rsidRPr="00D14182">
        <w:rPr>
          <w:rFonts w:ascii="Times New Roman"/>
          <w:bCs/>
          <w:i/>
          <w:iCs/>
        </w:rPr>
        <w:t>ó</w:t>
      </w:r>
      <w:r w:rsidRPr="00D14182">
        <w:rPr>
          <w:rFonts w:ascii="Times New Roman"/>
          <w:bCs/>
          <w:i/>
          <w:iCs/>
        </w:rPr>
        <w:t>vil</w:t>
      </w:r>
      <w:bookmarkEnd w:id="8"/>
    </w:p>
    <w:p w:rsidR="006568BD" w:rsidRDefault="006568BD" w:rsidP="00017088">
      <w:pPr>
        <w:pStyle w:val="Reasons"/>
      </w:pPr>
    </w:p>
    <w:p w:rsidR="00FB7639" w:rsidRDefault="006568BD" w:rsidP="00017088">
      <w:pPr>
        <w:jc w:val="center"/>
      </w:pPr>
      <w:r>
        <w:t>______________</w:t>
      </w:r>
    </w:p>
    <w:sectPr w:rsidR="00FB7639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219CE">
      <w:rPr>
        <w:noProof/>
        <w:lang w:val="en-US"/>
      </w:rPr>
      <w:t>P:\TRAD\S\ITU-R\CONF-R\CMR15\100\130ADD22ADD6_MONTAJE(389051)S.docx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91D5A">
      <w:rPr>
        <w:noProof/>
      </w:rPr>
      <w:t>28.10.15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219CE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B70F01" w:rsidRDefault="00B70F01" w:rsidP="00B70F01">
    <w:pPr>
      <w:pStyle w:val="Footer"/>
      <w:rPr>
        <w:lang w:val="en-US"/>
      </w:rPr>
    </w:pPr>
    <w:r>
      <w:fldChar w:fldCharType="begin"/>
    </w:r>
    <w:r w:rsidRPr="002E7BB6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P:\ESP\ITU-R\CONF-R\CMR15\100\130ADD22ADD6S.docx</w:t>
    </w:r>
    <w:r>
      <w:fldChar w:fldCharType="end"/>
    </w:r>
    <w:r>
      <w:t xml:space="preserve"> (389051)</w:t>
    </w:r>
    <w:r w:rsidRPr="002E7BB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91D5A">
      <w:t>28.10.15</w:t>
    </w:r>
    <w:r>
      <w:fldChar w:fldCharType="end"/>
    </w:r>
    <w:r w:rsidRPr="002E7BB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BB6" w:rsidRPr="00285110" w:rsidRDefault="002E7BB6" w:rsidP="008219CE">
    <w:pPr>
      <w:pStyle w:val="Footer"/>
      <w:rPr>
        <w:lang w:val="en-US"/>
      </w:rPr>
    </w:pPr>
    <w:r>
      <w:fldChar w:fldCharType="begin"/>
    </w:r>
    <w:r w:rsidRPr="002E7BB6">
      <w:rPr>
        <w:lang w:val="en-US"/>
      </w:rPr>
      <w:instrText xml:space="preserve"> FILENAME \p  \* MERGEFORMAT </w:instrText>
    </w:r>
    <w:r>
      <w:fldChar w:fldCharType="separate"/>
    </w:r>
    <w:r w:rsidR="00B70F01">
      <w:rPr>
        <w:lang w:val="en-US"/>
      </w:rPr>
      <w:t>P:\ESP\ITU-R\CONF-R\CMR15\100\130ADD22ADD6S.docx</w:t>
    </w:r>
    <w:r>
      <w:fldChar w:fldCharType="end"/>
    </w:r>
    <w:r w:rsidR="00B70F01">
      <w:t xml:space="preserve"> (389051)</w:t>
    </w:r>
    <w:r w:rsidRPr="002E7BB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91D5A">
      <w:t>28.10.15</w:t>
    </w:r>
    <w:r>
      <w:fldChar w:fldCharType="end"/>
    </w:r>
    <w:r w:rsidRPr="002E7BB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70F01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66F5A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130(Add.22)(Add.6)-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17088"/>
    <w:rsid w:val="0002785D"/>
    <w:rsid w:val="00070793"/>
    <w:rsid w:val="00087AE8"/>
    <w:rsid w:val="000A5B9A"/>
    <w:rsid w:val="000B414C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85110"/>
    <w:rsid w:val="002A791F"/>
    <w:rsid w:val="002C1B26"/>
    <w:rsid w:val="002C5D6C"/>
    <w:rsid w:val="002E701F"/>
    <w:rsid w:val="002E7BB6"/>
    <w:rsid w:val="003248A9"/>
    <w:rsid w:val="00324FFA"/>
    <w:rsid w:val="0032680B"/>
    <w:rsid w:val="00363A65"/>
    <w:rsid w:val="00363C74"/>
    <w:rsid w:val="00391D5A"/>
    <w:rsid w:val="003A0200"/>
    <w:rsid w:val="003B1E8C"/>
    <w:rsid w:val="003C2508"/>
    <w:rsid w:val="003D0AA3"/>
    <w:rsid w:val="004216C7"/>
    <w:rsid w:val="00430B85"/>
    <w:rsid w:val="00440B3A"/>
    <w:rsid w:val="0045384C"/>
    <w:rsid w:val="00454553"/>
    <w:rsid w:val="004B124A"/>
    <w:rsid w:val="005133B5"/>
    <w:rsid w:val="00532097"/>
    <w:rsid w:val="00566F5A"/>
    <w:rsid w:val="0057251C"/>
    <w:rsid w:val="0058350F"/>
    <w:rsid w:val="00583C7E"/>
    <w:rsid w:val="005D46FB"/>
    <w:rsid w:val="005F2605"/>
    <w:rsid w:val="005F3B0E"/>
    <w:rsid w:val="005F559C"/>
    <w:rsid w:val="006568BD"/>
    <w:rsid w:val="00662BA0"/>
    <w:rsid w:val="00692AAE"/>
    <w:rsid w:val="006D6E67"/>
    <w:rsid w:val="006E1A13"/>
    <w:rsid w:val="00701C20"/>
    <w:rsid w:val="00702F3D"/>
    <w:rsid w:val="0070518E"/>
    <w:rsid w:val="007354E9"/>
    <w:rsid w:val="00762324"/>
    <w:rsid w:val="00765578"/>
    <w:rsid w:val="0077084A"/>
    <w:rsid w:val="007952C7"/>
    <w:rsid w:val="007A4254"/>
    <w:rsid w:val="007C0B95"/>
    <w:rsid w:val="007C2317"/>
    <w:rsid w:val="007D330A"/>
    <w:rsid w:val="008219CE"/>
    <w:rsid w:val="00866AE6"/>
    <w:rsid w:val="008750A8"/>
    <w:rsid w:val="008C7845"/>
    <w:rsid w:val="008E5AF2"/>
    <w:rsid w:val="008E6969"/>
    <w:rsid w:val="008F4AD5"/>
    <w:rsid w:val="0090121B"/>
    <w:rsid w:val="009144C9"/>
    <w:rsid w:val="0094091F"/>
    <w:rsid w:val="00973754"/>
    <w:rsid w:val="00980A21"/>
    <w:rsid w:val="009C0BED"/>
    <w:rsid w:val="009D50E2"/>
    <w:rsid w:val="009E11EC"/>
    <w:rsid w:val="00A118DB"/>
    <w:rsid w:val="00A4450C"/>
    <w:rsid w:val="00A633B0"/>
    <w:rsid w:val="00AA5E6C"/>
    <w:rsid w:val="00AE5677"/>
    <w:rsid w:val="00AE658F"/>
    <w:rsid w:val="00AF2F78"/>
    <w:rsid w:val="00B239FA"/>
    <w:rsid w:val="00B52D55"/>
    <w:rsid w:val="00B70F01"/>
    <w:rsid w:val="00B8288C"/>
    <w:rsid w:val="00BE2E80"/>
    <w:rsid w:val="00BE5EDD"/>
    <w:rsid w:val="00BE6A1F"/>
    <w:rsid w:val="00C126C4"/>
    <w:rsid w:val="00C63EB5"/>
    <w:rsid w:val="00CC01E0"/>
    <w:rsid w:val="00CD5FEE"/>
    <w:rsid w:val="00CE3ABD"/>
    <w:rsid w:val="00CE60D2"/>
    <w:rsid w:val="00CE7431"/>
    <w:rsid w:val="00D0288A"/>
    <w:rsid w:val="00D47A1B"/>
    <w:rsid w:val="00D72A5D"/>
    <w:rsid w:val="00DC629B"/>
    <w:rsid w:val="00E05BFF"/>
    <w:rsid w:val="00E262F1"/>
    <w:rsid w:val="00E3176A"/>
    <w:rsid w:val="00E54754"/>
    <w:rsid w:val="00E56BD3"/>
    <w:rsid w:val="00E71D14"/>
    <w:rsid w:val="00F471F3"/>
    <w:rsid w:val="00F60B33"/>
    <w:rsid w:val="00F66597"/>
    <w:rsid w:val="00F675D0"/>
    <w:rsid w:val="00F8150C"/>
    <w:rsid w:val="00FB7639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57C2973A-CF0D-41D2-87CE-23FC658D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  <w:style w:type="character" w:customStyle="1" w:styleId="enumlev1Char">
    <w:name w:val="enumlev1 Char"/>
    <w:basedOn w:val="DefaultParagraphFont"/>
    <w:link w:val="enumlev1"/>
    <w:rsid w:val="008E6969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8219C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219CE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R15-WRC15-C-0130!A22-A6!MSW-S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0DA52-CFA6-4A91-A510-74FEEBB37373}">
  <ds:schemaRefs>
    <ds:schemaRef ds:uri="http://schemas.microsoft.com/office/2006/documentManagement/types"/>
    <ds:schemaRef ds:uri="http://www.w3.org/XML/1998/namespace"/>
    <ds:schemaRef ds:uri="http://purl.org/dc/elements/1.1/"/>
    <ds:schemaRef ds:uri="996b2e75-67fd-4955-a3b0-5ab9934cb50b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CD26BD0-B8A9-499F-875E-4D923D90E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456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R15-WRC15-C-0130!A22-A6!MSW-S</vt:lpstr>
    </vt:vector>
  </TitlesOfParts>
  <Manager>Secretaría General - Pool</Manager>
  <Company>Unión Internacional de Telecomunicaciones (UIT)</Company>
  <LinksUpToDate>false</LinksUpToDate>
  <CharactersWithSpaces>3434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R15-WRC15-C-0130!A22-A6!MSW-S</dc:title>
  <dc:subject>Conferencia Mundial de Radiocomunicaciones - 2015</dc:subject>
  <dc:creator>Documents Proposals Manager (DPM)</dc:creator>
  <cp:keywords>DPM_v5.2015.10.230_prod</cp:keywords>
  <dc:description/>
  <cp:lastModifiedBy>Spanish</cp:lastModifiedBy>
  <cp:revision>38</cp:revision>
  <cp:lastPrinted>2015-10-27T14:53:00Z</cp:lastPrinted>
  <dcterms:created xsi:type="dcterms:W3CDTF">2015-10-28T08:52:00Z</dcterms:created>
  <dcterms:modified xsi:type="dcterms:W3CDTF">2015-10-28T09:47:00Z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