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63"/>
        <w:gridCol w:w="3368"/>
      </w:tblGrid>
      <w:tr w:rsidR="00622560" w:rsidTr="00A06908">
        <w:trPr>
          <w:cantSplit/>
        </w:trPr>
        <w:tc>
          <w:tcPr>
            <w:tcW w:w="6663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368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51FBD32C" wp14:editId="44E11CA5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:rsidTr="00A06908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368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A06908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368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A06908">
        <w:trPr>
          <w:cantSplit/>
          <w:trHeight w:val="23"/>
        </w:trPr>
        <w:tc>
          <w:tcPr>
            <w:tcW w:w="6663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368" w:type="dxa"/>
            <w:shd w:val="clear" w:color="auto" w:fill="auto"/>
          </w:tcPr>
          <w:p w:rsidR="00622560" w:rsidRPr="00622560" w:rsidRDefault="000273B7" w:rsidP="00A06908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 w:cs="Traditional Arabic"/>
                <w:b/>
                <w:sz w:val="20"/>
              </w:rPr>
              <w:t>文件</w:t>
            </w:r>
            <w:r>
              <w:rPr>
                <w:rFonts w:ascii="Verdana" w:hAnsi="Verdana" w:cs="Traditional Arabic"/>
                <w:b/>
                <w:sz w:val="20"/>
              </w:rPr>
              <w:t xml:space="preserve"> 130</w:t>
            </w:r>
            <w:bookmarkStart w:id="4" w:name="_GoBack"/>
            <w:bookmarkEnd w:id="4"/>
            <w:r>
              <w:rPr>
                <w:rFonts w:ascii="Verdana" w:hAnsi="Verdana" w:cs="Traditional Arabic"/>
                <w:b/>
                <w:sz w:val="20"/>
              </w:rPr>
              <w:t>(Add.22)</w:t>
            </w:r>
            <w:r w:rsidR="00FD0E2B">
              <w:rPr>
                <w:rFonts w:ascii="Verdana" w:hAnsi="Verdana" w:cs="Traditional Arabic"/>
                <w:b/>
                <w:sz w:val="20"/>
              </w:rPr>
              <w:t>(Add.8)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A06908">
        <w:trPr>
          <w:cantSplit/>
          <w:trHeight w:val="23"/>
        </w:trPr>
        <w:tc>
          <w:tcPr>
            <w:tcW w:w="6663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368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16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A06908">
        <w:trPr>
          <w:cantSplit/>
          <w:trHeight w:val="23"/>
        </w:trPr>
        <w:tc>
          <w:tcPr>
            <w:tcW w:w="6663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368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  <w:rPr>
                <w:lang w:eastAsia="zh-CN"/>
              </w:rPr>
            </w:pPr>
            <w:bookmarkStart w:id="5" w:name="dsource" w:colFirst="0" w:colLast="0"/>
            <w:r w:rsidRPr="000273B7">
              <w:rPr>
                <w:lang w:eastAsia="zh-CN"/>
              </w:rPr>
              <w:t>安哥拉（共和国）</w:t>
            </w:r>
            <w:r w:rsidR="005331EE">
              <w:rPr>
                <w:rFonts w:hint="eastAsia"/>
                <w:lang w:eastAsia="zh-CN"/>
              </w:rPr>
              <w:t>、</w:t>
            </w:r>
            <w:r w:rsidRPr="000273B7">
              <w:rPr>
                <w:lang w:eastAsia="zh-CN"/>
              </w:rPr>
              <w:t>博茨瓦纳（共和国）</w:t>
            </w:r>
            <w:r w:rsidR="005331EE">
              <w:rPr>
                <w:rFonts w:hint="eastAsia"/>
                <w:lang w:eastAsia="zh-CN"/>
              </w:rPr>
              <w:t>、</w:t>
            </w:r>
            <w:r w:rsidRPr="000273B7">
              <w:rPr>
                <w:lang w:eastAsia="zh-CN"/>
              </w:rPr>
              <w:t>莱索托（王国）</w:t>
            </w:r>
            <w:r w:rsidR="005331EE">
              <w:rPr>
                <w:rFonts w:hint="eastAsia"/>
                <w:lang w:eastAsia="zh-CN"/>
              </w:rPr>
              <w:t>、</w:t>
            </w:r>
            <w:r w:rsidR="003B6913">
              <w:rPr>
                <w:lang w:eastAsia="zh-CN"/>
              </w:rPr>
              <w:br/>
            </w:r>
            <w:r w:rsidRPr="000273B7">
              <w:rPr>
                <w:lang w:eastAsia="zh-CN"/>
              </w:rPr>
              <w:t>马达加斯加（共和国）</w:t>
            </w:r>
            <w:r w:rsidR="005331EE">
              <w:rPr>
                <w:rFonts w:hint="eastAsia"/>
                <w:lang w:eastAsia="zh-CN"/>
              </w:rPr>
              <w:t>、</w:t>
            </w:r>
            <w:r w:rsidRPr="000273B7">
              <w:rPr>
                <w:lang w:eastAsia="zh-CN"/>
              </w:rPr>
              <w:t>马拉维</w:t>
            </w:r>
            <w:r w:rsidR="005331EE">
              <w:rPr>
                <w:rFonts w:hint="eastAsia"/>
                <w:lang w:eastAsia="zh-CN"/>
              </w:rPr>
              <w:t>、</w:t>
            </w:r>
            <w:r w:rsidRPr="000273B7">
              <w:rPr>
                <w:lang w:eastAsia="zh-CN"/>
              </w:rPr>
              <w:t>毛里求斯（共和国）</w:t>
            </w:r>
            <w:r w:rsidR="005331EE">
              <w:rPr>
                <w:rFonts w:hint="eastAsia"/>
                <w:lang w:eastAsia="zh-CN"/>
              </w:rPr>
              <w:t>、</w:t>
            </w:r>
            <w:r w:rsidRPr="000273B7">
              <w:rPr>
                <w:lang w:eastAsia="zh-CN"/>
              </w:rPr>
              <w:t>莫桑比克</w:t>
            </w:r>
            <w:r w:rsidR="003B6913">
              <w:rPr>
                <w:lang w:eastAsia="zh-CN"/>
              </w:rPr>
              <w:br/>
            </w:r>
            <w:r w:rsidRPr="000273B7">
              <w:rPr>
                <w:lang w:eastAsia="zh-CN"/>
              </w:rPr>
              <w:t>（共和国）</w:t>
            </w:r>
            <w:r w:rsidR="005331EE">
              <w:rPr>
                <w:rFonts w:hint="eastAsia"/>
                <w:lang w:eastAsia="zh-CN"/>
              </w:rPr>
              <w:t>、</w:t>
            </w:r>
            <w:r w:rsidRPr="000273B7">
              <w:rPr>
                <w:lang w:eastAsia="zh-CN"/>
              </w:rPr>
              <w:t>纳米比亚（共和国）</w:t>
            </w:r>
            <w:r w:rsidR="005331EE">
              <w:rPr>
                <w:rFonts w:hint="eastAsia"/>
                <w:lang w:eastAsia="zh-CN"/>
              </w:rPr>
              <w:t>、</w:t>
            </w:r>
            <w:r w:rsidRPr="000273B7">
              <w:rPr>
                <w:lang w:eastAsia="zh-CN"/>
              </w:rPr>
              <w:t>刚果民主共和国</w:t>
            </w:r>
            <w:r w:rsidR="005331EE">
              <w:rPr>
                <w:rFonts w:hint="eastAsia"/>
                <w:lang w:eastAsia="zh-CN"/>
              </w:rPr>
              <w:t>、</w:t>
            </w:r>
            <w:r w:rsidRPr="000273B7">
              <w:rPr>
                <w:lang w:eastAsia="zh-CN"/>
              </w:rPr>
              <w:t>塞舌尔（共和国）</w:t>
            </w:r>
            <w:r w:rsidR="005331EE">
              <w:rPr>
                <w:rFonts w:hint="eastAsia"/>
                <w:lang w:eastAsia="zh-CN"/>
              </w:rPr>
              <w:t>、</w:t>
            </w:r>
            <w:r w:rsidR="003B6913">
              <w:rPr>
                <w:lang w:eastAsia="zh-CN"/>
              </w:rPr>
              <w:br/>
            </w:r>
            <w:r w:rsidRPr="000273B7">
              <w:rPr>
                <w:lang w:eastAsia="zh-CN"/>
              </w:rPr>
              <w:t>南非（共和国）</w:t>
            </w:r>
            <w:r w:rsidR="005331EE">
              <w:rPr>
                <w:rFonts w:hint="eastAsia"/>
                <w:lang w:eastAsia="zh-CN"/>
              </w:rPr>
              <w:t>、</w:t>
            </w:r>
            <w:r w:rsidRPr="000273B7">
              <w:rPr>
                <w:lang w:eastAsia="zh-CN"/>
              </w:rPr>
              <w:t>斯威士兰（王国）</w:t>
            </w:r>
            <w:r w:rsidR="005331EE">
              <w:rPr>
                <w:rFonts w:hint="eastAsia"/>
                <w:lang w:eastAsia="zh-CN"/>
              </w:rPr>
              <w:t>、</w:t>
            </w:r>
            <w:r w:rsidRPr="000273B7">
              <w:rPr>
                <w:lang w:eastAsia="zh-CN"/>
              </w:rPr>
              <w:t>坦桑尼亚（联合共和国）</w:t>
            </w:r>
            <w:r w:rsidR="005331EE">
              <w:rPr>
                <w:rFonts w:hint="eastAsia"/>
                <w:lang w:eastAsia="zh-CN"/>
              </w:rPr>
              <w:t>、</w:t>
            </w:r>
            <w:r w:rsidR="003B6913">
              <w:rPr>
                <w:lang w:eastAsia="zh-CN"/>
              </w:rPr>
              <w:br/>
            </w:r>
            <w:r w:rsidRPr="000273B7">
              <w:rPr>
                <w:lang w:eastAsia="zh-CN"/>
              </w:rPr>
              <w:t>赞比亚（共和国）</w:t>
            </w:r>
            <w:r w:rsidR="005331EE">
              <w:rPr>
                <w:rFonts w:hint="eastAsia"/>
                <w:lang w:eastAsia="zh-CN"/>
              </w:rPr>
              <w:t>、</w:t>
            </w:r>
            <w:r w:rsidRPr="000273B7">
              <w:rPr>
                <w:lang w:eastAsia="zh-CN"/>
              </w:rPr>
              <w:t>津巴布韦（共和国）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FD0E2B" w:rsidP="008221A4">
            <w:pPr>
              <w:pStyle w:val="Title1"/>
              <w:rPr>
                <w:lang w:eastAsia="zh-CN"/>
              </w:rPr>
            </w:pPr>
            <w:bookmarkStart w:id="6" w:name="dtitle1" w:colFirst="0" w:colLast="0"/>
            <w:bookmarkEnd w:id="5"/>
            <w:r>
              <w:rPr>
                <w:rFonts w:hint="eastAsia"/>
                <w:lang w:eastAsia="zh-CN"/>
              </w:rPr>
              <w:t>有关</w:t>
            </w:r>
            <w:r>
              <w:rPr>
                <w:lang w:eastAsia="zh-CN"/>
              </w:rPr>
              <w:t>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  <w:rPr>
                <w:lang w:eastAsia="zh-CN"/>
              </w:rPr>
            </w:pPr>
            <w:bookmarkStart w:id="7" w:name="dtitle2" w:colFirst="0" w:colLast="0"/>
            <w:bookmarkEnd w:id="6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3B6913">
            <w:pPr>
              <w:pStyle w:val="Agendaitem"/>
            </w:pPr>
            <w:bookmarkStart w:id="8" w:name="dtitle3" w:colFirst="0" w:colLast="0"/>
            <w:bookmarkEnd w:id="7"/>
            <w:r w:rsidRPr="000273B7">
              <w:t>议项</w:t>
            </w:r>
            <w:r w:rsidRPr="000273B7">
              <w:t>9.1</w:t>
            </w:r>
            <w:r w:rsidR="003B6913">
              <w:t>(</w:t>
            </w:r>
            <w:r w:rsidRPr="000273B7">
              <w:t>9.1.8</w:t>
            </w:r>
            <w:r w:rsidR="003B6913">
              <w:t>)</w:t>
            </w:r>
          </w:p>
        </w:tc>
      </w:tr>
    </w:tbl>
    <w:bookmarkEnd w:id="8"/>
    <w:p w:rsidR="001C0E40" w:rsidRDefault="008939E7" w:rsidP="00FD0E2B">
      <w:pPr>
        <w:pStyle w:val="Normalaftertitle0"/>
        <w:rPr>
          <w:lang w:eastAsia="zh-CN"/>
        </w:rPr>
      </w:pPr>
      <w:r w:rsidRPr="009C33AA">
        <w:rPr>
          <w:lang w:eastAsia="zh-CN"/>
        </w:rPr>
        <w:t>9</w:t>
      </w:r>
      <w:r w:rsidRPr="009C33AA">
        <w:rPr>
          <w:lang w:eastAsia="zh-CN"/>
        </w:rPr>
        <w:tab/>
      </w:r>
      <w:r w:rsidRPr="009C33AA">
        <w:rPr>
          <w:rFonts w:hint="eastAsia"/>
          <w:lang w:val="zh-CN" w:eastAsia="zh-CN"/>
        </w:rPr>
        <w:t>按照《公约》第</w:t>
      </w:r>
      <w:r w:rsidRPr="009C33AA">
        <w:rPr>
          <w:lang w:eastAsia="zh-CN"/>
        </w:rPr>
        <w:t>7</w:t>
      </w:r>
      <w:r w:rsidRPr="009C33AA">
        <w:rPr>
          <w:rFonts w:hint="eastAsia"/>
          <w:lang w:val="zh-CN" w:eastAsia="zh-CN"/>
        </w:rPr>
        <w:t>条，</w:t>
      </w:r>
      <w:r w:rsidRPr="009C33AA">
        <w:rPr>
          <w:rFonts w:hint="eastAsia"/>
          <w:lang w:eastAsia="zh-CN"/>
        </w:rPr>
        <w:t>审议</w:t>
      </w:r>
      <w:r w:rsidRPr="009C33AA">
        <w:rPr>
          <w:rFonts w:hint="eastAsia"/>
          <w:lang w:val="zh-CN" w:eastAsia="zh-CN"/>
        </w:rPr>
        <w:t>并批准无线电通信局主任关于下列内容的报告：</w:t>
      </w:r>
    </w:p>
    <w:p w:rsidR="00090E12" w:rsidRPr="009C33AA" w:rsidRDefault="008939E7" w:rsidP="00090E12">
      <w:pPr>
        <w:rPr>
          <w:lang w:eastAsia="zh-CN"/>
        </w:rPr>
      </w:pPr>
      <w:r w:rsidRPr="009C33AA">
        <w:rPr>
          <w:lang w:eastAsia="zh-CN"/>
        </w:rPr>
        <w:t>9.1</w:t>
      </w:r>
      <w:r w:rsidRPr="009C33AA">
        <w:rPr>
          <w:b/>
          <w:lang w:eastAsia="zh-CN"/>
        </w:rPr>
        <w:tab/>
      </w:r>
      <w:r w:rsidRPr="009C33AA">
        <w:rPr>
          <w:rFonts w:hint="eastAsia"/>
          <w:color w:val="000000"/>
          <w:lang w:eastAsia="zh-CN"/>
        </w:rPr>
        <w:t>自</w:t>
      </w:r>
      <w:r w:rsidRPr="009C33AA">
        <w:rPr>
          <w:color w:val="000000"/>
          <w:lang w:eastAsia="zh-CN"/>
        </w:rPr>
        <w:t>WRC-12</w:t>
      </w:r>
      <w:r w:rsidRPr="009C33AA">
        <w:rPr>
          <w:rFonts w:hint="eastAsia"/>
          <w:color w:val="000000"/>
          <w:lang w:eastAsia="zh-CN"/>
        </w:rPr>
        <w:t>以来无线电通信部门的活动；</w:t>
      </w:r>
    </w:p>
    <w:p w:rsidR="008B60D0" w:rsidRPr="00676FBA" w:rsidRDefault="008939E7" w:rsidP="00FD0E2B">
      <w:pPr>
        <w:rPr>
          <w:lang w:eastAsia="zh-CN"/>
        </w:rPr>
      </w:pPr>
      <w:r w:rsidRPr="009C33AA">
        <w:rPr>
          <w:lang w:eastAsia="zh-CN"/>
        </w:rPr>
        <w:t>9.1</w:t>
      </w:r>
      <w:r>
        <w:rPr>
          <w:lang w:eastAsia="zh-CN"/>
        </w:rPr>
        <w:t>(9.1.8)</w:t>
      </w:r>
      <w:r w:rsidRPr="009C33AA">
        <w:rPr>
          <w:b/>
          <w:lang w:eastAsia="zh-CN"/>
        </w:rPr>
        <w:tab/>
      </w:r>
      <w:r>
        <w:rPr>
          <w:rFonts w:hint="eastAsia"/>
          <w:lang w:eastAsia="zh-CN"/>
        </w:rPr>
        <w:t>第</w:t>
      </w:r>
      <w:r w:rsidRPr="001D720F">
        <w:rPr>
          <w:rFonts w:hint="eastAsia"/>
          <w:b/>
          <w:bCs/>
          <w:lang w:eastAsia="zh-CN"/>
        </w:rPr>
        <w:t>757</w:t>
      </w:r>
      <w:r>
        <w:rPr>
          <w:rFonts w:hint="eastAsia"/>
          <w:lang w:eastAsia="zh-CN"/>
        </w:rPr>
        <w:t>号决议</w:t>
      </w:r>
      <w:r w:rsidRPr="001D720F">
        <w:rPr>
          <w:rFonts w:hint="eastAsia"/>
          <w:b/>
          <w:bCs/>
          <w:lang w:eastAsia="zh-CN"/>
        </w:rPr>
        <w:t>（</w:t>
      </w:r>
      <w:r w:rsidRPr="001D720F">
        <w:rPr>
          <w:rFonts w:hint="eastAsia"/>
          <w:b/>
          <w:bCs/>
          <w:lang w:eastAsia="zh-CN"/>
        </w:rPr>
        <w:t>WRC-12</w:t>
      </w:r>
      <w:r w:rsidRPr="001D720F">
        <w:rPr>
          <w:rFonts w:hint="eastAsia"/>
          <w:b/>
          <w:bCs/>
          <w:lang w:eastAsia="zh-CN"/>
        </w:rPr>
        <w:t>）</w:t>
      </w:r>
      <w:r w:rsidRPr="003B6913"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 w:rsidR="00FD0E2B">
        <w:rPr>
          <w:rFonts w:hint="eastAsia"/>
          <w:lang w:eastAsia="zh-CN"/>
        </w:rPr>
        <w:t>纳</w:t>
      </w:r>
      <w:r>
        <w:rPr>
          <w:rFonts w:hint="eastAsia"/>
          <w:lang w:eastAsia="zh-CN"/>
        </w:rPr>
        <w:t>卫星和</w:t>
      </w:r>
      <w:r w:rsidR="00FD0E2B">
        <w:rPr>
          <w:rFonts w:hint="eastAsia"/>
          <w:lang w:eastAsia="zh-CN"/>
        </w:rPr>
        <w:t>皮</w:t>
      </w:r>
      <w:r>
        <w:rPr>
          <w:rFonts w:hint="eastAsia"/>
          <w:lang w:eastAsia="zh-CN"/>
        </w:rPr>
        <w:t>卫星的规则问题</w:t>
      </w:r>
    </w:p>
    <w:p w:rsidR="00622560" w:rsidRDefault="00622560" w:rsidP="0083672D">
      <w:pPr>
        <w:rPr>
          <w:lang w:eastAsia="zh-CN"/>
        </w:rPr>
      </w:pPr>
    </w:p>
    <w:p w:rsidR="00FD0E2B" w:rsidRPr="00B857B2" w:rsidRDefault="00FD0E2B" w:rsidP="00FD0E2B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:rsidR="00FD0E2B" w:rsidRDefault="00FD0E2B" w:rsidP="003B6913">
      <w:pPr>
        <w:ind w:firstLineChars="200" w:firstLine="480"/>
        <w:rPr>
          <w:lang w:val="en-US" w:eastAsia="zh-CN"/>
        </w:rPr>
      </w:pPr>
      <w:r w:rsidRPr="00087158">
        <w:rPr>
          <w:lang w:val="en-US" w:eastAsia="zh-CN"/>
        </w:rPr>
        <w:t>WRC-12</w:t>
      </w:r>
      <w:r w:rsidR="005331EE">
        <w:rPr>
          <w:rFonts w:hint="eastAsia"/>
          <w:lang w:val="en-US" w:eastAsia="zh-CN"/>
        </w:rPr>
        <w:t>通过了第</w:t>
      </w:r>
      <w:r w:rsidRPr="00087158">
        <w:rPr>
          <w:lang w:val="en-US" w:eastAsia="zh-CN"/>
        </w:rPr>
        <w:t>757</w:t>
      </w:r>
      <w:r w:rsidR="005331EE">
        <w:rPr>
          <w:rFonts w:hint="eastAsia"/>
          <w:lang w:val="en-US" w:eastAsia="zh-CN"/>
        </w:rPr>
        <w:t>号决议（</w:t>
      </w:r>
      <w:r w:rsidRPr="00087158">
        <w:rPr>
          <w:lang w:val="en-US" w:eastAsia="zh-CN"/>
        </w:rPr>
        <w:t>WRC-12</w:t>
      </w:r>
      <w:r w:rsidR="005331EE">
        <w:rPr>
          <w:rFonts w:hint="eastAsia"/>
          <w:lang w:val="en-US" w:eastAsia="zh-CN"/>
        </w:rPr>
        <w:t>），该决议做出决议，请</w:t>
      </w:r>
      <w:r w:rsidR="005331EE">
        <w:rPr>
          <w:lang w:val="en-US" w:eastAsia="zh-CN"/>
        </w:rPr>
        <w:t>WRC-18</w:t>
      </w:r>
      <w:r w:rsidRPr="00087158">
        <w:rPr>
          <w:lang w:val="en-US" w:eastAsia="zh-CN"/>
        </w:rPr>
        <w:t>[</w:t>
      </w:r>
      <w:r w:rsidR="005331EE">
        <w:rPr>
          <w:rFonts w:hint="eastAsia"/>
          <w:lang w:val="en-US" w:eastAsia="zh-CN"/>
        </w:rPr>
        <w:t>现为</w:t>
      </w:r>
      <w:r w:rsidRPr="00087158">
        <w:rPr>
          <w:lang w:val="en-US" w:eastAsia="zh-CN"/>
        </w:rPr>
        <w:t>WRC-19]</w:t>
      </w:r>
      <w:r>
        <w:rPr>
          <w:rFonts w:hint="eastAsia"/>
          <w:lang w:val="en-US" w:eastAsia="zh-CN"/>
        </w:rPr>
        <w:t>为方便</w:t>
      </w:r>
      <w:r>
        <w:rPr>
          <w:rFonts w:hint="eastAsia"/>
          <w:lang w:eastAsia="zh-CN"/>
        </w:rPr>
        <w:t>纳卫星和皮卫星</w:t>
      </w:r>
      <w:r>
        <w:rPr>
          <w:rFonts w:hint="eastAsia"/>
          <w:lang w:val="en-US" w:eastAsia="zh-CN"/>
        </w:rPr>
        <w:t>的部署和运行，考虑是否需要修改有关通知卫星网络的规则程序，</w:t>
      </w:r>
      <w:r w:rsidR="003711A6" w:rsidRPr="003711A6">
        <w:rPr>
          <w:rFonts w:hint="eastAsia"/>
          <w:lang w:val="en-US" w:eastAsia="zh-CN"/>
        </w:rPr>
        <w:t>同时考虑到</w:t>
      </w:r>
      <w:r w:rsidR="003711A6">
        <w:rPr>
          <w:rFonts w:hint="eastAsia"/>
          <w:lang w:val="en-US" w:eastAsia="zh-CN"/>
        </w:rPr>
        <w:t>这些</w:t>
      </w:r>
      <w:r w:rsidR="003711A6" w:rsidRPr="003711A6">
        <w:rPr>
          <w:rFonts w:hint="eastAsia"/>
          <w:lang w:val="en-US" w:eastAsia="zh-CN"/>
        </w:rPr>
        <w:t>卫星开发周期短、任务周期短及其独特的轨道特性</w:t>
      </w:r>
      <w:r>
        <w:rPr>
          <w:rFonts w:hint="eastAsia"/>
          <w:lang w:val="en-US" w:eastAsia="zh-CN"/>
        </w:rPr>
        <w:t>。</w:t>
      </w:r>
    </w:p>
    <w:p w:rsidR="00FD0E2B" w:rsidRPr="00B857B2" w:rsidRDefault="005331EE" w:rsidP="003B6913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第</w:t>
      </w:r>
      <w:r w:rsidRPr="00087158">
        <w:rPr>
          <w:lang w:val="en-US" w:eastAsia="zh-CN"/>
        </w:rPr>
        <w:t>757</w:t>
      </w:r>
      <w:r>
        <w:rPr>
          <w:rFonts w:hint="eastAsia"/>
          <w:lang w:val="en-US" w:eastAsia="zh-CN"/>
        </w:rPr>
        <w:t>号决议（</w:t>
      </w:r>
      <w:r w:rsidRPr="00087158">
        <w:rPr>
          <w:lang w:val="en-US" w:eastAsia="zh-CN"/>
        </w:rPr>
        <w:t>WRC-12</w:t>
      </w:r>
      <w:r>
        <w:rPr>
          <w:rFonts w:hint="eastAsia"/>
          <w:lang w:val="en-US" w:eastAsia="zh-CN"/>
        </w:rPr>
        <w:t>）请</w:t>
      </w:r>
      <w:r w:rsidR="00FD0E2B" w:rsidRPr="00087158">
        <w:rPr>
          <w:lang w:val="en-US" w:eastAsia="zh-CN"/>
        </w:rPr>
        <w:t>ITU-R</w:t>
      </w:r>
      <w:r w:rsidR="00FD0E2B">
        <w:rPr>
          <w:rFonts w:hint="eastAsia"/>
          <w:lang w:val="en-US" w:eastAsia="zh-CN"/>
        </w:rPr>
        <w:t>为方便</w:t>
      </w:r>
      <w:r w:rsidR="003B6913">
        <w:rPr>
          <w:rFonts w:hint="eastAsia"/>
          <w:lang w:val="en-US" w:eastAsia="zh-CN"/>
        </w:rPr>
        <w:t>纳卫星和皮卫星</w:t>
      </w:r>
      <w:r w:rsidR="00FD0E2B">
        <w:rPr>
          <w:rFonts w:hint="eastAsia"/>
          <w:lang w:val="en-US" w:eastAsia="zh-CN"/>
        </w:rPr>
        <w:t>的部署和运行，审议有关通知空间网络的规则程序，并考虑对这些程序做出可能的修改，同时考虑到</w:t>
      </w:r>
      <w:r w:rsidR="003B6913">
        <w:rPr>
          <w:rFonts w:hint="eastAsia"/>
          <w:lang w:val="en-US" w:eastAsia="zh-CN"/>
        </w:rPr>
        <w:t>纳卫星和皮卫星</w:t>
      </w:r>
      <w:r w:rsidR="00FD0E2B">
        <w:rPr>
          <w:rFonts w:hint="eastAsia"/>
          <w:lang w:val="en-US" w:eastAsia="zh-CN"/>
        </w:rPr>
        <w:t>开发周期短、任务周期短及其独特的轨道特性。</w:t>
      </w:r>
      <w:r>
        <w:rPr>
          <w:rFonts w:hint="eastAsia"/>
          <w:lang w:val="en-US" w:eastAsia="zh-CN"/>
        </w:rPr>
        <w:t>决议进一步责成无线电通信局主任</w:t>
      </w:r>
      <w:r w:rsidRPr="005331EE">
        <w:rPr>
          <w:rFonts w:hint="eastAsia"/>
          <w:lang w:val="en-US" w:eastAsia="zh-CN"/>
        </w:rPr>
        <w:t>向</w:t>
      </w:r>
      <w:r w:rsidRPr="005331EE">
        <w:rPr>
          <w:rFonts w:hint="eastAsia"/>
          <w:lang w:val="en-US" w:eastAsia="zh-CN"/>
        </w:rPr>
        <w:t>WRC-15</w:t>
      </w:r>
      <w:r>
        <w:rPr>
          <w:rFonts w:hint="eastAsia"/>
          <w:lang w:val="en-US" w:eastAsia="zh-CN"/>
        </w:rPr>
        <w:t>报告这些研究结果，并做出决议，请</w:t>
      </w:r>
      <w:r>
        <w:rPr>
          <w:lang w:val="en-US" w:eastAsia="zh-CN"/>
        </w:rPr>
        <w:t>WRC-18</w:t>
      </w:r>
      <w:r w:rsidRPr="00087158">
        <w:rPr>
          <w:lang w:val="en-US" w:eastAsia="zh-CN"/>
        </w:rPr>
        <w:t>[</w:t>
      </w:r>
      <w:r>
        <w:rPr>
          <w:rFonts w:hint="eastAsia"/>
          <w:lang w:val="en-US" w:eastAsia="zh-CN"/>
        </w:rPr>
        <w:t>现为</w:t>
      </w:r>
      <w:r w:rsidRPr="00087158">
        <w:rPr>
          <w:lang w:val="en-US" w:eastAsia="zh-CN"/>
        </w:rPr>
        <w:t>WRC-19]</w:t>
      </w:r>
      <w:r w:rsidRPr="005331EE">
        <w:rPr>
          <w:rFonts w:hint="eastAsia"/>
          <w:lang w:val="en-US" w:eastAsia="zh-CN"/>
        </w:rPr>
        <w:t>考虑是否需要修改有关通知卫星网络的规则程序</w:t>
      </w:r>
      <w:r>
        <w:rPr>
          <w:rFonts w:hint="eastAsia"/>
          <w:lang w:val="en-US" w:eastAsia="zh-CN"/>
        </w:rPr>
        <w:t>。</w:t>
      </w:r>
    </w:p>
    <w:p w:rsidR="003711A6" w:rsidRDefault="008939E7" w:rsidP="003B6913">
      <w:pPr>
        <w:ind w:firstLineChars="200" w:firstLine="480"/>
        <w:rPr>
          <w:lang w:val="en-US" w:eastAsia="zh-CN"/>
        </w:rPr>
      </w:pPr>
      <w:r w:rsidRPr="008939E7">
        <w:rPr>
          <w:rFonts w:hint="eastAsia"/>
          <w:lang w:val="en-US" w:eastAsia="zh-CN"/>
        </w:rPr>
        <w:t>纳卫星和皮卫星具有一些与众不同的特性</w:t>
      </w:r>
      <w:r w:rsidR="003711A6">
        <w:rPr>
          <w:rFonts w:hint="eastAsia"/>
          <w:lang w:val="en-US" w:eastAsia="zh-CN"/>
        </w:rPr>
        <w:t>。但是，在</w:t>
      </w:r>
      <w:r w:rsidRPr="008939E7">
        <w:rPr>
          <w:rFonts w:hint="eastAsia"/>
          <w:lang w:val="en-US" w:eastAsia="zh-CN"/>
        </w:rPr>
        <w:t>考虑频谱需求和可以据以操作的业务时，</w:t>
      </w:r>
      <w:r w:rsidR="003711A6">
        <w:rPr>
          <w:rFonts w:hint="eastAsia"/>
          <w:lang w:val="en-US" w:eastAsia="zh-CN"/>
        </w:rPr>
        <w:t>这些卫星</w:t>
      </w:r>
      <w:r w:rsidRPr="008939E7">
        <w:rPr>
          <w:rFonts w:hint="eastAsia"/>
          <w:lang w:val="en-US" w:eastAsia="zh-CN"/>
        </w:rPr>
        <w:t>与传统卫星之间的差异并不那么明显。</w:t>
      </w:r>
      <w:r w:rsidR="003711A6">
        <w:rPr>
          <w:rFonts w:hint="eastAsia"/>
          <w:lang w:val="en-US" w:eastAsia="zh-CN"/>
        </w:rPr>
        <w:t>不能从频谱需求</w:t>
      </w:r>
      <w:r w:rsidR="003711A6">
        <w:rPr>
          <w:rFonts w:hint="eastAsia"/>
          <w:lang w:val="en-US" w:eastAsia="zh-CN"/>
        </w:rPr>
        <w:t>/</w:t>
      </w:r>
      <w:r w:rsidR="003711A6">
        <w:rPr>
          <w:rFonts w:hint="eastAsia"/>
          <w:lang w:val="en-US" w:eastAsia="zh-CN"/>
        </w:rPr>
        <w:t>频率协调的角度把纳卫星和皮卫星定义为单独的卫星类别，而且纳卫星和皮卫星不限于任何特定的无线电通信业务。</w:t>
      </w:r>
    </w:p>
    <w:p w:rsidR="00FD0E2B" w:rsidRPr="00B857B2" w:rsidRDefault="00FD0E2B" w:rsidP="00FD0E2B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lastRenderedPageBreak/>
        <w:t>提案</w:t>
      </w:r>
    </w:p>
    <w:p w:rsidR="003711A6" w:rsidRDefault="00FD0E2B" w:rsidP="003B6913">
      <w:pPr>
        <w:ind w:firstLineChars="200" w:firstLine="480"/>
        <w:rPr>
          <w:lang w:val="en-US" w:eastAsia="zh-CN"/>
        </w:rPr>
      </w:pPr>
      <w:r>
        <w:rPr>
          <w:lang w:val="en-US" w:eastAsia="zh-CN"/>
        </w:rPr>
        <w:t>SADC</w:t>
      </w:r>
      <w:r w:rsidR="003711A6">
        <w:rPr>
          <w:rFonts w:hint="eastAsia"/>
          <w:lang w:val="en-US" w:eastAsia="zh-CN"/>
        </w:rPr>
        <w:t>成员国支持制定适用于纳卫星和皮卫星的经简化的规则程序，同时保护其他无线电通信系统的使用。</w:t>
      </w:r>
    </w:p>
    <w:p w:rsidR="003711A6" w:rsidRDefault="003711A6" w:rsidP="003B6913">
      <w:pPr>
        <w:pStyle w:val="Reasons"/>
        <w:rPr>
          <w:lang w:val="en-US" w:eastAsia="zh-CN"/>
        </w:rPr>
      </w:pPr>
      <w:r>
        <w:rPr>
          <w:rFonts w:hint="eastAsia"/>
          <w:b/>
          <w:bCs/>
          <w:lang w:val="en-US" w:eastAsia="zh-CN"/>
        </w:rPr>
        <w:t>理由：</w:t>
      </w:r>
      <w:r>
        <w:rPr>
          <w:rFonts w:hint="eastAsia"/>
          <w:lang w:val="en-US" w:eastAsia="zh-CN"/>
        </w:rPr>
        <w:t>纳卫星和皮卫星</w:t>
      </w:r>
      <w:r w:rsidRPr="003711A6">
        <w:rPr>
          <w:rFonts w:hint="eastAsia"/>
          <w:lang w:val="en-US" w:eastAsia="zh-CN"/>
        </w:rPr>
        <w:t>开发周期短、任务周期短</w:t>
      </w:r>
      <w:r>
        <w:rPr>
          <w:rFonts w:hint="eastAsia"/>
          <w:lang w:val="en-US" w:eastAsia="zh-CN"/>
        </w:rPr>
        <w:t>的特点</w:t>
      </w:r>
      <w:r w:rsidRPr="003711A6">
        <w:rPr>
          <w:rFonts w:hint="eastAsia"/>
          <w:lang w:val="en-US" w:eastAsia="zh-CN"/>
        </w:rPr>
        <w:t>及其轨道特性</w:t>
      </w:r>
      <w:r>
        <w:rPr>
          <w:rFonts w:hint="eastAsia"/>
          <w:lang w:val="en-US" w:eastAsia="zh-CN"/>
        </w:rPr>
        <w:t>要求对《无线电规则》当前的规则条款做出修订。</w:t>
      </w:r>
    </w:p>
    <w:p w:rsidR="00FD0E2B" w:rsidRDefault="00FD0E2B" w:rsidP="003B6913">
      <w:pPr>
        <w:pStyle w:val="Reasons"/>
        <w:rPr>
          <w:lang w:val="en-US" w:eastAsia="zh-CN"/>
        </w:rPr>
      </w:pPr>
    </w:p>
    <w:p w:rsidR="00FD0E2B" w:rsidRDefault="00FD0E2B" w:rsidP="00FD0E2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center"/>
        <w:textAlignment w:val="auto"/>
        <w:rPr>
          <w:lang w:val="en-US"/>
        </w:rPr>
      </w:pPr>
      <w:r>
        <w:rPr>
          <w:lang w:val="en-US"/>
        </w:rPr>
        <w:t>_______________</w:t>
      </w:r>
    </w:p>
    <w:p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sectPr w:rsidR="00B868FC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E52" w:rsidRDefault="009C2E52">
      <w:r>
        <w:separator/>
      </w:r>
    </w:p>
  </w:endnote>
  <w:endnote w:type="continuationSeparator" w:id="0">
    <w:p w:rsidR="009C2E52" w:rsidRDefault="009C2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140B01">
      <w:rPr>
        <w:lang w:val="en-US"/>
      </w:rPr>
      <w:t>P:\CHI\ITU-R\CONF-R\CMR15\100\130ADD22ADD08C.docx</w:t>
    </w:r>
    <w:r>
      <w:fldChar w:fldCharType="end"/>
    </w:r>
    <w:r w:rsidR="00FD0E2B">
      <w:t xml:space="preserve"> (389048)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40B01">
      <w:t>29.10.15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40B01">
      <w:t>29.10.15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140B01">
      <w:rPr>
        <w:lang w:val="en-US"/>
      </w:rPr>
      <w:t>P:\CHI\ITU-R\CONF-R\CMR15\100\130ADD22ADD08C.docx</w:t>
    </w:r>
    <w:r>
      <w:fldChar w:fldCharType="end"/>
    </w:r>
    <w:r w:rsidR="00FD0E2B">
      <w:t xml:space="preserve"> (389048)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40B01">
      <w:t>29.10.15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40B01">
      <w:t>29.10.15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E52" w:rsidRDefault="009C2E52">
      <w:r>
        <w:t>____________________</w:t>
      </w:r>
    </w:p>
  </w:footnote>
  <w:footnote w:type="continuationSeparator" w:id="0">
    <w:p w:rsidR="009C2E52" w:rsidRDefault="009C2E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40B01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130(Add.22)(Add.8)-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C09BA"/>
    <w:rsid w:val="000C1F1E"/>
    <w:rsid w:val="000C6AA7"/>
    <w:rsid w:val="000E26F6"/>
    <w:rsid w:val="00123C07"/>
    <w:rsid w:val="00140B01"/>
    <w:rsid w:val="00166859"/>
    <w:rsid w:val="001765EC"/>
    <w:rsid w:val="001853E8"/>
    <w:rsid w:val="001B6360"/>
    <w:rsid w:val="001F4EA6"/>
    <w:rsid w:val="00214959"/>
    <w:rsid w:val="002260A6"/>
    <w:rsid w:val="002742B3"/>
    <w:rsid w:val="002A4C9C"/>
    <w:rsid w:val="002B509B"/>
    <w:rsid w:val="002E2A59"/>
    <w:rsid w:val="002E4507"/>
    <w:rsid w:val="00305254"/>
    <w:rsid w:val="003169D2"/>
    <w:rsid w:val="003711A6"/>
    <w:rsid w:val="003B4BEF"/>
    <w:rsid w:val="003B6913"/>
    <w:rsid w:val="003C6B45"/>
    <w:rsid w:val="0041282E"/>
    <w:rsid w:val="00437869"/>
    <w:rsid w:val="00465A34"/>
    <w:rsid w:val="004C4554"/>
    <w:rsid w:val="004D2DEC"/>
    <w:rsid w:val="004F2BE6"/>
    <w:rsid w:val="00527E8A"/>
    <w:rsid w:val="005331EE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F3C60"/>
    <w:rsid w:val="00736415"/>
    <w:rsid w:val="00770D2A"/>
    <w:rsid w:val="007864F6"/>
    <w:rsid w:val="007B7C4B"/>
    <w:rsid w:val="007F0FC5"/>
    <w:rsid w:val="007F5C36"/>
    <w:rsid w:val="008047DB"/>
    <w:rsid w:val="008129A9"/>
    <w:rsid w:val="008221A4"/>
    <w:rsid w:val="00824BD6"/>
    <w:rsid w:val="0083672D"/>
    <w:rsid w:val="00844734"/>
    <w:rsid w:val="00865DFB"/>
    <w:rsid w:val="008939E7"/>
    <w:rsid w:val="008A7416"/>
    <w:rsid w:val="008B6852"/>
    <w:rsid w:val="008C26FF"/>
    <w:rsid w:val="008D1D14"/>
    <w:rsid w:val="008E1785"/>
    <w:rsid w:val="008E7127"/>
    <w:rsid w:val="008E7C8E"/>
    <w:rsid w:val="00912959"/>
    <w:rsid w:val="009657F9"/>
    <w:rsid w:val="0099525B"/>
    <w:rsid w:val="009C2E52"/>
    <w:rsid w:val="009C72B7"/>
    <w:rsid w:val="00A0052C"/>
    <w:rsid w:val="00A06908"/>
    <w:rsid w:val="00A31B14"/>
    <w:rsid w:val="00A323DC"/>
    <w:rsid w:val="00A466E6"/>
    <w:rsid w:val="00A815BE"/>
    <w:rsid w:val="00AA5DA1"/>
    <w:rsid w:val="00AE369F"/>
    <w:rsid w:val="00B026CB"/>
    <w:rsid w:val="00B711CC"/>
    <w:rsid w:val="00B851D4"/>
    <w:rsid w:val="00B868FC"/>
    <w:rsid w:val="00B95072"/>
    <w:rsid w:val="00BB26CD"/>
    <w:rsid w:val="00BB7F4F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D52A14"/>
    <w:rsid w:val="00D6206A"/>
    <w:rsid w:val="00D74599"/>
    <w:rsid w:val="00DA0469"/>
    <w:rsid w:val="00DD13B7"/>
    <w:rsid w:val="00DF3B0C"/>
    <w:rsid w:val="00E14984"/>
    <w:rsid w:val="00E22A25"/>
    <w:rsid w:val="00E560F1"/>
    <w:rsid w:val="00E92319"/>
    <w:rsid w:val="00F837F4"/>
    <w:rsid w:val="00FC59C4"/>
    <w:rsid w:val="00FD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2D673ED-3408-4985-91D9-E284C0B81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R15-WRC15-C-0130!A22-A8!MSW-C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Props1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7BF57B-8550-4817-85FF-F10AEE5A2583}">
  <ds:schemaRefs>
    <ds:schemaRef ds:uri="32a1a8c5-2265-4ebc-b7a0-2071e2c5c9bb"/>
    <ds:schemaRef ds:uri="http://purl.org/dc/dcmitype/"/>
    <ds:schemaRef ds:uri="http://schemas.microsoft.com/office/2006/metadata/properties"/>
    <ds:schemaRef ds:uri="996b2e75-67fd-4955-a3b0-5ab9934cb50b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734</Words>
  <Characters>872</Characters>
  <Application>Microsoft Office Word</Application>
  <DocSecurity>0</DocSecurity>
  <Lines>46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R15-WRC15-C-0130!A22-A8!MSW-C</vt:lpstr>
    </vt:vector>
  </TitlesOfParts>
  <Manager>General Secretariat - Pool</Manager>
  <Company>International Telecommunication Union (ITU)</Company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R15-WRC15-C-0130!A22-A8!MSW-C</dc:title>
  <dc:subject>World Radiocommunication Conference - 2015</dc:subject>
  <dc:creator>Documents Proposals Manager (DPM)</dc:creator>
  <cp:keywords>DPM_v5.2015.10.230_prod</cp:keywords>
  <dc:description/>
  <cp:lastModifiedBy>Zheng, Bingyue</cp:lastModifiedBy>
  <cp:revision>4</cp:revision>
  <cp:lastPrinted>2015-10-29T15:36:00Z</cp:lastPrinted>
  <dcterms:created xsi:type="dcterms:W3CDTF">2015-10-29T15:35:00Z</dcterms:created>
  <dcterms:modified xsi:type="dcterms:W3CDTF">2015-10-29T15:37:00Z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