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206" w:type="dxa"/>
        <w:tblLayout w:type="fixed"/>
        <w:tblLook w:val="0000" w:firstRow="0" w:lastRow="0" w:firstColumn="0" w:lastColumn="0" w:noHBand="0" w:noVBand="0"/>
      </w:tblPr>
      <w:tblGrid>
        <w:gridCol w:w="6911"/>
        <w:gridCol w:w="3295"/>
      </w:tblGrid>
      <w:tr w:rsidR="0090121B" w:rsidRPr="0002785D" w:rsidTr="002B48D9">
        <w:trPr>
          <w:cantSplit/>
        </w:trPr>
        <w:tc>
          <w:tcPr>
            <w:tcW w:w="6911" w:type="dxa"/>
          </w:tcPr>
          <w:p w:rsidR="0090121B" w:rsidRPr="0075557F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5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, 2-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295" w:type="dxa"/>
          </w:tcPr>
          <w:p w:rsidR="0090121B" w:rsidRPr="0002785D" w:rsidRDefault="00CE7431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0D84AF2C" wp14:editId="3640E5C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2B48D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2785D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295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2B48D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95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2B48D9">
        <w:trPr>
          <w:cantSplit/>
        </w:trPr>
        <w:tc>
          <w:tcPr>
            <w:tcW w:w="6911" w:type="dxa"/>
            <w:shd w:val="clear" w:color="auto" w:fill="auto"/>
          </w:tcPr>
          <w:p w:rsidR="0090121B" w:rsidRPr="00B239FA" w:rsidRDefault="00AE658F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B239FA">
              <w:rPr>
                <w:rFonts w:ascii="Verdana" w:hAnsi="Verdana"/>
                <w:b/>
                <w:sz w:val="20"/>
                <w:lang w:val="en-US"/>
              </w:rPr>
              <w:t>SESIÓN PLENARIA</w:t>
            </w:r>
          </w:p>
        </w:tc>
        <w:tc>
          <w:tcPr>
            <w:tcW w:w="3295" w:type="dxa"/>
            <w:shd w:val="clear" w:color="auto" w:fill="auto"/>
          </w:tcPr>
          <w:p w:rsidR="0090121B" w:rsidRPr="0075557F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75557F">
              <w:rPr>
                <w:rFonts w:ascii="Verdana" w:eastAsia="SimSun" w:hAnsi="Verdana" w:cs="Traditional Arabic"/>
                <w:b/>
                <w:sz w:val="20"/>
              </w:rPr>
              <w:t>Addéndum 8 al</w:t>
            </w:r>
            <w:r w:rsidRPr="0075557F">
              <w:rPr>
                <w:rFonts w:ascii="Verdana" w:eastAsia="SimSun" w:hAnsi="Verdana" w:cs="Traditional Arabic"/>
                <w:b/>
                <w:sz w:val="20"/>
              </w:rPr>
              <w:br/>
              <w:t>Documento 130(Add.22)</w:t>
            </w:r>
            <w:r w:rsidR="0090121B" w:rsidRPr="0075557F">
              <w:rPr>
                <w:rFonts w:ascii="Verdana" w:hAnsi="Verdana"/>
                <w:b/>
                <w:sz w:val="20"/>
              </w:rPr>
              <w:t>-</w:t>
            </w:r>
            <w:r w:rsidRPr="0075557F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02785D" w:rsidTr="002B48D9">
        <w:trPr>
          <w:cantSplit/>
        </w:trPr>
        <w:tc>
          <w:tcPr>
            <w:tcW w:w="6911" w:type="dxa"/>
            <w:shd w:val="clear" w:color="auto" w:fill="auto"/>
          </w:tcPr>
          <w:p w:rsidR="000A5B9A" w:rsidRPr="0075557F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95" w:type="dxa"/>
            <w:shd w:val="clear" w:color="auto" w:fill="auto"/>
          </w:tcPr>
          <w:p w:rsidR="000A5B9A" w:rsidRPr="0002785D" w:rsidRDefault="000A5B9A" w:rsidP="00AB3CE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16 de octubre de 2015</w:t>
            </w:r>
          </w:p>
        </w:tc>
      </w:tr>
      <w:tr w:rsidR="000A5B9A" w:rsidRPr="0002785D" w:rsidTr="002B48D9">
        <w:trPr>
          <w:cantSplit/>
        </w:trPr>
        <w:tc>
          <w:tcPr>
            <w:tcW w:w="6911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95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inglés</w:t>
            </w:r>
          </w:p>
        </w:tc>
      </w:tr>
      <w:tr w:rsidR="000A5B9A" w:rsidRPr="0002785D" w:rsidTr="002B48D9">
        <w:trPr>
          <w:cantSplit/>
        </w:trPr>
        <w:tc>
          <w:tcPr>
            <w:tcW w:w="10206" w:type="dxa"/>
            <w:gridSpan w:val="2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:rsidTr="002B48D9">
        <w:trPr>
          <w:cantSplit/>
        </w:trPr>
        <w:tc>
          <w:tcPr>
            <w:tcW w:w="10206" w:type="dxa"/>
            <w:gridSpan w:val="2"/>
          </w:tcPr>
          <w:p w:rsidR="000A5B9A" w:rsidRPr="0075557F" w:rsidRDefault="000A5B9A" w:rsidP="000A5B9A">
            <w:pPr>
              <w:pStyle w:val="Source"/>
            </w:pPr>
            <w:bookmarkStart w:id="2" w:name="dsource" w:colFirst="0" w:colLast="0"/>
            <w:r w:rsidRPr="0075557F">
              <w:t>Angola (República de)/Botswana (República de)/Lesotho (Reino de)/Madagascar (República de)/Malawi/Mauricio (República de)/Mozambique (República de)/Namibia (República de)/República Democrática del Congo/Seychelles (República de)/Sudafricana (República)/Swazilandia (Reino de)/Tanzanía (República Unida de)/Zambia (República de)/Zimbabwe (República de)</w:t>
            </w:r>
          </w:p>
        </w:tc>
      </w:tr>
      <w:tr w:rsidR="000A5B9A" w:rsidRPr="0002785D" w:rsidTr="002B48D9">
        <w:trPr>
          <w:cantSplit/>
        </w:trPr>
        <w:tc>
          <w:tcPr>
            <w:tcW w:w="10206" w:type="dxa"/>
            <w:gridSpan w:val="2"/>
          </w:tcPr>
          <w:p w:rsidR="000A5B9A" w:rsidRPr="0075557F" w:rsidRDefault="00B62820" w:rsidP="000A5B9A">
            <w:pPr>
              <w:pStyle w:val="Title1"/>
            </w:pPr>
            <w:bookmarkStart w:id="3" w:name="dtitle1" w:colFirst="0" w:colLast="0"/>
            <w:bookmarkEnd w:id="2"/>
            <w:r w:rsidRPr="005756F8">
              <w:t>PROPUESTAS PARA LOS TRABAJOS DE LA CONFERENCIA</w:t>
            </w:r>
          </w:p>
        </w:tc>
      </w:tr>
      <w:tr w:rsidR="000A5B9A" w:rsidRPr="0002785D" w:rsidTr="002B48D9">
        <w:trPr>
          <w:cantSplit/>
        </w:trPr>
        <w:tc>
          <w:tcPr>
            <w:tcW w:w="10206" w:type="dxa"/>
            <w:gridSpan w:val="2"/>
          </w:tcPr>
          <w:p w:rsidR="000A5B9A" w:rsidRPr="0075557F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Tr="002B48D9">
        <w:trPr>
          <w:cantSplit/>
        </w:trPr>
        <w:tc>
          <w:tcPr>
            <w:tcW w:w="10206" w:type="dxa"/>
            <w:gridSpan w:val="2"/>
          </w:tcPr>
          <w:p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9.1(9.1.8) del orden del día</w:t>
            </w:r>
          </w:p>
        </w:tc>
      </w:tr>
    </w:tbl>
    <w:bookmarkEnd w:id="5"/>
    <w:p w:rsidR="006C20F8" w:rsidRPr="00211854" w:rsidRDefault="008C6BD2" w:rsidP="006C20F8">
      <w:r w:rsidRPr="00211854">
        <w:t>9</w:t>
      </w:r>
      <w:r w:rsidRPr="00211854">
        <w:tab/>
        <w:t xml:space="preserve">examinar y </w:t>
      </w:r>
      <w:r w:rsidRPr="00211854">
        <w:t>aprobar el Informe del Director de la Oficina de Radiocomunicaciones, de conformidad con el Artículo 7 del Convenio:</w:t>
      </w:r>
    </w:p>
    <w:p w:rsidR="001C0E40" w:rsidRPr="00482C06" w:rsidRDefault="008C6BD2" w:rsidP="00482C06">
      <w:r w:rsidRPr="00211854">
        <w:t>9.1</w:t>
      </w:r>
      <w:r w:rsidRPr="00211854">
        <w:tab/>
        <w:t>sobre las actividades del Sector de Radiocomunicaciones desde la CMR-12;</w:t>
      </w:r>
    </w:p>
    <w:p w:rsidR="001C0E40" w:rsidRDefault="008C6BD2" w:rsidP="0067784E">
      <w:r>
        <w:t>9.1</w:t>
      </w:r>
      <w:r w:rsidR="0079292C">
        <w:t xml:space="preserve"> </w:t>
      </w:r>
      <w:r>
        <w:t xml:space="preserve">(9.1.8) </w:t>
      </w:r>
      <w:r>
        <w:tab/>
      </w:r>
      <w:r w:rsidRPr="00A064AD">
        <w:t xml:space="preserve">Resolución </w:t>
      </w:r>
      <w:r w:rsidRPr="00061FA5">
        <w:rPr>
          <w:b/>
          <w:bCs/>
        </w:rPr>
        <w:t>757 (CMR-12)</w:t>
      </w:r>
      <w:r w:rsidR="00B62F86">
        <w:t xml:space="preserve"> –</w:t>
      </w:r>
      <w:r w:rsidRPr="00A064AD">
        <w:t xml:space="preserve"> Aspectos reglamentarios de los nanosatélites y los picosatélites</w:t>
      </w:r>
    </w:p>
    <w:p w:rsidR="00A4519E" w:rsidRPr="00C91F41" w:rsidRDefault="00A4519E" w:rsidP="0067784E"/>
    <w:p w:rsidR="0075557F" w:rsidRDefault="0075557F" w:rsidP="0075557F">
      <w:pPr>
        <w:pStyle w:val="Headingb"/>
      </w:pPr>
      <w:r>
        <w:t>Introducción</w:t>
      </w:r>
    </w:p>
    <w:p w:rsidR="0075557F" w:rsidRDefault="0075557F" w:rsidP="008C6BD2">
      <w:r>
        <w:t xml:space="preserve">La Conferencia Mundial de Radiocomunicaciones de 2012 </w:t>
      </w:r>
      <w:r>
        <w:rPr>
          <w:rStyle w:val="hps"/>
          <w:lang w:val="es-ES"/>
        </w:rPr>
        <w:t>adoptó la Resolución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757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(CMR-</w:t>
      </w:r>
      <w:r>
        <w:rPr>
          <w:lang w:val="es-ES"/>
        </w:rPr>
        <w:t xml:space="preserve">12), en la que se </w:t>
      </w:r>
      <w:r>
        <w:rPr>
          <w:rStyle w:val="hps"/>
          <w:lang w:val="es-ES"/>
        </w:rPr>
        <w:t>resuelve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invitar a la CMR</w:t>
      </w:r>
      <w:r>
        <w:rPr>
          <w:rStyle w:val="atn"/>
          <w:lang w:val="es-ES"/>
        </w:rPr>
        <w:t>-</w:t>
      </w:r>
      <w:r w:rsidR="000D58AD">
        <w:rPr>
          <w:lang w:val="es-ES"/>
        </w:rPr>
        <w:t>1</w:t>
      </w:r>
      <w:r w:rsidR="008C6BD2">
        <w:rPr>
          <w:lang w:val="es-ES"/>
        </w:rPr>
        <w:t>9</w:t>
      </w:r>
      <w:bookmarkStart w:id="6" w:name="_GoBack"/>
      <w:bookmarkEnd w:id="6"/>
      <w:r>
        <w:rPr>
          <w:lang w:val="es-ES"/>
        </w:rPr>
        <w:t xml:space="preserve"> (a la sazón,</w:t>
      </w:r>
      <w:r>
        <w:rPr>
          <w:rStyle w:val="hps"/>
          <w:lang w:val="es-ES"/>
        </w:rPr>
        <w:t xml:space="preserve"> CMR-</w:t>
      </w:r>
      <w:r>
        <w:rPr>
          <w:lang w:val="es-ES"/>
        </w:rPr>
        <w:t>1</w:t>
      </w:r>
      <w:r w:rsidR="008C6BD2">
        <w:rPr>
          <w:lang w:val="es-ES"/>
        </w:rPr>
        <w:t>8</w:t>
      </w:r>
      <w:r>
        <w:rPr>
          <w:lang w:val="es-ES"/>
        </w:rPr>
        <w:t>)</w:t>
      </w:r>
      <w:r w:rsidRPr="002C664C">
        <w:t xml:space="preserve"> </w:t>
      </w:r>
      <w:r w:rsidRPr="002C664C">
        <w:rPr>
          <w:lang w:val="es-ES"/>
        </w:rPr>
        <w:t>a considerar si es preciso modificar los procedimientos reglamentarios para la notificación de redes de satélites</w:t>
      </w:r>
      <w:r>
        <w:rPr>
          <w:lang w:val="es-ES"/>
        </w:rPr>
        <w:t xml:space="preserve">, a fin de </w:t>
      </w:r>
      <w:r w:rsidRPr="002C664C">
        <w:rPr>
          <w:lang w:val="es-ES"/>
        </w:rPr>
        <w:t>permitir el despliegue y explotación de los nanosatélites y los picosatélites</w:t>
      </w:r>
      <w:r>
        <w:rPr>
          <w:lang w:val="es-ES"/>
        </w:rPr>
        <w:t>,</w:t>
      </w:r>
      <w:r w:rsidRPr="002C664C">
        <w:rPr>
          <w:lang w:val="es-ES"/>
        </w:rPr>
        <w:t xml:space="preserve"> </w:t>
      </w:r>
      <w:r w:rsidRPr="002C664C">
        <w:t>habida cuenta de su breve plazo de desarrollo, la corta duración de sus misiones y sus características orbitales particulares.</w:t>
      </w:r>
    </w:p>
    <w:p w:rsidR="0075557F" w:rsidRDefault="0075557F" w:rsidP="0075557F">
      <w:r>
        <w:t xml:space="preserve">En </w:t>
      </w:r>
      <w:r>
        <w:rPr>
          <w:rStyle w:val="hps"/>
          <w:lang w:val="es-ES"/>
        </w:rPr>
        <w:t>la Resolución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757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(CMR-</w:t>
      </w:r>
      <w:r>
        <w:rPr>
          <w:lang w:val="es-ES"/>
        </w:rPr>
        <w:t xml:space="preserve">12), se invita al UIT-R a </w:t>
      </w:r>
      <w:r w:rsidRPr="002C664C">
        <w:rPr>
          <w:lang w:val="es-ES"/>
        </w:rPr>
        <w:t>examinar los procedimientos para la notificación de redes espaciales y considerar su posible modificación para permitir el despliegue y explotación de los nanosatélites y los picosatélites, habida cuenta de su breve plazo de desarrollo, la corta duración de sus misiones y sus caracte</w:t>
      </w:r>
      <w:r>
        <w:rPr>
          <w:lang w:val="es-ES"/>
        </w:rPr>
        <w:t xml:space="preserve">rísticas orbitales particulares. Asimismo, se encarga al Director de la BR </w:t>
      </w:r>
      <w:r w:rsidRPr="002C664C">
        <w:rPr>
          <w:lang w:val="es-ES"/>
        </w:rPr>
        <w:t>que informe a la CMR-15 sobre los resultados de esos estudios,</w:t>
      </w:r>
      <w:r>
        <w:rPr>
          <w:lang w:val="es-ES"/>
        </w:rPr>
        <w:t xml:space="preserve"> y se resuelve</w:t>
      </w:r>
      <w:r w:rsidRPr="002C664C">
        <w:rPr>
          <w:rStyle w:val="hps"/>
          <w:lang w:val="es-ES"/>
        </w:rPr>
        <w:t xml:space="preserve"> </w:t>
      </w:r>
      <w:r>
        <w:rPr>
          <w:rStyle w:val="hps"/>
          <w:lang w:val="es-ES"/>
        </w:rPr>
        <w:t>invitar a la CMR</w:t>
      </w:r>
      <w:r>
        <w:rPr>
          <w:rStyle w:val="atn"/>
          <w:lang w:val="es-ES"/>
        </w:rPr>
        <w:t>-</w:t>
      </w:r>
      <w:r>
        <w:rPr>
          <w:lang w:val="es-ES"/>
        </w:rPr>
        <w:t xml:space="preserve">19 (a la sazón, </w:t>
      </w:r>
      <w:r>
        <w:rPr>
          <w:rStyle w:val="hps"/>
          <w:lang w:val="es-ES"/>
        </w:rPr>
        <w:t>la CMR-</w:t>
      </w:r>
      <w:r>
        <w:rPr>
          <w:lang w:val="es-ES"/>
        </w:rPr>
        <w:t>18)</w:t>
      </w:r>
      <w:r w:rsidRPr="002C664C">
        <w:t xml:space="preserve"> </w:t>
      </w:r>
      <w:r w:rsidRPr="002C664C">
        <w:rPr>
          <w:lang w:val="es-ES"/>
        </w:rPr>
        <w:t>a</w:t>
      </w:r>
      <w:r w:rsidRPr="002C664C">
        <w:rPr>
          <w:rFonts w:ascii="GNNEO D+ Times New" w:hAnsi="GNNEO D+ Times New" w:cs="GNNEO D+ Times New"/>
          <w:color w:val="000000"/>
          <w:szCs w:val="24"/>
        </w:rPr>
        <w:t xml:space="preserve"> </w:t>
      </w:r>
      <w:r w:rsidRPr="002C664C">
        <w:t>considerar si es preciso modificar los procedimientos reglamentarios para la not</w:t>
      </w:r>
      <w:r>
        <w:t>ificación de redes de satélites.</w:t>
      </w:r>
    </w:p>
    <w:p w:rsidR="0075557F" w:rsidRPr="00284330" w:rsidRDefault="0075557F" w:rsidP="0075557F">
      <w:r>
        <w:t>S</w:t>
      </w:r>
      <w:r w:rsidRPr="002C664C">
        <w:t>i bien los</w:t>
      </w:r>
      <w:r>
        <w:t xml:space="preserve"> </w:t>
      </w:r>
      <w:r w:rsidRPr="002C664C">
        <w:t>nanosatélites y picosatélites tienen características particulares, las diferencias respecto de los</w:t>
      </w:r>
      <w:r>
        <w:t xml:space="preserve"> </w:t>
      </w:r>
      <w:r w:rsidRPr="002C664C">
        <w:t xml:space="preserve">satélites tradicionales son menores cuando se consideran sus requisitos en materia de espectro y </w:t>
      </w:r>
      <w:r w:rsidRPr="002C664C">
        <w:lastRenderedPageBreak/>
        <w:t>los</w:t>
      </w:r>
      <w:r>
        <w:t xml:space="preserve"> </w:t>
      </w:r>
      <w:r w:rsidRPr="002C664C">
        <w:t>servicios con los que pueden funcionar.</w:t>
      </w:r>
      <w:r w:rsidRPr="00284330">
        <w:t xml:space="preserve"> </w:t>
      </w:r>
      <w:r>
        <w:t>L</w:t>
      </w:r>
      <w:r w:rsidRPr="002C664C">
        <w:t>os</w:t>
      </w:r>
      <w:r>
        <w:t xml:space="preserve"> </w:t>
      </w:r>
      <w:r w:rsidRPr="002C664C">
        <w:t>nanosatélites y picosatélites</w:t>
      </w:r>
      <w:r w:rsidRPr="00284330">
        <w:t xml:space="preserve"> no </w:t>
      </w:r>
      <w:r>
        <w:t>integran</w:t>
      </w:r>
      <w:r w:rsidRPr="00284330">
        <w:t xml:space="preserve"> una </w:t>
      </w:r>
      <w:r>
        <w:t>categoría de</w:t>
      </w:r>
      <w:r w:rsidRPr="00284330">
        <w:t xml:space="preserve"> satélite</w:t>
      </w:r>
      <w:r>
        <w:t xml:space="preserve"> distinta desde el punto de vista de los </w:t>
      </w:r>
      <w:r w:rsidRPr="002C664C">
        <w:t>requisitos en materia de espectro y</w:t>
      </w:r>
      <w:r>
        <w:t>/o la coordinación de</w:t>
      </w:r>
      <w:r w:rsidRPr="00284330">
        <w:t xml:space="preserve"> frecuencias</w:t>
      </w:r>
      <w:r>
        <w:t>,</w:t>
      </w:r>
      <w:r w:rsidRPr="00284330">
        <w:t xml:space="preserve"> </w:t>
      </w:r>
      <w:r>
        <w:t>ni</w:t>
      </w:r>
      <w:r w:rsidRPr="00284330">
        <w:t xml:space="preserve"> </w:t>
      </w:r>
      <w:r>
        <w:t xml:space="preserve">están circunscritos a ningún </w:t>
      </w:r>
      <w:r w:rsidRPr="00284330">
        <w:t>s</w:t>
      </w:r>
      <w:r>
        <w:t>ervicio de radiocomunicaciones concreto.</w:t>
      </w:r>
    </w:p>
    <w:p w:rsidR="0075557F" w:rsidRPr="00284330" w:rsidRDefault="0075557F" w:rsidP="0075557F">
      <w:pPr>
        <w:pStyle w:val="Headingb"/>
      </w:pPr>
      <w:r>
        <w:t>Propuesta</w:t>
      </w:r>
    </w:p>
    <w:p w:rsidR="0075557F" w:rsidRPr="00284330" w:rsidRDefault="0075557F" w:rsidP="0075557F">
      <w:r w:rsidRPr="00284330">
        <w:t xml:space="preserve">Los Estados </w:t>
      </w:r>
      <w:r>
        <w:t>M</w:t>
      </w:r>
      <w:r w:rsidRPr="00284330">
        <w:t>iembros de la SADC</w:t>
      </w:r>
      <w:r>
        <w:t xml:space="preserve"> están a favor de la elaboración de</w:t>
      </w:r>
      <w:r w:rsidRPr="00284330">
        <w:t xml:space="preserve"> </w:t>
      </w:r>
      <w:r w:rsidRPr="002C664C">
        <w:rPr>
          <w:lang w:val="es-ES"/>
        </w:rPr>
        <w:t>procedimientos reglamentarios</w:t>
      </w:r>
      <w:r w:rsidRPr="00284330">
        <w:t xml:space="preserve"> simplificados</w:t>
      </w:r>
      <w:r>
        <w:t xml:space="preserve"> que puedan aplicarse a los </w:t>
      </w:r>
      <w:r w:rsidRPr="002C664C">
        <w:t>nanosatélites y picosatélites</w:t>
      </w:r>
      <w:r>
        <w:t xml:space="preserve"> y, al mismo tiempo, </w:t>
      </w:r>
      <w:r w:rsidRPr="00284330">
        <w:t>prote</w:t>
      </w:r>
      <w:r>
        <w:t xml:space="preserve">jan el funcionamiento de </w:t>
      </w:r>
      <w:r w:rsidRPr="00284330">
        <w:t>otros sistemas de radiocomunicaciones.</w:t>
      </w:r>
    </w:p>
    <w:p w:rsidR="00363A65" w:rsidRDefault="0075557F" w:rsidP="0075557F">
      <w:pPr>
        <w:pStyle w:val="Reasons"/>
      </w:pPr>
      <w:r>
        <w:rPr>
          <w:b/>
          <w:bCs/>
        </w:rPr>
        <w:t>Motivo</w:t>
      </w:r>
      <w:r w:rsidRPr="00284330">
        <w:rPr>
          <w:b/>
          <w:bCs/>
        </w:rPr>
        <w:t>s:</w:t>
      </w:r>
      <w:r w:rsidRPr="00284330">
        <w:t xml:space="preserve"> El </w:t>
      </w:r>
      <w:r w:rsidRPr="002C664C">
        <w:rPr>
          <w:lang w:val="es-ES"/>
        </w:rPr>
        <w:t>breve plazo de desarrollo, la corta dura</w:t>
      </w:r>
      <w:r>
        <w:rPr>
          <w:lang w:val="es-ES"/>
        </w:rPr>
        <w:t>ción de las</w:t>
      </w:r>
      <w:r w:rsidRPr="002C664C">
        <w:rPr>
          <w:lang w:val="es-ES"/>
        </w:rPr>
        <w:t xml:space="preserve"> misiones y</w:t>
      </w:r>
      <w:r>
        <w:rPr>
          <w:lang w:val="es-ES"/>
        </w:rPr>
        <w:t xml:space="preserve"> la</w:t>
      </w:r>
      <w:r w:rsidRPr="002C664C">
        <w:rPr>
          <w:lang w:val="es-ES"/>
        </w:rPr>
        <w:t>s caracte</w:t>
      </w:r>
      <w:r>
        <w:rPr>
          <w:lang w:val="es-ES"/>
        </w:rPr>
        <w:t>rísticas orbitales particulares</w:t>
      </w:r>
      <w:r w:rsidRPr="00284330">
        <w:t xml:space="preserve"> de</w:t>
      </w:r>
      <w:r w:rsidRPr="00534261">
        <w:t xml:space="preserve"> </w:t>
      </w:r>
      <w:r>
        <w:t xml:space="preserve">los </w:t>
      </w:r>
      <w:r w:rsidRPr="002C664C">
        <w:t>nanosatélites y picosatélites</w:t>
      </w:r>
      <w:r>
        <w:t xml:space="preserve"> </w:t>
      </w:r>
      <w:r w:rsidRPr="00284330">
        <w:t>requieren una revisión de las vigentes disposiciones reglamentarias</w:t>
      </w:r>
      <w:r>
        <w:t xml:space="preserve"> que figuran en</w:t>
      </w:r>
      <w:r w:rsidRPr="00284330">
        <w:t xml:space="preserve"> el Reglamento de Radiocomunicaciones.</w:t>
      </w:r>
    </w:p>
    <w:p w:rsidR="0075557F" w:rsidRDefault="0075557F" w:rsidP="0032202E">
      <w:pPr>
        <w:pStyle w:val="Reasons"/>
      </w:pPr>
    </w:p>
    <w:p w:rsidR="0075557F" w:rsidRDefault="0075557F">
      <w:pPr>
        <w:jc w:val="center"/>
      </w:pPr>
      <w:r>
        <w:t>______________</w:t>
      </w:r>
    </w:p>
    <w:p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sectPr w:rsidR="008750A8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NNEO D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AB3CE0" w:rsidRDefault="0077084A">
    <w:pPr>
      <w:ind w:right="360"/>
    </w:pPr>
    <w:r>
      <w:fldChar w:fldCharType="begin"/>
    </w:r>
    <w:r w:rsidRPr="00AB3CE0">
      <w:instrText xml:space="preserve"> FILENAME \p  \* MERGEFORMAT </w:instrText>
    </w:r>
    <w:r>
      <w:fldChar w:fldCharType="separate"/>
    </w:r>
    <w:r w:rsidR="00AB3CE0">
      <w:rPr>
        <w:noProof/>
      </w:rPr>
      <w:t>P:\ESP\ITU-R\CONF-R\CMR15\100\130ADD22ADD08S.docx</w:t>
    </w:r>
    <w:r>
      <w:fldChar w:fldCharType="end"/>
    </w:r>
    <w:r w:rsidRPr="00AB3CE0">
      <w:tab/>
    </w:r>
    <w:r>
      <w:fldChar w:fldCharType="begin"/>
    </w:r>
    <w:r>
      <w:instrText xml:space="preserve"> SAVEDATE \@ DD.MM.YY </w:instrText>
    </w:r>
    <w:r>
      <w:fldChar w:fldCharType="separate"/>
    </w:r>
    <w:r w:rsidR="00AB3CE0">
      <w:rPr>
        <w:noProof/>
      </w:rPr>
      <w:t>29.10.15</w:t>
    </w:r>
    <w:r>
      <w:fldChar w:fldCharType="end"/>
    </w:r>
    <w:r w:rsidRPr="00AB3CE0">
      <w:tab/>
    </w:r>
    <w:r>
      <w:fldChar w:fldCharType="begin"/>
    </w:r>
    <w:r>
      <w:instrText xml:space="preserve"> PRINTDATE \@ DD.MM.YY </w:instrText>
    </w:r>
    <w:r>
      <w:fldChar w:fldCharType="separate"/>
    </w:r>
    <w:r w:rsidR="00AB3CE0">
      <w:rPr>
        <w:noProof/>
      </w:rPr>
      <w:t>29.10.15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D" w:rsidRDefault="002E377D" w:rsidP="002E377D">
    <w:pPr>
      <w:pStyle w:val="Footer"/>
    </w:pPr>
    <w:r>
      <w:rPr>
        <w:noProof w:val="0"/>
        <w:sz w:val="24"/>
      </w:rPr>
      <w:fldChar w:fldCharType="begin"/>
    </w:r>
    <w:r>
      <w:instrText xml:space="preserve"> FILENAME \p  \* MERGEFORMAT </w:instrText>
    </w:r>
    <w:r>
      <w:rPr>
        <w:noProof w:val="0"/>
        <w:sz w:val="24"/>
      </w:rPr>
      <w:fldChar w:fldCharType="separate"/>
    </w:r>
    <w:r w:rsidR="00AB3CE0">
      <w:t>P:\ESP\ITU-R\CONF-R\CMR15\100\130ADD22ADD08S.docx</w:t>
    </w:r>
    <w:r>
      <w:fldChar w:fldCharType="end"/>
    </w:r>
    <w:r>
      <w:t xml:space="preserve"> (389048)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AB3CE0">
      <w:t>29.10.15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AB3CE0">
      <w:t>29.10.15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D" w:rsidRDefault="002E377D">
    <w:pPr>
      <w:pStyle w:val="Footer"/>
    </w:pPr>
    <w:fldSimple w:instr=" FILENAME \p  \* MERGEFORMAT ">
      <w:r w:rsidR="00AB3CE0">
        <w:t>P:\ESP\ITU-R\CONF-R\CMR15\100\130ADD22ADD08S.docx</w:t>
      </w:r>
    </w:fldSimple>
    <w:r>
      <w:t xml:space="preserve"> (389048)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AB3CE0">
      <w:t>29.10.15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AB3CE0">
      <w:t>29.10.15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3CE0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130(Add.22)(Add.8)-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D58AD"/>
    <w:rsid w:val="000E5BF9"/>
    <w:rsid w:val="000F0E6D"/>
    <w:rsid w:val="00121170"/>
    <w:rsid w:val="00123CC5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A791F"/>
    <w:rsid w:val="002B48D9"/>
    <w:rsid w:val="002C1B26"/>
    <w:rsid w:val="002C5D6C"/>
    <w:rsid w:val="002E377D"/>
    <w:rsid w:val="002E701F"/>
    <w:rsid w:val="003248A9"/>
    <w:rsid w:val="00324FFA"/>
    <w:rsid w:val="0032680B"/>
    <w:rsid w:val="00363A65"/>
    <w:rsid w:val="003B1E8C"/>
    <w:rsid w:val="003C2508"/>
    <w:rsid w:val="003D0AA3"/>
    <w:rsid w:val="00440B3A"/>
    <w:rsid w:val="0045384C"/>
    <w:rsid w:val="00454553"/>
    <w:rsid w:val="004B124A"/>
    <w:rsid w:val="004C0254"/>
    <w:rsid w:val="005133B5"/>
    <w:rsid w:val="00532097"/>
    <w:rsid w:val="0058350F"/>
    <w:rsid w:val="00583C7E"/>
    <w:rsid w:val="005D46FB"/>
    <w:rsid w:val="005F2605"/>
    <w:rsid w:val="005F3B0E"/>
    <w:rsid w:val="005F559C"/>
    <w:rsid w:val="00662BA0"/>
    <w:rsid w:val="00692AAE"/>
    <w:rsid w:val="006D6E67"/>
    <w:rsid w:val="006E1A13"/>
    <w:rsid w:val="00701C20"/>
    <w:rsid w:val="00702F3D"/>
    <w:rsid w:val="0070518E"/>
    <w:rsid w:val="007354E9"/>
    <w:rsid w:val="0075557F"/>
    <w:rsid w:val="00765578"/>
    <w:rsid w:val="0077084A"/>
    <w:rsid w:val="0079292C"/>
    <w:rsid w:val="007952C7"/>
    <w:rsid w:val="007C0B95"/>
    <w:rsid w:val="007C2317"/>
    <w:rsid w:val="007D330A"/>
    <w:rsid w:val="00866AE6"/>
    <w:rsid w:val="008750A8"/>
    <w:rsid w:val="008C6BD2"/>
    <w:rsid w:val="008E5AF2"/>
    <w:rsid w:val="0090121B"/>
    <w:rsid w:val="009144C9"/>
    <w:rsid w:val="0094091F"/>
    <w:rsid w:val="00973754"/>
    <w:rsid w:val="009C0BED"/>
    <w:rsid w:val="009E11EC"/>
    <w:rsid w:val="00A118DB"/>
    <w:rsid w:val="00A4450C"/>
    <w:rsid w:val="00A4519E"/>
    <w:rsid w:val="00AA5E6C"/>
    <w:rsid w:val="00AB3CE0"/>
    <w:rsid w:val="00AE5677"/>
    <w:rsid w:val="00AE658F"/>
    <w:rsid w:val="00AF2F78"/>
    <w:rsid w:val="00AF5D7E"/>
    <w:rsid w:val="00B239FA"/>
    <w:rsid w:val="00B52D55"/>
    <w:rsid w:val="00B62820"/>
    <w:rsid w:val="00B62F86"/>
    <w:rsid w:val="00B8288C"/>
    <w:rsid w:val="00BE2E80"/>
    <w:rsid w:val="00BE5EDD"/>
    <w:rsid w:val="00BE6A1F"/>
    <w:rsid w:val="00C126C4"/>
    <w:rsid w:val="00C63EB5"/>
    <w:rsid w:val="00CC01E0"/>
    <w:rsid w:val="00CD5FEE"/>
    <w:rsid w:val="00CE60D2"/>
    <w:rsid w:val="00CE7431"/>
    <w:rsid w:val="00D0288A"/>
    <w:rsid w:val="00D72A5D"/>
    <w:rsid w:val="00DC629B"/>
    <w:rsid w:val="00E05BFF"/>
    <w:rsid w:val="00E262F1"/>
    <w:rsid w:val="00E3176A"/>
    <w:rsid w:val="00E54754"/>
    <w:rsid w:val="00E56BD3"/>
    <w:rsid w:val="00E71D14"/>
    <w:rsid w:val="00E72F40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73002D1-D73B-4371-9462-315D7023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ps">
    <w:name w:val="hps"/>
    <w:basedOn w:val="DefaultParagraphFont"/>
    <w:rsid w:val="0075557F"/>
  </w:style>
  <w:style w:type="character" w:customStyle="1" w:styleId="atn">
    <w:name w:val="atn"/>
    <w:basedOn w:val="DefaultParagraphFont"/>
    <w:rsid w:val="0075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R15-WRC15-C-0130!A22-A8!MSW-S</DPM_x0020_File_x0020_name>
    <DPM_x0020_Author xmlns="32a1a8c5-2265-4ebc-b7a0-2071e2c5c9bb" xsi:nil="false">Documents Proposals Manager (DPM)</DPM_x0020_Author>
    <DPM_x0020_Version xmlns="32a1a8c5-2265-4ebc-b7a0-2071e2c5c9bb" xsi:nil="false">DPM_v5.2015.10.8_prod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DC23-D431-4305-88DF-66C23882ABC8}">
  <ds:schemaRefs>
    <ds:schemaRef ds:uri="http://www.w3.org/XML/1998/namespace"/>
    <ds:schemaRef ds:uri="32a1a8c5-2265-4ebc-b7a0-2071e2c5c9bb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A91042-97F2-4010-B9B2-7A7F350B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R15-WRC15-C-0130!A22-A8!MSW-S</vt:lpstr>
    </vt:vector>
  </TitlesOfParts>
  <Manager>Secretaría General - Pool</Manager>
  <Company>Unión Internacional de Telecomunicaciones (UIT)</Company>
  <LinksUpToDate>false</LinksUpToDate>
  <CharactersWithSpaces>3192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R15-WRC15-C-0130!A22-A8!MSW-S</dc:title>
  <dc:subject>Conferencia Mundial de Radiocomunicaciones - 2015</dc:subject>
  <dc:creator>Documents Proposals Manager (DPM)</dc:creator>
  <cp:keywords>DPM_v5.2015.10.8_prod</cp:keywords>
  <dc:description/>
  <cp:lastModifiedBy>Spanish</cp:lastModifiedBy>
  <cp:revision>13</cp:revision>
  <cp:lastPrinted>2015-10-29T08:28:00Z</cp:lastPrinted>
  <dcterms:created xsi:type="dcterms:W3CDTF">2015-10-29T08:24:00Z</dcterms:created>
  <dcterms:modified xsi:type="dcterms:W3CDTF">2015-10-29T09:21:00Z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