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93D8C">
        <w:trPr>
          <w:cantSplit/>
        </w:trPr>
        <w:tc>
          <w:tcPr>
            <w:tcW w:w="6911" w:type="dxa"/>
          </w:tcPr>
          <w:p w:rsidR="00A066F1" w:rsidRPr="00E93D8C" w:rsidRDefault="00241FA2" w:rsidP="003B2284">
            <w:pPr>
              <w:spacing w:before="400" w:after="48" w:line="240" w:lineRule="atLeast"/>
              <w:rPr>
                <w:rFonts w:ascii="Verdana" w:hAnsi="Verdana"/>
                <w:position w:val="6"/>
              </w:rPr>
            </w:pPr>
            <w:r w:rsidRPr="00E93D8C">
              <w:rPr>
                <w:rFonts w:ascii="Verdana" w:hAnsi="Verdana" w:cs="Times"/>
                <w:b/>
                <w:position w:val="6"/>
                <w:sz w:val="22"/>
                <w:szCs w:val="22"/>
              </w:rPr>
              <w:t>World Radiocommunication Conference (WRC-15)</w:t>
            </w:r>
            <w:r w:rsidRPr="00E93D8C">
              <w:rPr>
                <w:rFonts w:ascii="Verdana" w:hAnsi="Verdana" w:cs="Times"/>
                <w:b/>
                <w:position w:val="6"/>
                <w:sz w:val="26"/>
                <w:szCs w:val="26"/>
              </w:rPr>
              <w:br/>
            </w:r>
            <w:r w:rsidRPr="00E93D8C">
              <w:rPr>
                <w:rFonts w:ascii="Verdana" w:hAnsi="Verdana"/>
                <w:b/>
                <w:bCs/>
                <w:position w:val="6"/>
                <w:sz w:val="18"/>
                <w:szCs w:val="18"/>
              </w:rPr>
              <w:t>Geneva, 2–27 November 2015</w:t>
            </w:r>
          </w:p>
        </w:tc>
        <w:tc>
          <w:tcPr>
            <w:tcW w:w="3120" w:type="dxa"/>
          </w:tcPr>
          <w:p w:rsidR="00A066F1" w:rsidRPr="00E93D8C" w:rsidRDefault="003B2284" w:rsidP="003B2284">
            <w:pPr>
              <w:spacing w:before="0" w:line="240" w:lineRule="atLeast"/>
              <w:jc w:val="right"/>
            </w:pPr>
            <w:bookmarkStart w:id="0" w:name="ditulogo"/>
            <w:bookmarkEnd w:id="0"/>
            <w:r w:rsidRPr="00E93D8C">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E93D8C">
        <w:trPr>
          <w:cantSplit/>
        </w:trPr>
        <w:tc>
          <w:tcPr>
            <w:tcW w:w="6911" w:type="dxa"/>
            <w:tcBorders>
              <w:bottom w:val="single" w:sz="12" w:space="0" w:color="auto"/>
            </w:tcBorders>
          </w:tcPr>
          <w:p w:rsidR="00A066F1" w:rsidRPr="00E93D8C" w:rsidRDefault="003B2284" w:rsidP="00A066F1">
            <w:pPr>
              <w:spacing w:before="0" w:after="48" w:line="240" w:lineRule="atLeast"/>
              <w:rPr>
                <w:rFonts w:ascii="Verdana" w:hAnsi="Verdana"/>
                <w:b/>
                <w:smallCaps/>
                <w:sz w:val="20"/>
              </w:rPr>
            </w:pPr>
            <w:bookmarkStart w:id="1" w:name="dhead"/>
            <w:r w:rsidRPr="00E93D8C">
              <w:rPr>
                <w:rFonts w:ascii="Verdana" w:hAnsi="Verdana"/>
                <w:b/>
                <w:smallCaps/>
                <w:sz w:val="20"/>
              </w:rPr>
              <w:t>INTERNATIONAL TELECOMMUNICATION UNION</w:t>
            </w:r>
          </w:p>
        </w:tc>
        <w:tc>
          <w:tcPr>
            <w:tcW w:w="3120" w:type="dxa"/>
            <w:tcBorders>
              <w:bottom w:val="single" w:sz="12" w:space="0" w:color="auto"/>
            </w:tcBorders>
          </w:tcPr>
          <w:p w:rsidR="00A066F1" w:rsidRPr="00E93D8C" w:rsidRDefault="00A066F1" w:rsidP="00A066F1">
            <w:pPr>
              <w:spacing w:before="0" w:line="240" w:lineRule="atLeast"/>
              <w:rPr>
                <w:rFonts w:ascii="Verdana" w:hAnsi="Verdana"/>
                <w:szCs w:val="24"/>
              </w:rPr>
            </w:pPr>
          </w:p>
        </w:tc>
      </w:tr>
      <w:tr w:rsidR="00A066F1" w:rsidRPr="00E93D8C">
        <w:trPr>
          <w:cantSplit/>
        </w:trPr>
        <w:tc>
          <w:tcPr>
            <w:tcW w:w="6911" w:type="dxa"/>
            <w:tcBorders>
              <w:top w:val="single" w:sz="12" w:space="0" w:color="auto"/>
            </w:tcBorders>
          </w:tcPr>
          <w:p w:rsidR="00A066F1" w:rsidRPr="00E93D8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E93D8C" w:rsidRDefault="00A066F1" w:rsidP="00A066F1">
            <w:pPr>
              <w:spacing w:before="0" w:line="240" w:lineRule="atLeast"/>
              <w:rPr>
                <w:rFonts w:ascii="Verdana" w:hAnsi="Verdana"/>
                <w:sz w:val="20"/>
              </w:rPr>
            </w:pPr>
          </w:p>
        </w:tc>
      </w:tr>
      <w:tr w:rsidR="00A066F1" w:rsidRPr="00E93D8C">
        <w:trPr>
          <w:cantSplit/>
          <w:trHeight w:val="23"/>
        </w:trPr>
        <w:tc>
          <w:tcPr>
            <w:tcW w:w="6911" w:type="dxa"/>
            <w:shd w:val="clear" w:color="auto" w:fill="auto"/>
          </w:tcPr>
          <w:p w:rsidR="00A066F1" w:rsidRPr="00E93D8C"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E93D8C">
              <w:rPr>
                <w:rFonts w:ascii="Verdana" w:hAnsi="Verdana"/>
                <w:sz w:val="20"/>
                <w:szCs w:val="20"/>
              </w:rPr>
              <w:t>PLENARY MEETING</w:t>
            </w:r>
          </w:p>
        </w:tc>
        <w:tc>
          <w:tcPr>
            <w:tcW w:w="3120" w:type="dxa"/>
            <w:shd w:val="clear" w:color="auto" w:fill="auto"/>
          </w:tcPr>
          <w:p w:rsidR="00A066F1" w:rsidRPr="00E93D8C" w:rsidRDefault="00E55816" w:rsidP="00AA666F">
            <w:pPr>
              <w:tabs>
                <w:tab w:val="left" w:pos="851"/>
              </w:tabs>
              <w:spacing w:before="0" w:line="240" w:lineRule="atLeast"/>
              <w:rPr>
                <w:rFonts w:ascii="Verdana" w:hAnsi="Verdana"/>
                <w:sz w:val="20"/>
              </w:rPr>
            </w:pPr>
            <w:r w:rsidRPr="00E93D8C">
              <w:rPr>
                <w:rFonts w:ascii="Verdana" w:eastAsia="SimSun" w:hAnsi="Verdana" w:cs="Traditional Arabic"/>
                <w:b/>
                <w:sz w:val="20"/>
              </w:rPr>
              <w:t>Addendum 2 to</w:t>
            </w:r>
            <w:r w:rsidRPr="00E93D8C">
              <w:rPr>
                <w:rFonts w:ascii="Verdana" w:eastAsia="SimSun" w:hAnsi="Verdana" w:cs="Traditional Arabic"/>
                <w:b/>
                <w:sz w:val="20"/>
              </w:rPr>
              <w:br/>
              <w:t>Document 130(Add.25)</w:t>
            </w:r>
            <w:r w:rsidR="00A066F1" w:rsidRPr="00E93D8C">
              <w:rPr>
                <w:rFonts w:ascii="Verdana" w:hAnsi="Verdana"/>
                <w:b/>
                <w:sz w:val="20"/>
              </w:rPr>
              <w:t>-</w:t>
            </w:r>
            <w:r w:rsidR="005E10C9" w:rsidRPr="00E93D8C">
              <w:rPr>
                <w:rFonts w:ascii="Verdana" w:hAnsi="Verdana"/>
                <w:b/>
                <w:sz w:val="20"/>
              </w:rPr>
              <w:t>E</w:t>
            </w:r>
          </w:p>
        </w:tc>
      </w:tr>
      <w:tr w:rsidR="00A066F1" w:rsidRPr="00E93D8C">
        <w:trPr>
          <w:cantSplit/>
          <w:trHeight w:val="23"/>
        </w:trPr>
        <w:tc>
          <w:tcPr>
            <w:tcW w:w="6911" w:type="dxa"/>
            <w:shd w:val="clear" w:color="auto" w:fill="auto"/>
          </w:tcPr>
          <w:p w:rsidR="00A066F1" w:rsidRPr="00E93D8C"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E93D8C" w:rsidRDefault="00420873" w:rsidP="00A066F1">
            <w:pPr>
              <w:tabs>
                <w:tab w:val="left" w:pos="993"/>
              </w:tabs>
              <w:spacing w:before="0"/>
              <w:rPr>
                <w:rFonts w:ascii="Verdana" w:hAnsi="Verdana"/>
                <w:sz w:val="20"/>
              </w:rPr>
            </w:pPr>
            <w:r w:rsidRPr="00E93D8C">
              <w:rPr>
                <w:rFonts w:ascii="Verdana" w:hAnsi="Verdana"/>
                <w:b/>
                <w:sz w:val="20"/>
              </w:rPr>
              <w:t>19 October 2015</w:t>
            </w:r>
          </w:p>
        </w:tc>
      </w:tr>
      <w:tr w:rsidR="00A066F1" w:rsidRPr="00E93D8C">
        <w:trPr>
          <w:cantSplit/>
          <w:trHeight w:val="23"/>
        </w:trPr>
        <w:tc>
          <w:tcPr>
            <w:tcW w:w="6911" w:type="dxa"/>
            <w:shd w:val="clear" w:color="auto" w:fill="auto"/>
          </w:tcPr>
          <w:p w:rsidR="00A066F1" w:rsidRPr="00E93D8C"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E93D8C" w:rsidRDefault="00E55816" w:rsidP="00A066F1">
            <w:pPr>
              <w:tabs>
                <w:tab w:val="left" w:pos="993"/>
              </w:tabs>
              <w:spacing w:before="0"/>
              <w:rPr>
                <w:rFonts w:ascii="Verdana" w:hAnsi="Verdana"/>
                <w:b/>
                <w:sz w:val="20"/>
              </w:rPr>
            </w:pPr>
            <w:r w:rsidRPr="00E93D8C">
              <w:rPr>
                <w:rFonts w:ascii="Verdana" w:hAnsi="Verdana"/>
                <w:b/>
                <w:sz w:val="20"/>
              </w:rPr>
              <w:t>Original: English</w:t>
            </w:r>
          </w:p>
        </w:tc>
      </w:tr>
      <w:tr w:rsidR="00A066F1" w:rsidRPr="00E93D8C" w:rsidTr="00025864">
        <w:trPr>
          <w:cantSplit/>
          <w:trHeight w:val="23"/>
        </w:trPr>
        <w:tc>
          <w:tcPr>
            <w:tcW w:w="10031" w:type="dxa"/>
            <w:gridSpan w:val="2"/>
            <w:shd w:val="clear" w:color="auto" w:fill="auto"/>
          </w:tcPr>
          <w:p w:rsidR="00A066F1" w:rsidRPr="00E93D8C" w:rsidRDefault="00A066F1" w:rsidP="00A066F1">
            <w:pPr>
              <w:tabs>
                <w:tab w:val="left" w:pos="993"/>
              </w:tabs>
              <w:spacing w:before="0"/>
              <w:rPr>
                <w:rFonts w:ascii="Verdana" w:hAnsi="Verdana"/>
                <w:b/>
                <w:sz w:val="20"/>
              </w:rPr>
            </w:pPr>
          </w:p>
        </w:tc>
      </w:tr>
      <w:tr w:rsidR="00E55816" w:rsidRPr="00E93D8C" w:rsidTr="00025864">
        <w:trPr>
          <w:cantSplit/>
          <w:trHeight w:val="23"/>
        </w:trPr>
        <w:tc>
          <w:tcPr>
            <w:tcW w:w="10031" w:type="dxa"/>
            <w:gridSpan w:val="2"/>
            <w:shd w:val="clear" w:color="auto" w:fill="auto"/>
          </w:tcPr>
          <w:p w:rsidR="00E55816" w:rsidRPr="00E93D8C" w:rsidRDefault="00637452" w:rsidP="00800976">
            <w:pPr>
              <w:pStyle w:val="Source"/>
            </w:pPr>
            <w:r>
              <w:t>Angola (Republic of)/Botswana (Republic of)/Lesotho (Kingdom of)/Madagascar (Republic of)/Malawi/Mauritius (Republic of)/Mozambique (Republic of)/</w:t>
            </w:r>
            <w:r>
              <w:br/>
            </w:r>
            <w:r>
              <w:t>Namibia (Republic of)/Democratic Republic of the Congo/</w:t>
            </w:r>
            <w:r>
              <w:br/>
            </w:r>
            <w:r>
              <w:t>Seychelles (Republic of)/South Africa (Republic of)/</w:t>
            </w:r>
            <w:r>
              <w:br/>
            </w:r>
            <w:r>
              <w:t>Swaziland (Kingdom of)/Tanzania (United Republic of)/</w:t>
            </w:r>
            <w:r>
              <w:br/>
            </w:r>
            <w:r>
              <w:t>Zambia (Republic of)/Zimbabwe (Republic of)</w:t>
            </w:r>
          </w:p>
        </w:tc>
      </w:tr>
      <w:tr w:rsidR="00E55816" w:rsidRPr="00E93D8C" w:rsidTr="00025864">
        <w:trPr>
          <w:cantSplit/>
          <w:trHeight w:val="23"/>
        </w:trPr>
        <w:tc>
          <w:tcPr>
            <w:tcW w:w="10031" w:type="dxa"/>
            <w:gridSpan w:val="2"/>
            <w:shd w:val="clear" w:color="auto" w:fill="auto"/>
          </w:tcPr>
          <w:p w:rsidR="00E55816" w:rsidRPr="00E93D8C" w:rsidRDefault="007D5320" w:rsidP="00E55816">
            <w:pPr>
              <w:pStyle w:val="Title1"/>
            </w:pPr>
            <w:r w:rsidRPr="00E93D8C">
              <w:t>Proposals for the work of the conference</w:t>
            </w:r>
          </w:p>
        </w:tc>
      </w:tr>
      <w:tr w:rsidR="00E55816" w:rsidRPr="00E93D8C" w:rsidTr="00025864">
        <w:trPr>
          <w:cantSplit/>
          <w:trHeight w:val="23"/>
        </w:trPr>
        <w:tc>
          <w:tcPr>
            <w:tcW w:w="10031" w:type="dxa"/>
            <w:gridSpan w:val="2"/>
            <w:shd w:val="clear" w:color="auto" w:fill="auto"/>
          </w:tcPr>
          <w:p w:rsidR="00E55816" w:rsidRPr="00E93D8C" w:rsidRDefault="00E55816" w:rsidP="00E55816">
            <w:pPr>
              <w:pStyle w:val="Title2"/>
            </w:pPr>
          </w:p>
        </w:tc>
      </w:tr>
      <w:tr w:rsidR="00A538A6" w:rsidRPr="00E93D8C" w:rsidTr="00025864">
        <w:trPr>
          <w:cantSplit/>
          <w:trHeight w:val="23"/>
        </w:trPr>
        <w:tc>
          <w:tcPr>
            <w:tcW w:w="10031" w:type="dxa"/>
            <w:gridSpan w:val="2"/>
            <w:shd w:val="clear" w:color="auto" w:fill="auto"/>
          </w:tcPr>
          <w:p w:rsidR="00A538A6" w:rsidRPr="00E93D8C" w:rsidRDefault="004B13CB" w:rsidP="004B13CB">
            <w:pPr>
              <w:pStyle w:val="Agendaitem"/>
              <w:rPr>
                <w:lang w:val="en-GB"/>
              </w:rPr>
            </w:pPr>
            <w:r w:rsidRPr="00E93D8C">
              <w:rPr>
                <w:lang w:val="en-GB"/>
              </w:rPr>
              <w:t>Agenda item 10</w:t>
            </w:r>
          </w:p>
        </w:tc>
      </w:tr>
    </w:tbl>
    <w:bookmarkEnd w:id="6"/>
    <w:bookmarkEnd w:id="7"/>
    <w:p w:rsidR="00B02325" w:rsidRPr="00E93D8C" w:rsidRDefault="005466F6" w:rsidP="009218EA">
      <w:pPr>
        <w:overflowPunct/>
        <w:autoSpaceDE/>
        <w:autoSpaceDN/>
        <w:adjustRightInd/>
        <w:textAlignment w:val="auto"/>
      </w:pPr>
      <w:r w:rsidRPr="00E93D8C">
        <w:t>10</w:t>
      </w:r>
      <w:r w:rsidRPr="00E93D8C">
        <w:rPr>
          <w:b/>
          <w:bCs/>
        </w:rPr>
        <w:tab/>
      </w:r>
      <w:r w:rsidRPr="00E93D8C">
        <w:t>to recommend to the Council items for inclusion in the agenda for the next WRC, and to give its views on the preliminary agenda for the subsequent conference and on possible agenda items for future conferences, in accordance with Article 7 of the Convention,</w:t>
      </w:r>
    </w:p>
    <w:p w:rsidR="00D74637" w:rsidRPr="00E93D8C" w:rsidRDefault="00D74637" w:rsidP="00D74637">
      <w:pPr>
        <w:pStyle w:val="Default"/>
        <w:jc w:val="both"/>
        <w:rPr>
          <w:rFonts w:asciiTheme="majorBidi" w:hAnsiTheme="majorBidi" w:cstheme="majorBidi"/>
          <w:b/>
          <w:bCs/>
          <w:lang w:val="en-GB"/>
        </w:rPr>
      </w:pPr>
    </w:p>
    <w:p w:rsidR="00D02F50" w:rsidRPr="00E93D8C" w:rsidRDefault="00D74637" w:rsidP="00637452">
      <w:pPr>
        <w:rPr>
          <w:rFonts w:ascii="Arial" w:hAnsi="Arial" w:cs="Arial"/>
          <w:sz w:val="23"/>
          <w:szCs w:val="23"/>
        </w:rPr>
      </w:pPr>
      <w:r w:rsidRPr="00637452">
        <w:rPr>
          <w:b/>
          <w:i/>
          <w:iCs/>
        </w:rPr>
        <w:t>Subject:</w:t>
      </w:r>
      <w:r w:rsidRPr="00E93D8C">
        <w:rPr>
          <w:b/>
        </w:rPr>
        <w:t xml:space="preserve"> </w:t>
      </w:r>
      <w:r w:rsidR="00D02F50" w:rsidRPr="00E93D8C">
        <w:t>Services Ancillary to Programming and Services Ancillary to Broadcasting</w:t>
      </w:r>
      <w:r w:rsidR="00D02F50" w:rsidRPr="00E93D8C">
        <w:rPr>
          <w:b/>
        </w:rPr>
        <w:t xml:space="preserve"> </w:t>
      </w:r>
      <w:r w:rsidR="00D02F50" w:rsidRPr="00E93D8C">
        <w:t>(SAP/SAB)</w:t>
      </w:r>
    </w:p>
    <w:p w:rsidR="00D74637" w:rsidRPr="00E93D8C" w:rsidRDefault="00D74637" w:rsidP="00637452">
      <w:r w:rsidRPr="00637452">
        <w:rPr>
          <w:b/>
          <w:bCs/>
          <w:i/>
          <w:iCs/>
        </w:rPr>
        <w:t xml:space="preserve">Origin: </w:t>
      </w:r>
      <w:r w:rsidRPr="00E93D8C">
        <w:t>South Africa (Republic of), Angola (Republic of), Botswana (Republic of), Democratic Republic of the Congo, Lesotho (Kingdom of), Mauritius (Republic of), Madagascar (Republic of), Mozambique (Republic of), Malawi, Namibia (Republic of), Seychelles (Republic of), Swaziland (Kingdom of), Tanzania (United Republic of), Zambia (Republic of), Zimbabwe (Republic of).</w:t>
      </w:r>
    </w:p>
    <w:tbl>
      <w:tblPr>
        <w:tblW w:w="10180" w:type="dxa"/>
        <w:tblInd w:w="-84" w:type="dxa"/>
        <w:tblBorders>
          <w:top w:val="nil"/>
          <w:left w:val="nil"/>
          <w:bottom w:val="nil"/>
          <w:right w:val="nil"/>
        </w:tblBorders>
        <w:tblLayout w:type="fixed"/>
        <w:tblLook w:val="0000" w:firstRow="0" w:lastRow="0" w:firstColumn="0" w:lastColumn="0" w:noHBand="0" w:noVBand="0"/>
      </w:tblPr>
      <w:tblGrid>
        <w:gridCol w:w="84"/>
        <w:gridCol w:w="142"/>
        <w:gridCol w:w="4961"/>
        <w:gridCol w:w="4536"/>
        <w:gridCol w:w="173"/>
        <w:gridCol w:w="284"/>
      </w:tblGrid>
      <w:tr w:rsidR="00D74637" w:rsidRPr="00E93D8C" w:rsidTr="00637452">
        <w:trPr>
          <w:gridAfter w:val="1"/>
          <w:wAfter w:w="284" w:type="dxa"/>
          <w:trHeight w:val="160"/>
        </w:trPr>
        <w:tc>
          <w:tcPr>
            <w:tcW w:w="9896" w:type="dxa"/>
            <w:gridSpan w:val="5"/>
          </w:tcPr>
          <w:p w:rsidR="00D02F50" w:rsidRPr="00E93D8C" w:rsidRDefault="00D74637" w:rsidP="006B39C6">
            <w:r w:rsidRPr="00637452">
              <w:rPr>
                <w:b/>
                <w:i/>
                <w:iCs/>
              </w:rPr>
              <w:t>Proposal</w:t>
            </w:r>
            <w:r w:rsidR="00D02F50" w:rsidRPr="00637452">
              <w:rPr>
                <w:b/>
                <w:i/>
                <w:iCs/>
              </w:rPr>
              <w:t>:</w:t>
            </w:r>
            <w:r w:rsidR="00D02F50" w:rsidRPr="00E93D8C">
              <w:rPr>
                <w:b/>
              </w:rPr>
              <w:t xml:space="preserve"> </w:t>
            </w:r>
            <w:r w:rsidR="00D02F50" w:rsidRPr="00E93D8C">
              <w:t>Studies on availability of frequency bands and/or tuning ranges for worldwide and/or regional harmonization and conditions for their us</w:t>
            </w:r>
            <w:bookmarkStart w:id="8" w:name="_GoBack"/>
            <w:bookmarkEnd w:id="8"/>
            <w:r w:rsidR="00D02F50" w:rsidRPr="00E93D8C">
              <w:t>e by terrestrial electronic news gathe</w:t>
            </w:r>
            <w:r w:rsidR="00483693" w:rsidRPr="00E93D8C">
              <w:t>ring: systems (RESOLUTION ITU-R </w:t>
            </w:r>
            <w:r w:rsidR="00D02F50" w:rsidRPr="00E93D8C">
              <w:t>59).</w:t>
            </w:r>
          </w:p>
          <w:p w:rsidR="00D02F50" w:rsidRPr="00E93D8C" w:rsidRDefault="00483693" w:rsidP="00637452">
            <w:r w:rsidRPr="00E93D8C">
              <w:t>Even though Resolution ITU-R </w:t>
            </w:r>
            <w:r w:rsidR="00D02F50" w:rsidRPr="00E93D8C">
              <w:t>59 refers to ENG services it clearly states the following:</w:t>
            </w:r>
          </w:p>
          <w:p w:rsidR="00D74637" w:rsidRPr="00637452" w:rsidRDefault="00D02F50" w:rsidP="00637452">
            <w:pPr>
              <w:rPr>
                <w:b/>
                <w:i/>
                <w:iCs/>
                <w:color w:val="000000"/>
              </w:rPr>
            </w:pPr>
            <w:r w:rsidRPr="00637452">
              <w:rPr>
                <w:i/>
                <w:iCs/>
              </w:rPr>
              <w:t xml:space="preserve">For the purpose of this Resolution, ENG represents all applications ancillary to broadcasting, such as terrestrial electronic news gathering, electronic field production, TV outside broadcast, wireless radio microphones and radio outside production and broadcast.   </w:t>
            </w:r>
          </w:p>
          <w:p w:rsidR="00D74637" w:rsidRPr="00E93D8C" w:rsidRDefault="00D74637" w:rsidP="00637452">
            <w:r w:rsidRPr="00637452">
              <w:rPr>
                <w:b/>
                <w:i/>
                <w:iCs/>
              </w:rPr>
              <w:t>Background/reasons</w:t>
            </w:r>
            <w:r w:rsidRPr="00637452">
              <w:rPr>
                <w:i/>
                <w:iCs/>
              </w:rPr>
              <w:t>:</w:t>
            </w:r>
            <w:r w:rsidRPr="00E93D8C">
              <w:t xml:space="preserve"> SAB/SAP services have historically greatly depended </w:t>
            </w:r>
            <w:r w:rsidR="00483693" w:rsidRPr="00E93D8C">
              <w:t>on the frequency band 470</w:t>
            </w:r>
            <w:r w:rsidR="00637452">
              <w:t>-</w:t>
            </w:r>
            <w:r w:rsidR="00483693" w:rsidRPr="00E93D8C">
              <w:t>862 </w:t>
            </w:r>
            <w:r w:rsidRPr="00E93D8C">
              <w:t xml:space="preserve">MHz for the following: radio microphone, in-ear monitor (IEM), portable audio link, Mobile audio link, temporary point-to-point audio link, temporary point-to-point audio link, wireless camera, portable video link, mobile airborne video link, mobile vehicular video link, temporary </w:t>
            </w:r>
            <w:r w:rsidRPr="00E93D8C">
              <w:lastRenderedPageBreak/>
              <w:t>point-to-point video links, talk-back and telecomm and/remote control. Kindly refer to the</w:t>
            </w:r>
            <w:r w:rsidRPr="00637452">
              <w:rPr>
                <w:bCs/>
              </w:rPr>
              <w:t xml:space="preserve"> Annex: SAB/SAP</w:t>
            </w:r>
            <w:r w:rsidRPr="00E93D8C">
              <w:t xml:space="preserve"> below for a full description.</w:t>
            </w:r>
          </w:p>
          <w:p w:rsidR="00D74637" w:rsidRPr="00E93D8C" w:rsidRDefault="00D74637" w:rsidP="00637452">
            <w:r w:rsidRPr="00E93D8C">
              <w:t>At the WRC-12 mobile services except aeronautical mobile services received a co-primary allocation with existing ser</w:t>
            </w:r>
            <w:r w:rsidR="00A163B8">
              <w:t>vices in the band 694/698</w:t>
            </w:r>
            <w:r w:rsidR="00637452">
              <w:t>-</w:t>
            </w:r>
            <w:r w:rsidR="00A163B8">
              <w:t>790 </w:t>
            </w:r>
            <w:r w:rsidRPr="00E93D8C">
              <w:t>MHz subject to certain studies, e.g. regulatory requirements for compatibility with existing services. The studies clearly indicated that IMT services and SAP/SAB cannot co-exist in co-channel deployment scenario. This is largely as a result of the likely high deployment of IMT services and the sensitivity of SAP/SAB equipment. Since co-channel deployment is not possible between IMT services and SAP/SAB services, this implies that the latter will lose the right to deploy</w:t>
            </w:r>
            <w:r w:rsidR="00A163B8">
              <w:t xml:space="preserve"> services in the band 694</w:t>
            </w:r>
            <w:r w:rsidR="00637452">
              <w:t>-</w:t>
            </w:r>
            <w:r w:rsidR="00A163B8">
              <w:t>790 </w:t>
            </w:r>
            <w:r w:rsidRPr="00E93D8C">
              <w:t>MHz.</w:t>
            </w:r>
          </w:p>
          <w:p w:rsidR="00637452" w:rsidRPr="00E93D8C" w:rsidRDefault="00637452" w:rsidP="00637452">
            <w:r w:rsidRPr="00E93D8C">
              <w:t>Broadcasters are also faced with a challenge that an allocation for SAP/SAB services is on a secondary basis to terrestrial broadcasting television and that there is no primary allocation for these services. Report ITU-R BT.2338-0 clearly indicate that there is a lack of frequencies allocated for SAB/SAP applications to satisfy all requirements and this creates difficulties in finding frequencies within the tuning range of the equipment.</w:t>
            </w:r>
          </w:p>
          <w:p w:rsidR="00D74637" w:rsidRDefault="00637452" w:rsidP="00637452">
            <w:r w:rsidRPr="00E93D8C">
              <w:t xml:space="preserve">As a result of IMT services receiving a primary allocation </w:t>
            </w:r>
            <w:r>
              <w:t>in the frequency band 694</w:t>
            </w:r>
            <w:r>
              <w:t>-</w:t>
            </w:r>
            <w:r>
              <w:t>790 </w:t>
            </w:r>
            <w:r w:rsidRPr="00E93D8C">
              <w:t>MHz and the expected growth for SAP/SAB services, additional spectrum will be required for the latter services.</w:t>
            </w:r>
          </w:p>
          <w:p w:rsidR="00637452" w:rsidRDefault="00637452" w:rsidP="00637452">
            <w:r w:rsidRPr="00E93D8C">
              <w:t>South Africa has taken a decision to introduce a seven (7) layer DTT network post the migration and the country is also considering the deployment of DAB+. This will increase the demand for SAP/SAB services and therefore the spectrum requirements, especially spectrum dedicated for SAP/SAB services.</w:t>
            </w:r>
          </w:p>
          <w:p w:rsidR="00D74637" w:rsidRPr="00E93D8C" w:rsidRDefault="00D74637" w:rsidP="00F075A6">
            <w:pPr>
              <w:jc w:val="both"/>
              <w:rPr>
                <w:rFonts w:asciiTheme="majorBidi" w:hAnsiTheme="majorBidi" w:cstheme="majorBidi"/>
                <w:bCs/>
                <w:color w:val="000000"/>
                <w:szCs w:val="24"/>
              </w:rPr>
            </w:pPr>
          </w:p>
        </w:tc>
      </w:tr>
      <w:tr w:rsidR="00D74637" w:rsidRPr="00E93D8C" w:rsidTr="00637452">
        <w:trPr>
          <w:gridBefore w:val="1"/>
          <w:gridAfter w:val="2"/>
          <w:wBefore w:w="84" w:type="dxa"/>
          <w:wAfter w:w="457" w:type="dxa"/>
          <w:trHeight w:val="160"/>
        </w:trPr>
        <w:tc>
          <w:tcPr>
            <w:tcW w:w="9639" w:type="dxa"/>
            <w:gridSpan w:val="3"/>
          </w:tcPr>
          <w:p w:rsidR="00D74637" w:rsidRPr="00637452" w:rsidRDefault="00D74637" w:rsidP="00637452">
            <w:pPr>
              <w:rPr>
                <w:b/>
                <w:bCs/>
                <w:i/>
                <w:iCs/>
              </w:rPr>
            </w:pPr>
            <w:r w:rsidRPr="00637452">
              <w:rPr>
                <w:b/>
                <w:bCs/>
                <w:i/>
                <w:iCs/>
              </w:rPr>
              <w:lastRenderedPageBreak/>
              <w:t>Radiocommunication services concerned: SAP/SAB Services</w:t>
            </w:r>
          </w:p>
        </w:tc>
      </w:tr>
      <w:tr w:rsidR="00D74637" w:rsidRPr="00E93D8C" w:rsidTr="00637452">
        <w:trPr>
          <w:gridBefore w:val="1"/>
          <w:gridAfter w:val="2"/>
          <w:wBefore w:w="84" w:type="dxa"/>
          <w:wAfter w:w="457" w:type="dxa"/>
          <w:trHeight w:val="160"/>
        </w:trPr>
        <w:tc>
          <w:tcPr>
            <w:tcW w:w="9639" w:type="dxa"/>
            <w:gridSpan w:val="3"/>
          </w:tcPr>
          <w:p w:rsidR="00D74637" w:rsidRPr="00637452" w:rsidRDefault="00D74637" w:rsidP="00637452">
            <w:pPr>
              <w:rPr>
                <w:b/>
                <w:bCs/>
                <w:i/>
                <w:iCs/>
              </w:rPr>
            </w:pPr>
            <w:r w:rsidRPr="00637452">
              <w:rPr>
                <w:b/>
                <w:bCs/>
                <w:i/>
                <w:iCs/>
              </w:rPr>
              <w:t xml:space="preserve">Indication of possible difficulties: </w:t>
            </w:r>
          </w:p>
        </w:tc>
      </w:tr>
      <w:tr w:rsidR="00D74637" w:rsidRPr="00E93D8C" w:rsidTr="00637452">
        <w:trPr>
          <w:gridBefore w:val="1"/>
          <w:gridAfter w:val="2"/>
          <w:wBefore w:w="84" w:type="dxa"/>
          <w:wAfter w:w="457" w:type="dxa"/>
          <w:trHeight w:val="160"/>
        </w:trPr>
        <w:tc>
          <w:tcPr>
            <w:tcW w:w="9639" w:type="dxa"/>
            <w:gridSpan w:val="3"/>
          </w:tcPr>
          <w:p w:rsidR="00D74637" w:rsidRPr="00637452" w:rsidRDefault="00D74637" w:rsidP="00637452">
            <w:pPr>
              <w:rPr>
                <w:b/>
                <w:bCs/>
                <w:i/>
                <w:iCs/>
              </w:rPr>
            </w:pPr>
            <w:r w:rsidRPr="00637452">
              <w:rPr>
                <w:b/>
                <w:bCs/>
                <w:i/>
                <w:iCs/>
              </w:rPr>
              <w:t>Previous/ongoing studies on the issue: Report ITU-R BT.2338-0</w:t>
            </w:r>
          </w:p>
        </w:tc>
      </w:tr>
      <w:tr w:rsidR="00D74637" w:rsidRPr="00E93D8C" w:rsidTr="00637452">
        <w:trPr>
          <w:gridBefore w:val="1"/>
          <w:gridAfter w:val="2"/>
          <w:wBefore w:w="84" w:type="dxa"/>
          <w:wAfter w:w="457" w:type="dxa"/>
          <w:trHeight w:val="160"/>
        </w:trPr>
        <w:tc>
          <w:tcPr>
            <w:tcW w:w="5103" w:type="dxa"/>
            <w:gridSpan w:val="2"/>
          </w:tcPr>
          <w:p w:rsidR="00D74637" w:rsidRPr="00637452" w:rsidRDefault="00D74637" w:rsidP="00637452">
            <w:pPr>
              <w:rPr>
                <w:b/>
                <w:bCs/>
                <w:i/>
                <w:iCs/>
              </w:rPr>
            </w:pPr>
            <w:r w:rsidRPr="00637452">
              <w:rPr>
                <w:b/>
                <w:bCs/>
                <w:i/>
                <w:iCs/>
              </w:rPr>
              <w:t xml:space="preserve">Studies to be carried out by: </w:t>
            </w:r>
            <w:r w:rsidR="00A163B8" w:rsidRPr="00637452">
              <w:t>Resolution ITU-R </w:t>
            </w:r>
            <w:r w:rsidRPr="00637452">
              <w:t>59</w:t>
            </w:r>
          </w:p>
        </w:tc>
        <w:tc>
          <w:tcPr>
            <w:tcW w:w="4536" w:type="dxa"/>
          </w:tcPr>
          <w:p w:rsidR="00D74637" w:rsidRPr="00637452" w:rsidRDefault="00D74637" w:rsidP="00637452">
            <w:pPr>
              <w:rPr>
                <w:b/>
                <w:bCs/>
                <w:i/>
                <w:iCs/>
              </w:rPr>
            </w:pPr>
            <w:r w:rsidRPr="00637452">
              <w:rPr>
                <w:b/>
                <w:bCs/>
                <w:i/>
                <w:iCs/>
              </w:rPr>
              <w:t xml:space="preserve">with the participation of: </w:t>
            </w:r>
          </w:p>
        </w:tc>
      </w:tr>
      <w:tr w:rsidR="00D74637" w:rsidRPr="00E93D8C" w:rsidTr="00637452">
        <w:trPr>
          <w:gridBefore w:val="1"/>
          <w:gridAfter w:val="2"/>
          <w:wBefore w:w="84" w:type="dxa"/>
          <w:wAfter w:w="457" w:type="dxa"/>
          <w:trHeight w:val="160"/>
        </w:trPr>
        <w:tc>
          <w:tcPr>
            <w:tcW w:w="9639" w:type="dxa"/>
            <w:gridSpan w:val="3"/>
          </w:tcPr>
          <w:p w:rsidR="00D74637" w:rsidRPr="00637452" w:rsidRDefault="00D74637" w:rsidP="00637452">
            <w:pPr>
              <w:rPr>
                <w:b/>
                <w:bCs/>
                <w:i/>
                <w:iCs/>
              </w:rPr>
            </w:pPr>
            <w:r w:rsidRPr="00637452">
              <w:rPr>
                <w:b/>
                <w:bCs/>
                <w:i/>
                <w:iCs/>
              </w:rPr>
              <w:t xml:space="preserve">ITU-R Study Groups concerned: </w:t>
            </w:r>
          </w:p>
        </w:tc>
      </w:tr>
      <w:tr w:rsidR="00D74637" w:rsidRPr="00E93D8C" w:rsidTr="00637452">
        <w:trPr>
          <w:gridBefore w:val="1"/>
          <w:gridAfter w:val="2"/>
          <w:wBefore w:w="84" w:type="dxa"/>
          <w:wAfter w:w="457" w:type="dxa"/>
          <w:trHeight w:val="160"/>
        </w:trPr>
        <w:tc>
          <w:tcPr>
            <w:tcW w:w="9639" w:type="dxa"/>
            <w:gridSpan w:val="3"/>
          </w:tcPr>
          <w:p w:rsidR="00D74637" w:rsidRPr="00637452" w:rsidRDefault="00D74637" w:rsidP="00637452">
            <w:pPr>
              <w:rPr>
                <w:b/>
                <w:bCs/>
                <w:i/>
                <w:iCs/>
              </w:rPr>
            </w:pPr>
            <w:r w:rsidRPr="00637452">
              <w:rPr>
                <w:b/>
                <w:bCs/>
                <w:i/>
                <w:iCs/>
              </w:rPr>
              <w:t xml:space="preserve">ITU resource implications, including financial implications (refer to CV126): </w:t>
            </w:r>
          </w:p>
        </w:tc>
      </w:tr>
      <w:tr w:rsidR="00D74637" w:rsidRPr="00E93D8C" w:rsidTr="00637452">
        <w:trPr>
          <w:gridBefore w:val="1"/>
          <w:gridAfter w:val="2"/>
          <w:wBefore w:w="84" w:type="dxa"/>
          <w:wAfter w:w="457" w:type="dxa"/>
          <w:trHeight w:val="361"/>
        </w:trPr>
        <w:tc>
          <w:tcPr>
            <w:tcW w:w="5103" w:type="dxa"/>
            <w:gridSpan w:val="2"/>
          </w:tcPr>
          <w:p w:rsidR="00D74637" w:rsidRPr="00637452" w:rsidRDefault="00D74637" w:rsidP="00637452">
            <w:pPr>
              <w:rPr>
                <w:b/>
                <w:bCs/>
                <w:i/>
                <w:iCs/>
              </w:rPr>
            </w:pPr>
            <w:r w:rsidRPr="00637452">
              <w:rPr>
                <w:b/>
                <w:bCs/>
                <w:i/>
                <w:iCs/>
              </w:rPr>
              <w:t xml:space="preserve">Common regional proposal: </w:t>
            </w:r>
            <w:r w:rsidRPr="00637452">
              <w:t xml:space="preserve">Yes/No </w:t>
            </w:r>
          </w:p>
        </w:tc>
        <w:tc>
          <w:tcPr>
            <w:tcW w:w="4536" w:type="dxa"/>
          </w:tcPr>
          <w:p w:rsidR="00D74637" w:rsidRPr="00637452" w:rsidRDefault="00D74637" w:rsidP="00637452">
            <w:pPr>
              <w:rPr>
                <w:b/>
                <w:bCs/>
                <w:i/>
                <w:iCs/>
              </w:rPr>
            </w:pPr>
            <w:r w:rsidRPr="00637452">
              <w:rPr>
                <w:b/>
                <w:bCs/>
                <w:i/>
                <w:iCs/>
              </w:rPr>
              <w:t xml:space="preserve">Multicountry proposal: </w:t>
            </w:r>
            <w:r w:rsidRPr="00637452">
              <w:t>Yes/No</w:t>
            </w:r>
            <w:r w:rsidRPr="00637452">
              <w:rPr>
                <w:b/>
                <w:bCs/>
                <w:i/>
                <w:iCs/>
              </w:rPr>
              <w:t xml:space="preserve"> </w:t>
            </w:r>
          </w:p>
          <w:p w:rsidR="00D74637" w:rsidRPr="00637452" w:rsidRDefault="00D74637" w:rsidP="00637452">
            <w:pPr>
              <w:rPr>
                <w:b/>
                <w:bCs/>
                <w:i/>
                <w:iCs/>
              </w:rPr>
            </w:pPr>
            <w:r w:rsidRPr="00637452">
              <w:rPr>
                <w:b/>
                <w:bCs/>
                <w:i/>
                <w:iCs/>
              </w:rPr>
              <w:t xml:space="preserve">Number of countries: </w:t>
            </w:r>
          </w:p>
        </w:tc>
      </w:tr>
      <w:tr w:rsidR="006372B0" w:rsidRPr="00E93D8C" w:rsidTr="00637452">
        <w:trPr>
          <w:gridBefore w:val="2"/>
          <w:wBefore w:w="226" w:type="dxa"/>
          <w:trHeight w:val="160"/>
        </w:trPr>
        <w:tc>
          <w:tcPr>
            <w:tcW w:w="9954" w:type="dxa"/>
            <w:gridSpan w:val="4"/>
          </w:tcPr>
          <w:p w:rsidR="00D74637" w:rsidRPr="00E93D8C" w:rsidRDefault="00D74637" w:rsidP="00517CE9">
            <w:pPr>
              <w:pStyle w:val="Default"/>
              <w:ind w:left="-108"/>
              <w:rPr>
                <w:rFonts w:asciiTheme="majorBidi" w:hAnsiTheme="majorBidi" w:cstheme="majorBidi"/>
                <w:lang w:val="en-GB"/>
              </w:rPr>
            </w:pPr>
            <w:r w:rsidRPr="00E93D8C">
              <w:rPr>
                <w:rFonts w:asciiTheme="majorBidi" w:hAnsiTheme="majorBidi" w:cstheme="majorBidi"/>
                <w:b/>
                <w:bCs/>
                <w:i/>
                <w:iCs/>
                <w:lang w:val="en-GB"/>
              </w:rPr>
              <w:t>Remarks</w:t>
            </w:r>
          </w:p>
        </w:tc>
      </w:tr>
    </w:tbl>
    <w:p w:rsidR="00D74637" w:rsidRPr="00E93D8C" w:rsidRDefault="00D74637" w:rsidP="00D74637">
      <w:pPr>
        <w:rPr>
          <w:rFonts w:asciiTheme="majorBidi" w:hAnsiTheme="majorBidi" w:cstheme="majorBidi"/>
          <w:szCs w:val="24"/>
        </w:rPr>
      </w:pPr>
    </w:p>
    <w:p w:rsidR="00637452" w:rsidRDefault="00187BD9" w:rsidP="00637452">
      <w:pPr>
        <w:pStyle w:val="AnnexNo"/>
      </w:pPr>
      <w:r w:rsidRPr="00E93D8C">
        <w:br w:type="page"/>
      </w:r>
      <w:r w:rsidR="00D74637" w:rsidRPr="00E93D8C">
        <w:lastRenderedPageBreak/>
        <w:t>Annex</w:t>
      </w:r>
    </w:p>
    <w:p w:rsidR="00D74637" w:rsidRPr="00E93D8C" w:rsidRDefault="00D74637" w:rsidP="00637452">
      <w:pPr>
        <w:pStyle w:val="Annextitle"/>
      </w:pPr>
      <w:r w:rsidRPr="00E93D8C">
        <w:t>SAB/SAP</w:t>
      </w:r>
    </w:p>
    <w:tbl>
      <w:tblPr>
        <w:tblW w:w="0" w:type="auto"/>
        <w:jc w:val="center"/>
        <w:tblBorders>
          <w:top w:val="nil"/>
          <w:left w:val="nil"/>
          <w:bottom w:val="nil"/>
          <w:right w:val="nil"/>
        </w:tblBorders>
        <w:tblLayout w:type="fixed"/>
        <w:tblLook w:val="0000" w:firstRow="0" w:lastRow="0" w:firstColumn="0" w:lastColumn="0" w:noHBand="0" w:noVBand="0"/>
      </w:tblPr>
      <w:tblGrid>
        <w:gridCol w:w="4390"/>
        <w:gridCol w:w="5118"/>
      </w:tblGrid>
      <w:tr w:rsidR="00D74637" w:rsidRPr="00E93D8C" w:rsidTr="00AD7E86">
        <w:trPr>
          <w:cantSplit/>
          <w:jc w:val="center"/>
        </w:trPr>
        <w:tc>
          <w:tcPr>
            <w:tcW w:w="4390" w:type="dxa"/>
            <w:tcBorders>
              <w:top w:val="single" w:sz="4" w:space="0" w:color="auto"/>
              <w:left w:val="single" w:sz="4" w:space="0" w:color="auto"/>
              <w:bottom w:val="single" w:sz="4" w:space="0" w:color="auto"/>
              <w:right w:val="single" w:sz="4" w:space="0" w:color="auto"/>
            </w:tcBorders>
            <w:vAlign w:val="center"/>
          </w:tcPr>
          <w:p w:rsidR="00D74637" w:rsidRPr="00AD7E86" w:rsidRDefault="00D74637" w:rsidP="00AD7E86">
            <w:pPr>
              <w:rPr>
                <w:b/>
                <w:bCs/>
              </w:rPr>
            </w:pPr>
            <w:r w:rsidRPr="00AD7E86">
              <w:rPr>
                <w:b/>
                <w:bCs/>
              </w:rPr>
              <w:t xml:space="preserve">Radio microphone </w:t>
            </w:r>
          </w:p>
        </w:tc>
        <w:tc>
          <w:tcPr>
            <w:tcW w:w="5118" w:type="dxa"/>
            <w:tcBorders>
              <w:top w:val="single" w:sz="4" w:space="0" w:color="auto"/>
              <w:left w:val="single" w:sz="4" w:space="0" w:color="auto"/>
              <w:bottom w:val="single" w:sz="4" w:space="0" w:color="auto"/>
              <w:right w:val="single" w:sz="4" w:space="0" w:color="auto"/>
            </w:tcBorders>
            <w:vAlign w:val="center"/>
          </w:tcPr>
          <w:p w:rsidR="00D74637" w:rsidRPr="00E93D8C" w:rsidRDefault="00D74637" w:rsidP="00AD7E86">
            <w:r w:rsidRPr="00E93D8C">
              <w:t xml:space="preserve">Handheld or body worn microphone with integrated or body worn transmitter. </w:t>
            </w:r>
          </w:p>
        </w:tc>
      </w:tr>
      <w:tr w:rsidR="00D74637" w:rsidRPr="00E93D8C" w:rsidTr="00AD7E86">
        <w:trPr>
          <w:cantSplit/>
          <w:jc w:val="center"/>
        </w:trPr>
        <w:tc>
          <w:tcPr>
            <w:tcW w:w="4390" w:type="dxa"/>
            <w:tcBorders>
              <w:top w:val="single" w:sz="4" w:space="0" w:color="auto"/>
              <w:left w:val="single" w:sz="4" w:space="0" w:color="auto"/>
              <w:bottom w:val="single" w:sz="4" w:space="0" w:color="auto"/>
              <w:right w:val="single" w:sz="4" w:space="0" w:color="auto"/>
            </w:tcBorders>
            <w:vAlign w:val="center"/>
          </w:tcPr>
          <w:p w:rsidR="00D74637" w:rsidRPr="00AD7E86" w:rsidRDefault="00D74637" w:rsidP="00AD7E86">
            <w:pPr>
              <w:rPr>
                <w:b/>
                <w:bCs/>
              </w:rPr>
            </w:pPr>
            <w:r w:rsidRPr="00AD7E86">
              <w:rPr>
                <w:b/>
                <w:bCs/>
              </w:rPr>
              <w:t xml:space="preserve">In-ear monitor (IEM) </w:t>
            </w:r>
          </w:p>
        </w:tc>
        <w:tc>
          <w:tcPr>
            <w:tcW w:w="5118" w:type="dxa"/>
            <w:tcBorders>
              <w:top w:val="single" w:sz="4" w:space="0" w:color="auto"/>
              <w:left w:val="single" w:sz="4" w:space="0" w:color="auto"/>
              <w:bottom w:val="single" w:sz="4" w:space="0" w:color="auto"/>
              <w:right w:val="single" w:sz="4" w:space="0" w:color="auto"/>
            </w:tcBorders>
            <w:vAlign w:val="center"/>
          </w:tcPr>
          <w:p w:rsidR="00D74637" w:rsidRPr="00E93D8C" w:rsidRDefault="00D74637" w:rsidP="00AD7E86">
            <w:r w:rsidRPr="00E93D8C">
              <w:t xml:space="preserve">Body-worn miniature receiver with earpieces for personal monitoring of single or dual channel sound track. </w:t>
            </w:r>
          </w:p>
        </w:tc>
      </w:tr>
      <w:tr w:rsidR="00D74637" w:rsidRPr="00E93D8C" w:rsidTr="00AD7E86">
        <w:trPr>
          <w:cantSplit/>
          <w:jc w:val="center"/>
        </w:trPr>
        <w:tc>
          <w:tcPr>
            <w:tcW w:w="4390" w:type="dxa"/>
            <w:tcBorders>
              <w:top w:val="single" w:sz="4" w:space="0" w:color="auto"/>
              <w:left w:val="single" w:sz="4" w:space="0" w:color="auto"/>
              <w:bottom w:val="single" w:sz="4" w:space="0" w:color="auto"/>
              <w:right w:val="single" w:sz="4" w:space="0" w:color="auto"/>
            </w:tcBorders>
            <w:vAlign w:val="center"/>
          </w:tcPr>
          <w:p w:rsidR="00D74637" w:rsidRPr="00AD7E86" w:rsidRDefault="00D74637" w:rsidP="00AD7E86">
            <w:pPr>
              <w:rPr>
                <w:b/>
                <w:bCs/>
              </w:rPr>
            </w:pPr>
            <w:r w:rsidRPr="00AD7E86">
              <w:rPr>
                <w:b/>
                <w:bCs/>
              </w:rPr>
              <w:t xml:space="preserve">Portable audio link </w:t>
            </w:r>
          </w:p>
        </w:tc>
        <w:tc>
          <w:tcPr>
            <w:tcW w:w="5118" w:type="dxa"/>
            <w:tcBorders>
              <w:top w:val="single" w:sz="4" w:space="0" w:color="auto"/>
              <w:left w:val="single" w:sz="4" w:space="0" w:color="auto"/>
              <w:bottom w:val="single" w:sz="4" w:space="0" w:color="auto"/>
              <w:right w:val="single" w:sz="4" w:space="0" w:color="auto"/>
            </w:tcBorders>
            <w:vAlign w:val="center"/>
          </w:tcPr>
          <w:p w:rsidR="00D74637" w:rsidRPr="00E93D8C" w:rsidRDefault="00D74637" w:rsidP="00AD7E86">
            <w:r w:rsidRPr="00E93D8C">
              <w:t xml:space="preserve">Body worn transmitter used with one or more microphones, with a longer operating range capabilities than that of radio microphones. </w:t>
            </w:r>
          </w:p>
        </w:tc>
      </w:tr>
      <w:tr w:rsidR="00D74637" w:rsidRPr="00E93D8C" w:rsidTr="00AD7E86">
        <w:trPr>
          <w:cantSplit/>
          <w:jc w:val="center"/>
        </w:trPr>
        <w:tc>
          <w:tcPr>
            <w:tcW w:w="4390" w:type="dxa"/>
            <w:tcBorders>
              <w:top w:val="single" w:sz="4" w:space="0" w:color="auto"/>
              <w:left w:val="single" w:sz="4" w:space="0" w:color="auto"/>
              <w:bottom w:val="single" w:sz="4" w:space="0" w:color="auto"/>
              <w:right w:val="single" w:sz="4" w:space="0" w:color="auto"/>
            </w:tcBorders>
            <w:vAlign w:val="center"/>
          </w:tcPr>
          <w:p w:rsidR="00D74637" w:rsidRPr="00AD7E86" w:rsidRDefault="00D74637" w:rsidP="00AD7E86">
            <w:pPr>
              <w:rPr>
                <w:b/>
                <w:bCs/>
              </w:rPr>
            </w:pPr>
            <w:r w:rsidRPr="00AD7E86">
              <w:rPr>
                <w:b/>
                <w:bCs/>
              </w:rPr>
              <w:t xml:space="preserve">Mobile audio link </w:t>
            </w:r>
          </w:p>
        </w:tc>
        <w:tc>
          <w:tcPr>
            <w:tcW w:w="5118" w:type="dxa"/>
            <w:tcBorders>
              <w:top w:val="single" w:sz="4" w:space="0" w:color="auto"/>
              <w:left w:val="single" w:sz="4" w:space="0" w:color="auto"/>
              <w:bottom w:val="single" w:sz="4" w:space="0" w:color="auto"/>
              <w:right w:val="single" w:sz="4" w:space="0" w:color="auto"/>
            </w:tcBorders>
            <w:vAlign w:val="center"/>
          </w:tcPr>
          <w:p w:rsidR="00D74637" w:rsidRPr="00E93D8C" w:rsidRDefault="00D74637" w:rsidP="00AD7E86">
            <w:r w:rsidRPr="00E93D8C">
              <w:t xml:space="preserve">Audio transmission system employing radio transmitter mounted in/on motorcycles, pedal cycles, cars, racing cars, boats, etc. One or both link terminals may be used while moving. </w:t>
            </w:r>
          </w:p>
        </w:tc>
      </w:tr>
      <w:tr w:rsidR="00D74637" w:rsidRPr="00E93D8C" w:rsidTr="00AD7E86">
        <w:trPr>
          <w:cantSplit/>
          <w:jc w:val="center"/>
        </w:trPr>
        <w:tc>
          <w:tcPr>
            <w:tcW w:w="4390" w:type="dxa"/>
            <w:tcBorders>
              <w:top w:val="single" w:sz="4" w:space="0" w:color="auto"/>
              <w:left w:val="single" w:sz="4" w:space="0" w:color="auto"/>
              <w:bottom w:val="single" w:sz="4" w:space="0" w:color="auto"/>
              <w:right w:val="single" w:sz="4" w:space="0" w:color="auto"/>
            </w:tcBorders>
            <w:vAlign w:val="center"/>
          </w:tcPr>
          <w:p w:rsidR="00D74637" w:rsidRPr="00AD7E86" w:rsidRDefault="00D74637" w:rsidP="00AD7E86">
            <w:pPr>
              <w:rPr>
                <w:b/>
                <w:bCs/>
              </w:rPr>
            </w:pPr>
            <w:r w:rsidRPr="00AD7E86">
              <w:rPr>
                <w:b/>
                <w:bCs/>
              </w:rPr>
              <w:t xml:space="preserve">Temporary point-to-point audio link </w:t>
            </w:r>
          </w:p>
        </w:tc>
        <w:tc>
          <w:tcPr>
            <w:tcW w:w="5118" w:type="dxa"/>
            <w:tcBorders>
              <w:top w:val="single" w:sz="4" w:space="0" w:color="auto"/>
              <w:left w:val="single" w:sz="4" w:space="0" w:color="auto"/>
              <w:bottom w:val="single" w:sz="4" w:space="0" w:color="auto"/>
              <w:right w:val="single" w:sz="4" w:space="0" w:color="auto"/>
            </w:tcBorders>
            <w:vAlign w:val="center"/>
          </w:tcPr>
          <w:p w:rsidR="00D74637" w:rsidRPr="00E93D8C" w:rsidRDefault="00D74637" w:rsidP="00AD7E86">
            <w:r w:rsidRPr="00E93D8C">
              <w:t xml:space="preserve">Temporary link between two points (e.g. part of a link between an OB site and a studio), used for carrying broadcast quality audio or for carrying service (voice) signals. Link terminals are mounted on tripods, temporary platforms, purpose built vehicles or hydraulic hoists. Two-way links are often required. </w:t>
            </w:r>
          </w:p>
        </w:tc>
      </w:tr>
      <w:tr w:rsidR="00D74637" w:rsidRPr="00E93D8C" w:rsidTr="00AD7E86">
        <w:trPr>
          <w:cantSplit/>
          <w:jc w:val="center"/>
        </w:trPr>
        <w:tc>
          <w:tcPr>
            <w:tcW w:w="4390" w:type="dxa"/>
            <w:tcBorders>
              <w:top w:val="single" w:sz="4" w:space="0" w:color="auto"/>
              <w:left w:val="single" w:sz="4" w:space="0" w:color="auto"/>
              <w:bottom w:val="single" w:sz="4" w:space="0" w:color="auto"/>
              <w:right w:val="single" w:sz="4" w:space="0" w:color="auto"/>
            </w:tcBorders>
            <w:vAlign w:val="center"/>
          </w:tcPr>
          <w:p w:rsidR="00D74637" w:rsidRPr="00AD7E86" w:rsidRDefault="00D74637" w:rsidP="00AD7E86">
            <w:pPr>
              <w:rPr>
                <w:b/>
                <w:bCs/>
              </w:rPr>
            </w:pPr>
            <w:r w:rsidRPr="00AD7E86">
              <w:rPr>
                <w:b/>
                <w:bCs/>
              </w:rPr>
              <w:t xml:space="preserve">Wireless camera </w:t>
            </w:r>
          </w:p>
        </w:tc>
        <w:tc>
          <w:tcPr>
            <w:tcW w:w="5118" w:type="dxa"/>
            <w:tcBorders>
              <w:top w:val="single" w:sz="4" w:space="0" w:color="auto"/>
              <w:left w:val="single" w:sz="4" w:space="0" w:color="auto"/>
              <w:bottom w:val="single" w:sz="4" w:space="0" w:color="auto"/>
              <w:right w:val="single" w:sz="4" w:space="0" w:color="auto"/>
            </w:tcBorders>
            <w:vAlign w:val="center"/>
          </w:tcPr>
          <w:p w:rsidR="00D74637" w:rsidRPr="00E93D8C" w:rsidRDefault="00D74637" w:rsidP="00AD7E86">
            <w:r w:rsidRPr="00E93D8C">
              <w:t xml:space="preserve">Handheld or otherwise mounted camera with integrated transmitter, power pack and antenna for carrying broadcast-quality video together with sound signals over short-ranges. </w:t>
            </w:r>
          </w:p>
        </w:tc>
      </w:tr>
      <w:tr w:rsidR="00D74637" w:rsidRPr="00E93D8C" w:rsidTr="00AD7E86">
        <w:trPr>
          <w:cantSplit/>
          <w:jc w:val="center"/>
        </w:trPr>
        <w:tc>
          <w:tcPr>
            <w:tcW w:w="4390" w:type="dxa"/>
            <w:tcBorders>
              <w:top w:val="single" w:sz="4" w:space="0" w:color="auto"/>
              <w:left w:val="single" w:sz="4" w:space="0" w:color="auto"/>
              <w:bottom w:val="single" w:sz="4" w:space="0" w:color="auto"/>
              <w:right w:val="single" w:sz="4" w:space="0" w:color="auto"/>
            </w:tcBorders>
            <w:vAlign w:val="center"/>
          </w:tcPr>
          <w:p w:rsidR="00D74637" w:rsidRPr="00AD7E86" w:rsidRDefault="00D74637" w:rsidP="00AD7E86">
            <w:pPr>
              <w:rPr>
                <w:b/>
                <w:bCs/>
              </w:rPr>
            </w:pPr>
            <w:r w:rsidRPr="00AD7E86">
              <w:rPr>
                <w:b/>
                <w:bCs/>
              </w:rPr>
              <w:t xml:space="preserve">Portable video link </w:t>
            </w:r>
          </w:p>
        </w:tc>
        <w:tc>
          <w:tcPr>
            <w:tcW w:w="5118" w:type="dxa"/>
            <w:tcBorders>
              <w:top w:val="single" w:sz="4" w:space="0" w:color="auto"/>
              <w:left w:val="single" w:sz="4" w:space="0" w:color="auto"/>
              <w:bottom w:val="single" w:sz="4" w:space="0" w:color="auto"/>
              <w:right w:val="single" w:sz="4" w:space="0" w:color="auto"/>
            </w:tcBorders>
            <w:vAlign w:val="center"/>
          </w:tcPr>
          <w:p w:rsidR="00D74637" w:rsidRPr="00E93D8C" w:rsidRDefault="00D74637" w:rsidP="00AD7E86">
            <w:r w:rsidRPr="00E93D8C">
              <w:t xml:space="preserve">Handheld camera with separate body-worn transmitter, power pack and antenna. </w:t>
            </w:r>
          </w:p>
        </w:tc>
      </w:tr>
      <w:tr w:rsidR="00D74637" w:rsidRPr="00E93D8C" w:rsidTr="00AD7E86">
        <w:trPr>
          <w:cantSplit/>
          <w:jc w:val="center"/>
        </w:trPr>
        <w:tc>
          <w:tcPr>
            <w:tcW w:w="4390" w:type="dxa"/>
            <w:tcBorders>
              <w:top w:val="single" w:sz="4" w:space="0" w:color="auto"/>
              <w:left w:val="single" w:sz="4" w:space="0" w:color="auto"/>
              <w:bottom w:val="single" w:sz="4" w:space="0" w:color="auto"/>
              <w:right w:val="single" w:sz="4" w:space="0" w:color="auto"/>
            </w:tcBorders>
            <w:vAlign w:val="center"/>
          </w:tcPr>
          <w:p w:rsidR="00D74637" w:rsidRPr="00AD7E86" w:rsidRDefault="00D74637" w:rsidP="00AD7E86">
            <w:pPr>
              <w:rPr>
                <w:b/>
                <w:bCs/>
              </w:rPr>
            </w:pPr>
            <w:r w:rsidRPr="00AD7E86">
              <w:rPr>
                <w:b/>
                <w:bCs/>
              </w:rPr>
              <w:t xml:space="preserve">Mobile airborne video link </w:t>
            </w:r>
          </w:p>
        </w:tc>
        <w:tc>
          <w:tcPr>
            <w:tcW w:w="5118" w:type="dxa"/>
            <w:tcBorders>
              <w:top w:val="single" w:sz="4" w:space="0" w:color="auto"/>
              <w:left w:val="single" w:sz="4" w:space="0" w:color="auto"/>
              <w:bottom w:val="single" w:sz="4" w:space="0" w:color="auto"/>
              <w:right w:val="single" w:sz="4" w:space="0" w:color="auto"/>
            </w:tcBorders>
            <w:vAlign w:val="center"/>
          </w:tcPr>
          <w:p w:rsidR="00D74637" w:rsidRPr="00E93D8C" w:rsidRDefault="00D74637" w:rsidP="00AD7E86">
            <w:r w:rsidRPr="00E93D8C">
              <w:t xml:space="preserve">Video transmission system employing radio transmitter mounted on helicopters or other airships. </w:t>
            </w:r>
          </w:p>
        </w:tc>
      </w:tr>
      <w:tr w:rsidR="00D74637" w:rsidRPr="00E93D8C" w:rsidTr="00AD7E86">
        <w:trPr>
          <w:cantSplit/>
          <w:jc w:val="center"/>
        </w:trPr>
        <w:tc>
          <w:tcPr>
            <w:tcW w:w="4390" w:type="dxa"/>
            <w:tcBorders>
              <w:top w:val="single" w:sz="4" w:space="0" w:color="auto"/>
              <w:left w:val="single" w:sz="4" w:space="0" w:color="auto"/>
              <w:bottom w:val="single" w:sz="4" w:space="0" w:color="auto"/>
              <w:right w:val="single" w:sz="4" w:space="0" w:color="auto"/>
            </w:tcBorders>
            <w:vAlign w:val="center"/>
          </w:tcPr>
          <w:p w:rsidR="00D74637" w:rsidRPr="00AD7E86" w:rsidRDefault="00D74637" w:rsidP="00AD7E86">
            <w:pPr>
              <w:rPr>
                <w:b/>
                <w:bCs/>
              </w:rPr>
            </w:pPr>
            <w:r w:rsidRPr="00AD7E86">
              <w:rPr>
                <w:b/>
                <w:bCs/>
              </w:rPr>
              <w:t xml:space="preserve">Mobile vehicular video link </w:t>
            </w:r>
          </w:p>
        </w:tc>
        <w:tc>
          <w:tcPr>
            <w:tcW w:w="5118" w:type="dxa"/>
            <w:tcBorders>
              <w:top w:val="single" w:sz="4" w:space="0" w:color="auto"/>
              <w:left w:val="single" w:sz="4" w:space="0" w:color="auto"/>
              <w:bottom w:val="single" w:sz="4" w:space="0" w:color="auto"/>
              <w:right w:val="single" w:sz="4" w:space="0" w:color="auto"/>
            </w:tcBorders>
            <w:vAlign w:val="center"/>
          </w:tcPr>
          <w:p w:rsidR="00D74637" w:rsidRPr="00E93D8C" w:rsidRDefault="00D74637" w:rsidP="00AD7E86">
            <w:r w:rsidRPr="00E93D8C">
              <w:t xml:space="preserve">Video transmission system employing radio transmitter mounted in/on motorcycles, pedal cycles, cars, racing cars or boats. One or both link terminals may be used while moving. </w:t>
            </w:r>
          </w:p>
        </w:tc>
      </w:tr>
      <w:tr w:rsidR="00D74637" w:rsidRPr="00E93D8C" w:rsidTr="00AD7E86">
        <w:trPr>
          <w:cantSplit/>
          <w:jc w:val="center"/>
        </w:trPr>
        <w:tc>
          <w:tcPr>
            <w:tcW w:w="4390" w:type="dxa"/>
            <w:tcBorders>
              <w:top w:val="single" w:sz="4" w:space="0" w:color="auto"/>
              <w:left w:val="single" w:sz="4" w:space="0" w:color="auto"/>
              <w:bottom w:val="single" w:sz="4" w:space="0" w:color="auto"/>
              <w:right w:val="single" w:sz="4" w:space="0" w:color="auto"/>
            </w:tcBorders>
            <w:vAlign w:val="center"/>
          </w:tcPr>
          <w:p w:rsidR="00D74637" w:rsidRPr="00AD7E86" w:rsidRDefault="00D74637" w:rsidP="00AD7E86">
            <w:pPr>
              <w:rPr>
                <w:b/>
                <w:bCs/>
              </w:rPr>
            </w:pPr>
            <w:r w:rsidRPr="00AD7E86">
              <w:rPr>
                <w:b/>
                <w:bCs/>
              </w:rPr>
              <w:t xml:space="preserve">Temporary point-to-point video links </w:t>
            </w:r>
          </w:p>
        </w:tc>
        <w:tc>
          <w:tcPr>
            <w:tcW w:w="5118" w:type="dxa"/>
            <w:tcBorders>
              <w:top w:val="single" w:sz="4" w:space="0" w:color="auto"/>
              <w:left w:val="single" w:sz="4" w:space="0" w:color="auto"/>
              <w:bottom w:val="single" w:sz="4" w:space="0" w:color="auto"/>
              <w:right w:val="single" w:sz="4" w:space="0" w:color="auto"/>
            </w:tcBorders>
            <w:vAlign w:val="center"/>
          </w:tcPr>
          <w:p w:rsidR="00D74637" w:rsidRPr="00E93D8C" w:rsidRDefault="00D74637" w:rsidP="00AD7E86">
            <w:r w:rsidRPr="00E93D8C">
              <w:t xml:space="preserve">Temporary link between two points (e.g. part of a link between an OB site and a studio), used for carrying broadcast quality video/audio signals. Link terminals are mounted on tripods, temporary platforms, purpose built vehicles or hydraulic hoists. Two-way links are often required. </w:t>
            </w:r>
          </w:p>
        </w:tc>
      </w:tr>
      <w:tr w:rsidR="00D74637" w:rsidRPr="00E93D8C" w:rsidTr="00AD7E86">
        <w:trPr>
          <w:cantSplit/>
          <w:jc w:val="center"/>
        </w:trPr>
        <w:tc>
          <w:tcPr>
            <w:tcW w:w="4390" w:type="dxa"/>
            <w:tcBorders>
              <w:top w:val="single" w:sz="4" w:space="0" w:color="auto"/>
              <w:left w:val="single" w:sz="4" w:space="0" w:color="auto"/>
              <w:bottom w:val="single" w:sz="4" w:space="0" w:color="auto"/>
              <w:right w:val="single" w:sz="4" w:space="0" w:color="auto"/>
            </w:tcBorders>
            <w:vAlign w:val="center"/>
          </w:tcPr>
          <w:p w:rsidR="00D74637" w:rsidRPr="00AD7E86" w:rsidRDefault="00D74637" w:rsidP="00AD7E86">
            <w:pPr>
              <w:rPr>
                <w:b/>
                <w:bCs/>
              </w:rPr>
            </w:pPr>
            <w:r w:rsidRPr="00AD7E86">
              <w:rPr>
                <w:b/>
                <w:bCs/>
              </w:rPr>
              <w:lastRenderedPageBreak/>
              <w:t xml:space="preserve">Talk-back </w:t>
            </w:r>
          </w:p>
        </w:tc>
        <w:tc>
          <w:tcPr>
            <w:tcW w:w="5118" w:type="dxa"/>
            <w:tcBorders>
              <w:top w:val="single" w:sz="4" w:space="0" w:color="auto"/>
              <w:left w:val="single" w:sz="4" w:space="0" w:color="auto"/>
              <w:bottom w:val="single" w:sz="4" w:space="0" w:color="auto"/>
              <w:right w:val="single" w:sz="4" w:space="0" w:color="auto"/>
            </w:tcBorders>
            <w:vAlign w:val="center"/>
          </w:tcPr>
          <w:p w:rsidR="00D74637" w:rsidRPr="00E93D8C" w:rsidRDefault="00D74637" w:rsidP="00AD7E86">
            <w:r w:rsidRPr="00E93D8C">
              <w:t xml:space="preserve">For communicating the instructions of the director instantly to all those concerned in making the program; these include presenters, interviewers, cameramen, sound operators, lighting operators and engineers. A number of talk-back channels may be in simultaneous use to cover those different activities. Talk-back usually employs constant transmission. </w:t>
            </w:r>
          </w:p>
        </w:tc>
      </w:tr>
      <w:tr w:rsidR="00D74637" w:rsidRPr="00E93D8C" w:rsidTr="00AD7E86">
        <w:trPr>
          <w:cantSplit/>
          <w:jc w:val="center"/>
        </w:trPr>
        <w:tc>
          <w:tcPr>
            <w:tcW w:w="4390" w:type="dxa"/>
            <w:tcBorders>
              <w:top w:val="single" w:sz="4" w:space="0" w:color="auto"/>
              <w:left w:val="single" w:sz="4" w:space="0" w:color="auto"/>
              <w:bottom w:val="single" w:sz="4" w:space="0" w:color="auto"/>
              <w:right w:val="single" w:sz="4" w:space="0" w:color="auto"/>
            </w:tcBorders>
            <w:vAlign w:val="center"/>
          </w:tcPr>
          <w:p w:rsidR="00D74637" w:rsidRPr="00AD7E86" w:rsidRDefault="00D74637" w:rsidP="00AD7E86">
            <w:pPr>
              <w:rPr>
                <w:b/>
                <w:bCs/>
              </w:rPr>
            </w:pPr>
            <w:r w:rsidRPr="00AD7E86">
              <w:rPr>
                <w:b/>
                <w:bCs/>
              </w:rPr>
              <w:t xml:space="preserve">Telecomm and/remote control </w:t>
            </w:r>
          </w:p>
        </w:tc>
        <w:tc>
          <w:tcPr>
            <w:tcW w:w="5118" w:type="dxa"/>
            <w:tcBorders>
              <w:top w:val="single" w:sz="4" w:space="0" w:color="auto"/>
              <w:left w:val="single" w:sz="4" w:space="0" w:color="auto"/>
              <w:bottom w:val="single" w:sz="4" w:space="0" w:color="auto"/>
              <w:right w:val="single" w:sz="4" w:space="0" w:color="auto"/>
            </w:tcBorders>
            <w:vAlign w:val="center"/>
          </w:tcPr>
          <w:p w:rsidR="00D74637" w:rsidRPr="00E93D8C" w:rsidRDefault="00D74637" w:rsidP="00AD7E86">
            <w:r w:rsidRPr="00E93D8C">
              <w:t>Radio links for the remote control of cameras and other program</w:t>
            </w:r>
            <w:r w:rsidR="00637452">
              <w:t>me</w:t>
            </w:r>
            <w:r w:rsidRPr="00E93D8C">
              <w:t xml:space="preserve"> making equipment and for signalling</w:t>
            </w:r>
            <w:r w:rsidR="00AD7E86">
              <w:t>.</w:t>
            </w:r>
          </w:p>
        </w:tc>
      </w:tr>
    </w:tbl>
    <w:p w:rsidR="00D74637" w:rsidRPr="00E93D8C" w:rsidRDefault="00D74637" w:rsidP="0032202E">
      <w:pPr>
        <w:pStyle w:val="Reasons"/>
      </w:pPr>
    </w:p>
    <w:p w:rsidR="00187BD9" w:rsidRPr="00E93D8C" w:rsidRDefault="00D74637" w:rsidP="00637452">
      <w:pPr>
        <w:jc w:val="center"/>
      </w:pPr>
      <w:r w:rsidRPr="00E93D8C">
        <w:t>______________</w:t>
      </w:r>
    </w:p>
    <w:sectPr w:rsidR="00187BD9" w:rsidRPr="00E93D8C"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B39C6">
      <w:rPr>
        <w:noProof/>
        <w:lang w:val="en-US"/>
      </w:rPr>
      <w:t>P:\ENG\ITU-R\CONF-R\CMR15\100\130ADD25ADD02E.docx</w:t>
    </w:r>
    <w:r>
      <w:fldChar w:fldCharType="end"/>
    </w:r>
    <w:r w:rsidRPr="0041348E">
      <w:rPr>
        <w:lang w:val="en-US"/>
      </w:rPr>
      <w:tab/>
    </w:r>
    <w:r>
      <w:fldChar w:fldCharType="begin"/>
    </w:r>
    <w:r>
      <w:instrText xml:space="preserve"> SAVEDATE \@ DD.MM.YY </w:instrText>
    </w:r>
    <w:r>
      <w:fldChar w:fldCharType="separate"/>
    </w:r>
    <w:r w:rsidR="006B39C6">
      <w:rPr>
        <w:noProof/>
      </w:rPr>
      <w:t>28.10.15</w:t>
    </w:r>
    <w:r>
      <w:fldChar w:fldCharType="end"/>
    </w:r>
    <w:r w:rsidRPr="0041348E">
      <w:rPr>
        <w:lang w:val="en-US"/>
      </w:rPr>
      <w:tab/>
    </w:r>
    <w:r>
      <w:fldChar w:fldCharType="begin"/>
    </w:r>
    <w:r>
      <w:instrText xml:space="preserve"> PRINTDATE \@ DD.MM.YY </w:instrText>
    </w:r>
    <w:r>
      <w:fldChar w:fldCharType="separate"/>
    </w:r>
    <w:r w:rsidR="006B39C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5466F6">
    <w:pPr>
      <w:pStyle w:val="Footer"/>
    </w:pPr>
    <w:r>
      <w:fldChar w:fldCharType="begin"/>
    </w:r>
    <w:r w:rsidRPr="0041348E">
      <w:rPr>
        <w:lang w:val="en-US"/>
      </w:rPr>
      <w:instrText xml:space="preserve"> FILENAME \p  \* MERGEFORMAT </w:instrText>
    </w:r>
    <w:r>
      <w:fldChar w:fldCharType="separate"/>
    </w:r>
    <w:r w:rsidR="006B39C6">
      <w:rPr>
        <w:lang w:val="en-US"/>
      </w:rPr>
      <w:t>P:\ENG\ITU-R\CONF-R\CMR15\100\130ADD25ADD02E.docx</w:t>
    </w:r>
    <w:r>
      <w:fldChar w:fldCharType="end"/>
    </w:r>
    <w:r w:rsidR="00ED4329">
      <w:t xml:space="preserve"> (389055)</w:t>
    </w:r>
    <w:r w:rsidR="00ED4329">
      <w:tab/>
    </w:r>
    <w:r>
      <w:fldChar w:fldCharType="begin"/>
    </w:r>
    <w:r>
      <w:instrText xml:space="preserve"> SAVEDATE \@ DD.MM.YY </w:instrText>
    </w:r>
    <w:r>
      <w:fldChar w:fldCharType="separate"/>
    </w:r>
    <w:r w:rsidR="006B39C6">
      <w:t>28.10.15</w:t>
    </w:r>
    <w:r>
      <w:fldChar w:fldCharType="end"/>
    </w:r>
    <w:r w:rsidRPr="0041348E">
      <w:rPr>
        <w:lang w:val="en-US"/>
      </w:rPr>
      <w:tab/>
    </w:r>
    <w:r>
      <w:fldChar w:fldCharType="begin"/>
    </w:r>
    <w:r>
      <w:instrText xml:space="preserve"> PRINTDATE \@ DD.MM.YY </w:instrText>
    </w:r>
    <w:r>
      <w:fldChar w:fldCharType="separate"/>
    </w:r>
    <w:r w:rsidR="006B39C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5466F6">
    <w:pPr>
      <w:pStyle w:val="Footer"/>
      <w:rPr>
        <w:lang w:val="en-US"/>
      </w:rPr>
    </w:pPr>
    <w:r>
      <w:fldChar w:fldCharType="begin"/>
    </w:r>
    <w:r w:rsidRPr="0041348E">
      <w:rPr>
        <w:lang w:val="en-US"/>
      </w:rPr>
      <w:instrText xml:space="preserve"> FILENAME \p  \* MERGEFORMAT </w:instrText>
    </w:r>
    <w:r>
      <w:fldChar w:fldCharType="separate"/>
    </w:r>
    <w:r w:rsidR="006B39C6">
      <w:rPr>
        <w:lang w:val="en-US"/>
      </w:rPr>
      <w:t>P:\ENG\ITU-R\CONF-R\CMR15\100\130ADD25ADD02E.docx</w:t>
    </w:r>
    <w:r>
      <w:fldChar w:fldCharType="end"/>
    </w:r>
    <w:r w:rsidR="00ED48FC">
      <w:t xml:space="preserve"> (389055)</w:t>
    </w:r>
    <w:r w:rsidR="00ED48FC">
      <w:tab/>
    </w:r>
    <w:r w:rsidR="005466F6">
      <w:t xml:space="preserve"> </w:t>
    </w:r>
    <w:r>
      <w:fldChar w:fldCharType="begin"/>
    </w:r>
    <w:r>
      <w:instrText xml:space="preserve"> SAVEDATE \@ DD.MM.YY </w:instrText>
    </w:r>
    <w:r>
      <w:fldChar w:fldCharType="separate"/>
    </w:r>
    <w:r w:rsidR="006B39C6">
      <w:t>28.10.15</w:t>
    </w:r>
    <w:r>
      <w:fldChar w:fldCharType="end"/>
    </w:r>
    <w:r w:rsidRPr="0041348E">
      <w:rPr>
        <w:lang w:val="en-US"/>
      </w:rPr>
      <w:tab/>
    </w:r>
    <w:r>
      <w:fldChar w:fldCharType="begin"/>
    </w:r>
    <w:r>
      <w:instrText xml:space="preserve"> PRINTDATE \@ DD.MM.YY </w:instrText>
    </w:r>
    <w:r>
      <w:fldChar w:fldCharType="separate"/>
    </w:r>
    <w:r w:rsidR="006B39C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B39C6">
      <w:rPr>
        <w:noProof/>
      </w:rPr>
      <w:t>4</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130(Add.25)(Add.2)</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35BC8"/>
    <w:rsid w:val="00051E39"/>
    <w:rsid w:val="000705F2"/>
    <w:rsid w:val="00077239"/>
    <w:rsid w:val="00086491"/>
    <w:rsid w:val="00091346"/>
    <w:rsid w:val="0009706C"/>
    <w:rsid w:val="000C38C3"/>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2F32AA"/>
    <w:rsid w:val="002F70ED"/>
    <w:rsid w:val="00361B37"/>
    <w:rsid w:val="00377BD3"/>
    <w:rsid w:val="00384088"/>
    <w:rsid w:val="003852CE"/>
    <w:rsid w:val="0039169B"/>
    <w:rsid w:val="003A7F8C"/>
    <w:rsid w:val="003B2284"/>
    <w:rsid w:val="003B532E"/>
    <w:rsid w:val="003D0F8B"/>
    <w:rsid w:val="003E0DB6"/>
    <w:rsid w:val="00404AB0"/>
    <w:rsid w:val="0041348E"/>
    <w:rsid w:val="00420873"/>
    <w:rsid w:val="00483693"/>
    <w:rsid w:val="00492075"/>
    <w:rsid w:val="004969AD"/>
    <w:rsid w:val="004A26C4"/>
    <w:rsid w:val="004B13CB"/>
    <w:rsid w:val="004D26EA"/>
    <w:rsid w:val="004D2BFB"/>
    <w:rsid w:val="004D5B3B"/>
    <w:rsid w:val="004D5D5C"/>
    <w:rsid w:val="0050139F"/>
    <w:rsid w:val="00517CE9"/>
    <w:rsid w:val="005466F6"/>
    <w:rsid w:val="0055140B"/>
    <w:rsid w:val="005964AB"/>
    <w:rsid w:val="005C099A"/>
    <w:rsid w:val="005C31A5"/>
    <w:rsid w:val="005E10C9"/>
    <w:rsid w:val="005E290B"/>
    <w:rsid w:val="005E61DD"/>
    <w:rsid w:val="006023DF"/>
    <w:rsid w:val="00616219"/>
    <w:rsid w:val="006372B0"/>
    <w:rsid w:val="00637452"/>
    <w:rsid w:val="00657DE0"/>
    <w:rsid w:val="00685313"/>
    <w:rsid w:val="00692833"/>
    <w:rsid w:val="006A6E9B"/>
    <w:rsid w:val="006B39C6"/>
    <w:rsid w:val="006B7C2A"/>
    <w:rsid w:val="006C23DA"/>
    <w:rsid w:val="006E3D45"/>
    <w:rsid w:val="007149F9"/>
    <w:rsid w:val="00733A30"/>
    <w:rsid w:val="00745AEE"/>
    <w:rsid w:val="00750F10"/>
    <w:rsid w:val="007742CA"/>
    <w:rsid w:val="00790D70"/>
    <w:rsid w:val="007A6F1F"/>
    <w:rsid w:val="007D5320"/>
    <w:rsid w:val="00800972"/>
    <w:rsid w:val="00800976"/>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3B8"/>
    <w:rsid w:val="00A16D29"/>
    <w:rsid w:val="00A30305"/>
    <w:rsid w:val="00A31D2D"/>
    <w:rsid w:val="00A4600A"/>
    <w:rsid w:val="00A538A6"/>
    <w:rsid w:val="00A54C25"/>
    <w:rsid w:val="00A710E7"/>
    <w:rsid w:val="00A7372E"/>
    <w:rsid w:val="00A93B85"/>
    <w:rsid w:val="00AA0B18"/>
    <w:rsid w:val="00AA3C65"/>
    <w:rsid w:val="00AA666F"/>
    <w:rsid w:val="00AD7E86"/>
    <w:rsid w:val="00B31833"/>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02F50"/>
    <w:rsid w:val="00D14CE0"/>
    <w:rsid w:val="00D268B3"/>
    <w:rsid w:val="00D31E42"/>
    <w:rsid w:val="00D54009"/>
    <w:rsid w:val="00D5651D"/>
    <w:rsid w:val="00D57A34"/>
    <w:rsid w:val="00D74637"/>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3D8C"/>
    <w:rsid w:val="00E976C1"/>
    <w:rsid w:val="00EA12E5"/>
    <w:rsid w:val="00EB55C6"/>
    <w:rsid w:val="00ED4329"/>
    <w:rsid w:val="00ED48FC"/>
    <w:rsid w:val="00EF08B2"/>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5BE6A02-C395-4C47-BA01-70204C2E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customStyle="1" w:styleId="Default">
    <w:name w:val="Default"/>
    <w:rsid w:val="00D74637"/>
    <w:pPr>
      <w:autoSpaceDE w:val="0"/>
      <w:autoSpaceDN w:val="0"/>
      <w:adjustRightInd w:val="0"/>
    </w:pPr>
    <w:rPr>
      <w:rFonts w:ascii="Times New Roman" w:eastAsiaTheme="minorHAnsi" w:hAnsi="Times New Roman"/>
      <w:color w:val="000000"/>
      <w:sz w:val="24"/>
      <w:szCs w:val="24"/>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R15-WRC15-C-0130!A25-A2!MSW-E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750E556-E749-49FF-9DDF-9D8C63E90855}">
  <ds:schemaRefs>
    <ds:schemaRef ds:uri="http://schemas.microsoft.com/office/2006/metadata/properties"/>
    <ds:schemaRef ds:uri="http://schemas.microsoft.com/office/2006/documentManagement/types"/>
    <ds:schemaRef ds:uri="http://schemas.openxmlformats.org/package/2006/metadata/core-properties"/>
    <ds:schemaRef ds:uri="996b2e75-67fd-4955-a3b0-5ab9934cb50b"/>
    <ds:schemaRef ds:uri="http://purl.org/dc/elements/1.1/"/>
    <ds:schemaRef ds:uri="http://www.w3.org/XML/1998/namespace"/>
    <ds:schemaRef ds:uri="http://schemas.microsoft.com/office/infopath/2007/PartnerControls"/>
    <ds:schemaRef ds:uri="32a1a8c5-2265-4ebc-b7a0-2071e2c5c9bb"/>
    <ds:schemaRef ds:uri="http://purl.org/dc/dcmitype/"/>
    <ds:schemaRef ds:uri="http://purl.org/dc/te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09C49C-D1AE-4426-B804-E30EF0DA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30</TotalTime>
  <Pages>4</Pages>
  <Words>950</Words>
  <Characters>5958</Characters>
  <Application>Microsoft Office Word</Application>
  <DocSecurity>0</DocSecurity>
  <Lines>238</Lines>
  <Paragraphs>143</Paragraphs>
  <ScaleCrop>false</ScaleCrop>
  <HeadingPairs>
    <vt:vector size="2" baseType="variant">
      <vt:variant>
        <vt:lpstr>Title</vt:lpstr>
      </vt:variant>
      <vt:variant>
        <vt:i4>1</vt:i4>
      </vt:variant>
    </vt:vector>
  </HeadingPairs>
  <TitlesOfParts>
    <vt:vector size="1" baseType="lpstr">
      <vt:lpstr>R15-WRC15-C-0130!A25-A2!MSW-E</vt:lpstr>
    </vt:vector>
  </TitlesOfParts>
  <Manager>General Secretariat - Pool</Manager>
  <Company>International Telecommunication Union (ITU)</Company>
  <LinksUpToDate>false</LinksUpToDate>
  <CharactersWithSpaces>6765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R15-WRC15-C-0130!A25-A2!MSW-E</dc:title>
  <dc:subject>World Radiocommunication Conference - 2015</dc:subject>
  <dc:creator>Documents Proposals Manager (DPM)</dc:creator>
  <cp:keywords>DPM_v5.2015.10.230_prod</cp:keywords>
  <dc:description>Uploaded on 2015.07.06</dc:description>
  <cp:lastModifiedBy>Turnbull, Karen</cp:lastModifiedBy>
  <cp:revision>16</cp:revision>
  <cp:lastPrinted>2014-02-10T09:49:00Z</cp:lastPrinted>
  <dcterms:created xsi:type="dcterms:W3CDTF">2015-10-28T11:51:00Z</dcterms:created>
  <dcterms:modified xsi:type="dcterms:W3CDTF">2015-10-28T13:34:00Z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