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206" w:type="dxa"/>
        <w:tblLayout w:type="fixed"/>
        <w:tblLook w:val="0000" w:firstRow="0" w:lastRow="0" w:firstColumn="0" w:lastColumn="0" w:noHBand="0" w:noVBand="0"/>
      </w:tblPr>
      <w:tblGrid>
        <w:gridCol w:w="6911"/>
        <w:gridCol w:w="3295"/>
      </w:tblGrid>
      <w:tr w:rsidR="0090121B" w:rsidRPr="00A1149C" w14:paraId="07F3140C" w14:textId="77777777" w:rsidTr="00724889">
        <w:trPr>
          <w:cantSplit/>
        </w:trPr>
        <w:tc>
          <w:tcPr>
            <w:tcW w:w="6911" w:type="dxa"/>
          </w:tcPr>
          <w:p w14:paraId="20E78E2B" w14:textId="77777777" w:rsidR="0090121B" w:rsidRPr="00A1149C" w:rsidRDefault="005D46FB" w:rsidP="00795C47">
            <w:pPr>
              <w:spacing w:before="400" w:after="48"/>
              <w:rPr>
                <w:rFonts w:ascii="Verdana" w:hAnsi="Verdana"/>
                <w:position w:val="6"/>
                <w:lang w:val="es-ES"/>
              </w:rPr>
            </w:pPr>
            <w:r w:rsidRPr="00A1149C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Conferencia Mundial de Radiocomunicaciones (CMR-15)</w:t>
            </w:r>
            <w:r w:rsidRPr="00A1149C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Pr="00A1149C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s-ES"/>
              </w:rPr>
              <w:t>Ginebra, 2-27 de noviembre de 2015</w:t>
            </w:r>
          </w:p>
        </w:tc>
        <w:tc>
          <w:tcPr>
            <w:tcW w:w="3295" w:type="dxa"/>
          </w:tcPr>
          <w:p w14:paraId="6E45D46C" w14:textId="77777777" w:rsidR="0090121B" w:rsidRPr="00A1149C" w:rsidRDefault="00CE7431" w:rsidP="00795C47">
            <w:pPr>
              <w:spacing w:before="0"/>
              <w:jc w:val="right"/>
              <w:rPr>
                <w:lang w:val="es-ES"/>
              </w:rPr>
            </w:pPr>
            <w:bookmarkStart w:id="0" w:name="ditulogo"/>
            <w:bookmarkEnd w:id="0"/>
            <w:r w:rsidRPr="00A1149C">
              <w:rPr>
                <w:noProof/>
                <w:lang w:val="en-US" w:eastAsia="zh-CN"/>
              </w:rPr>
              <w:drawing>
                <wp:inline distT="0" distB="0" distL="0" distR="0" wp14:anchorId="5A483E53" wp14:editId="208BE712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A1149C" w14:paraId="3D8577D4" w14:textId="77777777" w:rsidTr="0072488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354B78D" w14:textId="77777777" w:rsidR="0090121B" w:rsidRPr="00A1149C" w:rsidRDefault="00CE7431" w:rsidP="00795C47">
            <w:pPr>
              <w:spacing w:before="0" w:after="48"/>
              <w:rPr>
                <w:b/>
                <w:smallCaps/>
                <w:szCs w:val="24"/>
                <w:lang w:val="es-ES"/>
              </w:rPr>
            </w:pPr>
            <w:bookmarkStart w:id="1" w:name="dhead"/>
            <w:r w:rsidRPr="00A1149C">
              <w:rPr>
                <w:rFonts w:ascii="Verdana" w:hAnsi="Verdana"/>
                <w:b/>
                <w:smallCaps/>
                <w:sz w:val="20"/>
                <w:lang w:val="es-ES"/>
              </w:rPr>
              <w:t>UNIÓN INTERNACIONAL DE TELECOMUNICACIONES</w:t>
            </w:r>
          </w:p>
        </w:tc>
        <w:tc>
          <w:tcPr>
            <w:tcW w:w="3295" w:type="dxa"/>
            <w:tcBorders>
              <w:bottom w:val="single" w:sz="12" w:space="0" w:color="auto"/>
            </w:tcBorders>
          </w:tcPr>
          <w:p w14:paraId="34124FA0" w14:textId="77777777" w:rsidR="0090121B" w:rsidRPr="00A1149C" w:rsidRDefault="0090121B" w:rsidP="00795C47">
            <w:pPr>
              <w:spacing w:before="0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90121B" w:rsidRPr="00A1149C" w14:paraId="12978D78" w14:textId="77777777" w:rsidTr="0072488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452DD87" w14:textId="77777777" w:rsidR="0090121B" w:rsidRPr="00A1149C" w:rsidRDefault="0090121B" w:rsidP="00795C47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295" w:type="dxa"/>
            <w:tcBorders>
              <w:top w:val="single" w:sz="12" w:space="0" w:color="auto"/>
            </w:tcBorders>
          </w:tcPr>
          <w:p w14:paraId="3A0951E5" w14:textId="77777777" w:rsidR="0090121B" w:rsidRPr="00A1149C" w:rsidRDefault="0090121B" w:rsidP="00795C47">
            <w:pPr>
              <w:spacing w:before="0"/>
              <w:rPr>
                <w:rFonts w:ascii="Verdana" w:hAnsi="Verdana"/>
                <w:sz w:val="20"/>
                <w:lang w:val="es-ES"/>
              </w:rPr>
            </w:pPr>
          </w:p>
        </w:tc>
      </w:tr>
      <w:tr w:rsidR="0090121B" w:rsidRPr="00A1149C" w14:paraId="7F79472A" w14:textId="77777777" w:rsidTr="00724889">
        <w:trPr>
          <w:cantSplit/>
        </w:trPr>
        <w:tc>
          <w:tcPr>
            <w:tcW w:w="6911" w:type="dxa"/>
            <w:shd w:val="clear" w:color="auto" w:fill="auto"/>
          </w:tcPr>
          <w:p w14:paraId="5B1AEED0" w14:textId="77777777" w:rsidR="0090121B" w:rsidRPr="00A1149C" w:rsidRDefault="00AE658F" w:rsidP="00795C47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A1149C">
              <w:rPr>
                <w:rFonts w:ascii="Verdana" w:hAnsi="Verdana"/>
                <w:b/>
                <w:sz w:val="20"/>
                <w:lang w:val="es-ES"/>
              </w:rPr>
              <w:t>SESIÓN PLENARIA</w:t>
            </w:r>
          </w:p>
        </w:tc>
        <w:tc>
          <w:tcPr>
            <w:tcW w:w="3295" w:type="dxa"/>
            <w:shd w:val="clear" w:color="auto" w:fill="auto"/>
          </w:tcPr>
          <w:p w14:paraId="33488093" w14:textId="77777777" w:rsidR="0090121B" w:rsidRPr="00A1149C" w:rsidRDefault="00AE658F" w:rsidP="00795C47">
            <w:pPr>
              <w:spacing w:before="0"/>
              <w:rPr>
                <w:rFonts w:ascii="Verdana" w:hAnsi="Verdana"/>
                <w:sz w:val="20"/>
                <w:lang w:val="es-ES"/>
              </w:rPr>
            </w:pPr>
            <w:r w:rsidRPr="00A1149C">
              <w:rPr>
                <w:rFonts w:ascii="Verdana" w:eastAsia="SimSun" w:hAnsi="Verdana" w:cs="Traditional Arabic"/>
                <w:b/>
                <w:sz w:val="20"/>
                <w:lang w:val="es-ES"/>
              </w:rPr>
              <w:t>Addéndum 2 al</w:t>
            </w:r>
            <w:r w:rsidRPr="00A1149C">
              <w:rPr>
                <w:rFonts w:ascii="Verdana" w:eastAsia="SimSun" w:hAnsi="Verdana" w:cs="Traditional Arabic"/>
                <w:b/>
                <w:sz w:val="20"/>
                <w:lang w:val="es-ES"/>
              </w:rPr>
              <w:br/>
              <w:t>Documento 130(Add.25)</w:t>
            </w:r>
            <w:r w:rsidR="0090121B" w:rsidRPr="00A1149C">
              <w:rPr>
                <w:rFonts w:ascii="Verdana" w:hAnsi="Verdana"/>
                <w:b/>
                <w:sz w:val="20"/>
                <w:lang w:val="es-ES"/>
              </w:rPr>
              <w:t>-</w:t>
            </w:r>
            <w:r w:rsidRPr="00A1149C">
              <w:rPr>
                <w:rFonts w:ascii="Verdana" w:hAnsi="Verdana"/>
                <w:b/>
                <w:sz w:val="20"/>
                <w:lang w:val="es-ES"/>
              </w:rPr>
              <w:t>S</w:t>
            </w:r>
          </w:p>
        </w:tc>
      </w:tr>
      <w:bookmarkEnd w:id="1"/>
      <w:tr w:rsidR="000A5B9A" w:rsidRPr="00A1149C" w14:paraId="39E74AFE" w14:textId="77777777" w:rsidTr="00724889">
        <w:trPr>
          <w:cantSplit/>
        </w:trPr>
        <w:tc>
          <w:tcPr>
            <w:tcW w:w="6911" w:type="dxa"/>
            <w:shd w:val="clear" w:color="auto" w:fill="auto"/>
          </w:tcPr>
          <w:p w14:paraId="6AAC0633" w14:textId="77777777" w:rsidR="000A5B9A" w:rsidRPr="00A1149C" w:rsidRDefault="000A5B9A" w:rsidP="00795C47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295" w:type="dxa"/>
            <w:shd w:val="clear" w:color="auto" w:fill="auto"/>
          </w:tcPr>
          <w:p w14:paraId="6476BAC0" w14:textId="77777777" w:rsidR="000A5B9A" w:rsidRPr="00A1149C" w:rsidRDefault="000A5B9A" w:rsidP="00795C47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A1149C">
              <w:rPr>
                <w:rFonts w:ascii="Verdana" w:hAnsi="Verdana"/>
                <w:b/>
                <w:sz w:val="20"/>
                <w:lang w:val="es-ES"/>
              </w:rPr>
              <w:t>19 de octubre de 2015</w:t>
            </w:r>
          </w:p>
        </w:tc>
      </w:tr>
      <w:tr w:rsidR="000A5B9A" w:rsidRPr="00A1149C" w14:paraId="67F26049" w14:textId="77777777" w:rsidTr="00724889">
        <w:trPr>
          <w:cantSplit/>
        </w:trPr>
        <w:tc>
          <w:tcPr>
            <w:tcW w:w="6911" w:type="dxa"/>
          </w:tcPr>
          <w:p w14:paraId="7934B3AF" w14:textId="77777777" w:rsidR="000A5B9A" w:rsidRPr="00A1149C" w:rsidRDefault="000A5B9A" w:rsidP="00795C47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295" w:type="dxa"/>
          </w:tcPr>
          <w:p w14:paraId="75DE305D" w14:textId="77777777" w:rsidR="000A5B9A" w:rsidRPr="00A1149C" w:rsidRDefault="000A5B9A" w:rsidP="00795C47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A1149C">
              <w:rPr>
                <w:rFonts w:ascii="Verdana" w:hAnsi="Verdana"/>
                <w:b/>
                <w:sz w:val="20"/>
                <w:lang w:val="es-ES"/>
              </w:rPr>
              <w:t>Original: inglés</w:t>
            </w:r>
          </w:p>
        </w:tc>
      </w:tr>
      <w:tr w:rsidR="000A5B9A" w:rsidRPr="00A1149C" w14:paraId="2BDF3AF4" w14:textId="77777777" w:rsidTr="00724889">
        <w:trPr>
          <w:cantSplit/>
        </w:trPr>
        <w:tc>
          <w:tcPr>
            <w:tcW w:w="10206" w:type="dxa"/>
            <w:gridSpan w:val="2"/>
          </w:tcPr>
          <w:p w14:paraId="5864BE23" w14:textId="77777777" w:rsidR="000A5B9A" w:rsidRPr="00A1149C" w:rsidRDefault="000A5B9A" w:rsidP="00795C47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</w:p>
        </w:tc>
      </w:tr>
      <w:tr w:rsidR="000A5B9A" w:rsidRPr="00A1149C" w14:paraId="55C324ED" w14:textId="77777777" w:rsidTr="00724889">
        <w:trPr>
          <w:cantSplit/>
        </w:trPr>
        <w:tc>
          <w:tcPr>
            <w:tcW w:w="10206" w:type="dxa"/>
            <w:gridSpan w:val="2"/>
          </w:tcPr>
          <w:p w14:paraId="2DE56E3F" w14:textId="77777777" w:rsidR="000A5B9A" w:rsidRPr="00A1149C" w:rsidRDefault="000A5B9A" w:rsidP="00795C47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A1149C">
              <w:rPr>
                <w:lang w:val="es-ES"/>
              </w:rPr>
              <w:t>Angola (República de)/Botswana (República de)/Lesotho (Reino de)/Madagascar (República de)/Malawi/Mauricio (República de)/Mozambique (República de)/Namibia (República de)/República Democrática del Congo/Seychelles (República de)/Sudafricana (República)/Swazilandia (Reino de)/Tanzanía (República Unida de)/Zambia (República de)/Zimbabwe (República de)</w:t>
            </w:r>
          </w:p>
        </w:tc>
      </w:tr>
      <w:tr w:rsidR="000A5B9A" w:rsidRPr="00A1149C" w14:paraId="6FA63B79" w14:textId="77777777" w:rsidTr="00724889">
        <w:trPr>
          <w:cantSplit/>
        </w:trPr>
        <w:tc>
          <w:tcPr>
            <w:tcW w:w="10206" w:type="dxa"/>
            <w:gridSpan w:val="2"/>
          </w:tcPr>
          <w:p w14:paraId="3A6C8139" w14:textId="77777777" w:rsidR="000A5B9A" w:rsidRPr="00A1149C" w:rsidRDefault="00892583" w:rsidP="00795C47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A1149C">
              <w:rPr>
                <w:lang w:val="es-ES"/>
              </w:rPr>
              <w:t>propuestas para los trabajos de la conferencia</w:t>
            </w:r>
          </w:p>
        </w:tc>
      </w:tr>
      <w:tr w:rsidR="000A5B9A" w:rsidRPr="00A1149C" w14:paraId="7CEEDEB9" w14:textId="77777777" w:rsidTr="00724889">
        <w:trPr>
          <w:cantSplit/>
        </w:trPr>
        <w:tc>
          <w:tcPr>
            <w:tcW w:w="10206" w:type="dxa"/>
            <w:gridSpan w:val="2"/>
          </w:tcPr>
          <w:p w14:paraId="57449401" w14:textId="77777777" w:rsidR="000A5B9A" w:rsidRPr="00A1149C" w:rsidRDefault="000A5B9A" w:rsidP="00795C47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:rsidRPr="00A1149C" w14:paraId="18516B00" w14:textId="77777777" w:rsidTr="00724889">
        <w:trPr>
          <w:cantSplit/>
        </w:trPr>
        <w:tc>
          <w:tcPr>
            <w:tcW w:w="10206" w:type="dxa"/>
            <w:gridSpan w:val="2"/>
          </w:tcPr>
          <w:p w14:paraId="72E362C7" w14:textId="77777777" w:rsidR="000A5B9A" w:rsidRPr="00A1149C" w:rsidRDefault="000A5B9A" w:rsidP="00795C47">
            <w:pPr>
              <w:pStyle w:val="Agendaitem"/>
              <w:rPr>
                <w:lang w:val="es-ES"/>
              </w:rPr>
            </w:pPr>
            <w:bookmarkStart w:id="5" w:name="dtitle3" w:colFirst="0" w:colLast="0"/>
            <w:bookmarkEnd w:id="4"/>
            <w:r w:rsidRPr="00A1149C">
              <w:rPr>
                <w:lang w:val="es-ES"/>
              </w:rPr>
              <w:t>Punto 10 del orden del día</w:t>
            </w:r>
          </w:p>
        </w:tc>
      </w:tr>
    </w:tbl>
    <w:bookmarkEnd w:id="5"/>
    <w:p w14:paraId="06829879" w14:textId="77777777" w:rsidR="00E1398F" w:rsidRPr="00A1149C" w:rsidRDefault="00A6151F" w:rsidP="009C0777">
      <w:pPr>
        <w:rPr>
          <w:lang w:val="es-ES"/>
        </w:rPr>
      </w:pPr>
      <w:r w:rsidRPr="00A1149C">
        <w:rPr>
          <w:lang w:val="es-ES"/>
        </w:rPr>
        <w:t>10</w:t>
      </w:r>
      <w:r w:rsidRPr="00A1149C">
        <w:rPr>
          <w:lang w:val="es-ES"/>
        </w:rPr>
        <w:tab/>
        <w:t>recomendar al Consejo los puntos que han de incluirse en el orden del día de la próxima CMR, y formular opiniones sobre el orden del día preliminar de la conferencia subsiguiente y sobre los posibles órdenes del día de futuras conferencias, de conformidad con el Artículo 7 del Convenio,</w:t>
      </w:r>
    </w:p>
    <w:p w14:paraId="5B2019A5" w14:textId="77777777" w:rsidR="00363A65" w:rsidRPr="00A1149C" w:rsidRDefault="00363A65" w:rsidP="009C0777">
      <w:pPr>
        <w:rPr>
          <w:lang w:val="es-ES"/>
        </w:rPr>
      </w:pPr>
    </w:p>
    <w:p w14:paraId="7984B7EA" w14:textId="77777777" w:rsidR="003C0363" w:rsidRPr="00A1149C" w:rsidRDefault="00FF6E96" w:rsidP="009C0777">
      <w:pPr>
        <w:rPr>
          <w:rFonts w:ascii="Arial" w:hAnsi="Arial" w:cs="Arial"/>
          <w:bCs/>
          <w:sz w:val="23"/>
          <w:szCs w:val="23"/>
          <w:lang w:val="es-ES"/>
        </w:rPr>
      </w:pPr>
      <w:r w:rsidRPr="002C2566">
        <w:rPr>
          <w:rFonts w:asciiTheme="majorBidi" w:hAnsiTheme="majorBidi" w:cstheme="majorBidi"/>
          <w:b/>
          <w:bCs/>
          <w:i/>
          <w:iCs/>
          <w:lang w:val="es-ES"/>
        </w:rPr>
        <w:t>Asunto</w:t>
      </w:r>
      <w:r w:rsidR="003C0363" w:rsidRPr="00A1149C">
        <w:rPr>
          <w:rFonts w:asciiTheme="majorBidi" w:hAnsiTheme="majorBidi" w:cstheme="majorBidi"/>
          <w:b/>
          <w:bCs/>
          <w:lang w:val="es-ES"/>
        </w:rPr>
        <w:t xml:space="preserve">: </w:t>
      </w:r>
      <w:r w:rsidRPr="008E2A7A">
        <w:rPr>
          <w:rFonts w:asciiTheme="majorBidi" w:hAnsiTheme="majorBidi" w:cstheme="majorBidi"/>
          <w:lang w:val="es-ES"/>
        </w:rPr>
        <w:t>S</w:t>
      </w:r>
      <w:r w:rsidRPr="00A1149C">
        <w:rPr>
          <w:rFonts w:asciiTheme="majorBidi" w:hAnsiTheme="majorBidi" w:cstheme="majorBidi"/>
          <w:bCs/>
          <w:lang w:val="es-ES"/>
        </w:rPr>
        <w:t xml:space="preserve">ervicios auxiliares a la realización de programas y Servicios auxiliares a la radiodifusión </w:t>
      </w:r>
      <w:r w:rsidR="003C0363" w:rsidRPr="00A1149C">
        <w:rPr>
          <w:rFonts w:asciiTheme="majorBidi" w:hAnsiTheme="majorBidi" w:cstheme="majorBidi"/>
          <w:bCs/>
          <w:lang w:val="es-ES"/>
        </w:rPr>
        <w:t>(SAP/SAB)</w:t>
      </w:r>
    </w:p>
    <w:p w14:paraId="73907834" w14:textId="15E11205" w:rsidR="00892583" w:rsidRPr="00A1149C" w:rsidRDefault="00FF6E96" w:rsidP="00B1534C">
      <w:pPr>
        <w:rPr>
          <w:rFonts w:asciiTheme="majorBidi" w:hAnsiTheme="majorBidi" w:cstheme="majorBidi"/>
          <w:lang w:val="es-ES"/>
        </w:rPr>
      </w:pPr>
      <w:r w:rsidRPr="002C2566">
        <w:rPr>
          <w:rFonts w:asciiTheme="majorBidi" w:hAnsiTheme="majorBidi" w:cstheme="majorBidi"/>
          <w:b/>
          <w:bCs/>
          <w:i/>
          <w:iCs/>
          <w:lang w:val="es-ES"/>
        </w:rPr>
        <w:t>Orige</w:t>
      </w:r>
      <w:r w:rsidR="003C0363" w:rsidRPr="002C2566">
        <w:rPr>
          <w:rFonts w:asciiTheme="majorBidi" w:hAnsiTheme="majorBidi" w:cstheme="majorBidi"/>
          <w:b/>
          <w:bCs/>
          <w:i/>
          <w:iCs/>
          <w:lang w:val="es-ES"/>
        </w:rPr>
        <w:t>n</w:t>
      </w:r>
      <w:r w:rsidR="003C0363" w:rsidRPr="00A1149C">
        <w:rPr>
          <w:rFonts w:asciiTheme="majorBidi" w:hAnsiTheme="majorBidi" w:cstheme="majorBidi"/>
          <w:b/>
          <w:bCs/>
          <w:lang w:val="es-ES"/>
        </w:rPr>
        <w:t>:</w:t>
      </w:r>
      <w:r w:rsidR="003C0363" w:rsidRPr="009C0777">
        <w:t xml:space="preserve"> </w:t>
      </w:r>
      <w:r w:rsidR="00450722">
        <w:t>Sudafricana (República),</w:t>
      </w:r>
      <w:r w:rsidR="009C0777" w:rsidRPr="009C0777">
        <w:t>Angola (República de)</w:t>
      </w:r>
      <w:r w:rsidR="00450722">
        <w:t xml:space="preserve">, </w:t>
      </w:r>
      <w:r w:rsidR="009C0777" w:rsidRPr="009C0777">
        <w:t>Botswana (República de)</w:t>
      </w:r>
      <w:r w:rsidR="00450722">
        <w:t xml:space="preserve">, </w:t>
      </w:r>
      <w:r w:rsidR="004835D7" w:rsidRPr="009C0777">
        <w:t>República Democrática del Congo</w:t>
      </w:r>
      <w:r w:rsidR="004835D7">
        <w:t>,</w:t>
      </w:r>
      <w:r w:rsidR="004835D7" w:rsidRPr="009C0777">
        <w:t xml:space="preserve"> </w:t>
      </w:r>
      <w:r w:rsidR="009C0777" w:rsidRPr="009C0777">
        <w:t>Lesotho</w:t>
      </w:r>
      <w:r w:rsidR="004F546F">
        <w:t xml:space="preserve"> (Reino de),</w:t>
      </w:r>
      <w:r w:rsidR="004F546F" w:rsidRPr="004F546F">
        <w:t xml:space="preserve"> </w:t>
      </w:r>
      <w:r w:rsidR="004F546F" w:rsidRPr="009C0777">
        <w:t>Mauricio (República de)</w:t>
      </w:r>
      <w:r w:rsidR="004F546F">
        <w:t>,</w:t>
      </w:r>
      <w:r w:rsidR="004F190C">
        <w:t xml:space="preserve"> </w:t>
      </w:r>
      <w:r w:rsidR="009C0777" w:rsidRPr="009C0777">
        <w:t>Madagascar (República de)</w:t>
      </w:r>
      <w:r w:rsidR="00450722">
        <w:t xml:space="preserve">, </w:t>
      </w:r>
      <w:r w:rsidR="009C0777" w:rsidRPr="009C0777">
        <w:t>Mozambique (República de)</w:t>
      </w:r>
      <w:r w:rsidR="00450722">
        <w:t xml:space="preserve">, </w:t>
      </w:r>
      <w:r w:rsidR="00B1534C" w:rsidRPr="009C0777">
        <w:t>Malawi</w:t>
      </w:r>
      <w:r w:rsidR="00B1534C">
        <w:t>,</w:t>
      </w:r>
      <w:r w:rsidR="00B1534C" w:rsidRPr="009C0777">
        <w:t xml:space="preserve"> </w:t>
      </w:r>
      <w:r w:rsidR="009C0777" w:rsidRPr="009C0777">
        <w:t>Namibia (República de)</w:t>
      </w:r>
      <w:r w:rsidR="004835D7">
        <w:t xml:space="preserve">, </w:t>
      </w:r>
      <w:r w:rsidR="009C0777" w:rsidRPr="009C0777">
        <w:t>Seychelles (República de)</w:t>
      </w:r>
      <w:r w:rsidR="00450722">
        <w:t xml:space="preserve">, </w:t>
      </w:r>
      <w:r w:rsidR="009C0777" w:rsidRPr="009C0777">
        <w:t>Swazilandia (Reino de)</w:t>
      </w:r>
      <w:r w:rsidR="00450722">
        <w:t xml:space="preserve">, </w:t>
      </w:r>
      <w:r w:rsidR="009C0777" w:rsidRPr="009C0777">
        <w:t>Tanzanía (República Unida de)</w:t>
      </w:r>
      <w:r w:rsidR="00450722">
        <w:t xml:space="preserve">, </w:t>
      </w:r>
      <w:r w:rsidR="009C0777" w:rsidRPr="009C0777">
        <w:t>Zambia (República de)</w:t>
      </w:r>
      <w:r w:rsidR="00450722">
        <w:t xml:space="preserve">, </w:t>
      </w:r>
      <w:r w:rsidR="009C0777" w:rsidRPr="009C0777">
        <w:t>Zimbabwe (República de)</w:t>
      </w:r>
      <w:r w:rsidR="00236175">
        <w:t>.</w:t>
      </w:r>
    </w:p>
    <w:tbl>
      <w:tblPr>
        <w:tblW w:w="9954" w:type="dxa"/>
        <w:tblInd w:w="-1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2"/>
        <w:gridCol w:w="5495"/>
        <w:gridCol w:w="4033"/>
        <w:gridCol w:w="284"/>
      </w:tblGrid>
      <w:tr w:rsidR="002028E8" w:rsidRPr="00A1149C" w14:paraId="2416D99B" w14:textId="77777777" w:rsidTr="00321DA1">
        <w:trPr>
          <w:gridAfter w:val="1"/>
          <w:wAfter w:w="284" w:type="dxa"/>
          <w:trHeight w:val="160"/>
        </w:trPr>
        <w:tc>
          <w:tcPr>
            <w:tcW w:w="9670" w:type="dxa"/>
            <w:gridSpan w:val="3"/>
          </w:tcPr>
          <w:p w14:paraId="7EC4FF91" w14:textId="77777777" w:rsidR="0057235B" w:rsidRPr="00A1149C" w:rsidRDefault="0057235B" w:rsidP="0057235B">
            <w:pPr>
              <w:rPr>
                <w:rFonts w:asciiTheme="majorBidi" w:hAnsiTheme="majorBidi" w:cstheme="majorBidi"/>
                <w:lang w:val="es-ES"/>
              </w:rPr>
            </w:pPr>
            <w:r w:rsidRPr="002C2566">
              <w:rPr>
                <w:rFonts w:asciiTheme="majorBidi" w:hAnsiTheme="majorBidi" w:cstheme="majorBidi"/>
                <w:b/>
                <w:bCs/>
                <w:i/>
                <w:iCs/>
                <w:lang w:val="es-ES"/>
              </w:rPr>
              <w:t>Propuesta</w:t>
            </w:r>
            <w:r w:rsidRPr="00A1149C">
              <w:rPr>
                <w:rFonts w:asciiTheme="majorBidi" w:hAnsiTheme="majorBidi" w:cstheme="majorBidi"/>
                <w:b/>
                <w:bCs/>
                <w:lang w:val="es-ES"/>
              </w:rPr>
              <w:t>:</w:t>
            </w:r>
            <w:r w:rsidRPr="00A1149C">
              <w:rPr>
                <w:rFonts w:asciiTheme="majorBidi" w:hAnsiTheme="majorBidi" w:cstheme="majorBidi"/>
                <w:lang w:val="es-ES"/>
              </w:rPr>
              <w:t xml:space="preserve"> Estudios sobre disponibilidad de bandas de frecuencias y/o gamas de sintonía para la armonización a nivel mundial y/o regional y condiciones para su utilización por los sistemas electrónicos terrenales de periodismo electrónico (RESOLUCIÓN UIT-R 59).</w:t>
            </w:r>
          </w:p>
          <w:p w14:paraId="668D65F8" w14:textId="77777777" w:rsidR="0057235B" w:rsidRPr="00A1149C" w:rsidRDefault="0057235B" w:rsidP="0057235B">
            <w:pPr>
              <w:rPr>
                <w:rFonts w:asciiTheme="majorBidi" w:hAnsiTheme="majorBidi" w:cstheme="majorBidi"/>
                <w:lang w:val="es-ES"/>
              </w:rPr>
            </w:pPr>
            <w:r w:rsidRPr="00A1149C">
              <w:rPr>
                <w:rFonts w:asciiTheme="majorBidi" w:hAnsiTheme="majorBidi" w:cstheme="majorBidi"/>
                <w:lang w:val="es-ES"/>
              </w:rPr>
              <w:t>Aunque en la Resolución UIT-R 59 se hace referencia a los servicios de periodismo electrónico, se menciona claramente lo siguiente:</w:t>
            </w:r>
          </w:p>
          <w:p w14:paraId="00B6C58A" w14:textId="598DD00E" w:rsidR="0057235B" w:rsidRDefault="0057235B" w:rsidP="0057235B">
            <w:pPr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es-ES"/>
              </w:rPr>
            </w:pPr>
            <w:r w:rsidRPr="00A1149C">
              <w:rPr>
                <w:i/>
                <w:iCs/>
                <w:lang w:val="es-ES"/>
              </w:rPr>
              <w:t>En la presente Resolución, el periodismo electrónico abarca a todas las aplicaciones auxiliares de la radiodifusión, tales como el periodismo electrónico terrenal, la producción electrónica en directo, la radiodifusión de televisión en exteriores, los micrófonos radioeléctricos inalámbricos y la producción y radiodifusión en exteriores.</w:t>
            </w:r>
          </w:p>
          <w:p w14:paraId="4B73DB6E" w14:textId="49DA38A9" w:rsidR="002028E8" w:rsidRPr="00A1149C" w:rsidRDefault="00FF6E96" w:rsidP="002D4893">
            <w:pPr>
              <w:spacing w:before="0"/>
              <w:rPr>
                <w:rFonts w:asciiTheme="majorBidi" w:hAnsiTheme="majorBidi" w:cstheme="majorBidi"/>
                <w:bCs/>
                <w:color w:val="000000"/>
                <w:szCs w:val="24"/>
                <w:lang w:val="es-ES"/>
              </w:rPr>
            </w:pPr>
            <w:r w:rsidRPr="002C2566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Cs w:val="24"/>
                <w:lang w:val="es-ES"/>
              </w:rPr>
              <w:lastRenderedPageBreak/>
              <w:t>Antecedentes/motivos</w:t>
            </w:r>
            <w:r w:rsidR="002028E8" w:rsidRPr="002C2566">
              <w:rPr>
                <w:rFonts w:asciiTheme="majorBidi" w:hAnsiTheme="majorBidi" w:cstheme="majorBidi"/>
                <w:b/>
                <w:color w:val="000000"/>
                <w:szCs w:val="24"/>
                <w:lang w:val="es-ES"/>
              </w:rPr>
              <w:t>:</w:t>
            </w:r>
            <w:r w:rsidR="002028E8" w:rsidRPr="00A1149C">
              <w:rPr>
                <w:rFonts w:asciiTheme="majorBidi" w:hAnsiTheme="majorBidi" w:cstheme="majorBidi"/>
                <w:bCs/>
                <w:color w:val="000000"/>
                <w:szCs w:val="24"/>
                <w:lang w:val="es-ES"/>
              </w:rPr>
              <w:t xml:space="preserve"> </w:t>
            </w:r>
            <w:r w:rsidR="002C1331" w:rsidRPr="00A1149C">
              <w:rPr>
                <w:rFonts w:asciiTheme="majorBidi" w:hAnsiTheme="majorBidi" w:cstheme="majorBidi"/>
                <w:bCs/>
                <w:color w:val="000000"/>
                <w:szCs w:val="24"/>
                <w:lang w:val="es-ES"/>
              </w:rPr>
              <w:t xml:space="preserve">Los servicios </w:t>
            </w:r>
            <w:r w:rsidR="002028E8" w:rsidRPr="00A1149C">
              <w:rPr>
                <w:rFonts w:asciiTheme="majorBidi" w:hAnsiTheme="majorBidi" w:cstheme="majorBidi"/>
                <w:bCs/>
                <w:color w:val="000000"/>
                <w:szCs w:val="24"/>
                <w:lang w:val="es-ES"/>
              </w:rPr>
              <w:t xml:space="preserve">SAB/SAP </w:t>
            </w:r>
            <w:r w:rsidR="002C1331" w:rsidRPr="00A1149C">
              <w:rPr>
                <w:rFonts w:asciiTheme="majorBidi" w:hAnsiTheme="majorBidi" w:cstheme="majorBidi"/>
                <w:bCs/>
                <w:color w:val="000000"/>
                <w:szCs w:val="24"/>
                <w:lang w:val="es-ES"/>
              </w:rPr>
              <w:t>han</w:t>
            </w:r>
            <w:r w:rsidR="00A550D7" w:rsidRPr="00A1149C">
              <w:rPr>
                <w:rFonts w:asciiTheme="majorBidi" w:hAnsiTheme="majorBidi" w:cstheme="majorBidi"/>
                <w:bCs/>
                <w:color w:val="000000"/>
                <w:szCs w:val="24"/>
                <w:lang w:val="es-ES"/>
              </w:rPr>
              <w:t xml:space="preserve"> dependido tradicionalmente </w:t>
            </w:r>
            <w:r w:rsidR="00740660" w:rsidRPr="00A1149C">
              <w:rPr>
                <w:rFonts w:asciiTheme="majorBidi" w:hAnsiTheme="majorBidi" w:cstheme="majorBidi"/>
                <w:bCs/>
                <w:color w:val="000000"/>
                <w:szCs w:val="24"/>
                <w:lang w:val="es-ES"/>
              </w:rPr>
              <w:t xml:space="preserve">en gran medida </w:t>
            </w:r>
            <w:r w:rsidR="00A550D7" w:rsidRPr="00A1149C">
              <w:rPr>
                <w:rFonts w:asciiTheme="majorBidi" w:hAnsiTheme="majorBidi" w:cstheme="majorBidi"/>
                <w:bCs/>
                <w:color w:val="000000"/>
                <w:szCs w:val="24"/>
                <w:lang w:val="es-ES"/>
              </w:rPr>
              <w:t>de la banda de frecuencias</w:t>
            </w:r>
            <w:r w:rsidR="002D4893">
              <w:rPr>
                <w:rFonts w:asciiTheme="majorBidi" w:hAnsiTheme="majorBidi" w:cstheme="majorBidi"/>
                <w:bCs/>
                <w:color w:val="000000"/>
                <w:szCs w:val="24"/>
                <w:lang w:val="es-ES"/>
              </w:rPr>
              <w:t xml:space="preserve"> </w:t>
            </w:r>
            <w:r w:rsidR="00C02325">
              <w:rPr>
                <w:rFonts w:asciiTheme="majorBidi" w:hAnsiTheme="majorBidi" w:cstheme="majorBidi"/>
                <w:bCs/>
                <w:color w:val="000000"/>
                <w:szCs w:val="24"/>
                <w:lang w:val="es-ES"/>
              </w:rPr>
              <w:t>470-</w:t>
            </w:r>
            <w:r w:rsidR="00A550D7" w:rsidRPr="00A1149C">
              <w:rPr>
                <w:rFonts w:asciiTheme="majorBidi" w:hAnsiTheme="majorBidi" w:cstheme="majorBidi"/>
                <w:bCs/>
                <w:color w:val="000000"/>
                <w:szCs w:val="24"/>
                <w:lang w:val="es-ES"/>
              </w:rPr>
              <w:t>862 MHz en relación con los micrófonos radioeléctricos, el control intraauricular,</w:t>
            </w:r>
            <w:r w:rsidR="002D4893">
              <w:rPr>
                <w:rFonts w:asciiTheme="majorBidi" w:hAnsiTheme="majorBidi" w:cstheme="majorBidi"/>
                <w:bCs/>
                <w:color w:val="000000"/>
                <w:szCs w:val="24"/>
                <w:lang w:val="es-ES"/>
              </w:rPr>
              <w:t xml:space="preserve"> </w:t>
            </w:r>
            <w:r w:rsidR="00740660" w:rsidRPr="00A1149C">
              <w:rPr>
                <w:rFonts w:asciiTheme="majorBidi" w:hAnsiTheme="majorBidi" w:cstheme="majorBidi"/>
                <w:bCs/>
                <w:color w:val="000000"/>
                <w:szCs w:val="24"/>
                <w:lang w:val="es-ES"/>
              </w:rPr>
              <w:t xml:space="preserve">los enlaces </w:t>
            </w:r>
            <w:r w:rsidR="00975F58" w:rsidRPr="00A1149C">
              <w:rPr>
                <w:rFonts w:asciiTheme="majorBidi" w:hAnsiTheme="majorBidi" w:cstheme="majorBidi"/>
                <w:bCs/>
                <w:color w:val="000000"/>
                <w:szCs w:val="24"/>
                <w:lang w:val="es-ES"/>
              </w:rPr>
              <w:t>portátiles de audio, los enlaces móviles de audio, los enlaces de audio punto a punto temporales, las cámaras inalámbricas, los enlaces portátiles de vídeo, los enlaces móviles de vídeo a bordo de aeronaves, los enlaces móviles de vídeo en vehículos, los enlaces de v</w:t>
            </w:r>
            <w:r w:rsidR="004C7BA8" w:rsidRPr="00A1149C">
              <w:rPr>
                <w:rFonts w:asciiTheme="majorBidi" w:hAnsiTheme="majorBidi" w:cstheme="majorBidi"/>
                <w:bCs/>
                <w:color w:val="000000"/>
                <w:szCs w:val="24"/>
                <w:lang w:val="es-ES"/>
              </w:rPr>
              <w:t>ídeo punto a punto temporales</w:t>
            </w:r>
            <w:r w:rsidR="00B31CD8" w:rsidRPr="00A1149C">
              <w:rPr>
                <w:rFonts w:asciiTheme="majorBidi" w:hAnsiTheme="majorBidi" w:cstheme="majorBidi"/>
                <w:bCs/>
                <w:color w:val="000000"/>
                <w:szCs w:val="24"/>
                <w:lang w:val="es-ES"/>
              </w:rPr>
              <w:t>, los</w:t>
            </w:r>
            <w:r w:rsidR="004C7BA8" w:rsidRPr="00A1149C">
              <w:rPr>
                <w:rFonts w:asciiTheme="majorBidi" w:hAnsiTheme="majorBidi" w:cstheme="majorBidi"/>
                <w:bCs/>
                <w:color w:val="000000"/>
                <w:szCs w:val="24"/>
                <w:lang w:val="es-ES"/>
              </w:rPr>
              <w:t xml:space="preserve"> </w:t>
            </w:r>
            <w:r w:rsidR="00975F58" w:rsidRPr="00A1149C">
              <w:rPr>
                <w:rFonts w:asciiTheme="majorBidi" w:hAnsiTheme="majorBidi" w:cstheme="majorBidi"/>
                <w:bCs/>
                <w:color w:val="000000"/>
                <w:szCs w:val="24"/>
                <w:lang w:val="es-ES"/>
              </w:rPr>
              <w:t xml:space="preserve">sistemas de </w:t>
            </w:r>
            <w:r w:rsidR="004C7BA8" w:rsidRPr="00A1149C">
              <w:rPr>
                <w:rFonts w:asciiTheme="majorBidi" w:hAnsiTheme="majorBidi" w:cstheme="majorBidi"/>
                <w:bCs/>
                <w:color w:val="000000"/>
                <w:szCs w:val="24"/>
                <w:lang w:val="es-ES"/>
              </w:rPr>
              <w:t xml:space="preserve">intercomunicación y </w:t>
            </w:r>
            <w:r w:rsidR="00975F58" w:rsidRPr="00A1149C">
              <w:rPr>
                <w:rFonts w:asciiTheme="majorBidi" w:hAnsiTheme="majorBidi" w:cstheme="majorBidi"/>
                <w:bCs/>
                <w:color w:val="000000"/>
                <w:szCs w:val="24"/>
                <w:lang w:val="es-ES"/>
              </w:rPr>
              <w:t>telecomunicaciones</w:t>
            </w:r>
            <w:r w:rsidR="00B31CD8" w:rsidRPr="00A1149C">
              <w:rPr>
                <w:rFonts w:asciiTheme="majorBidi" w:hAnsiTheme="majorBidi" w:cstheme="majorBidi"/>
                <w:bCs/>
                <w:color w:val="000000"/>
                <w:szCs w:val="24"/>
                <w:lang w:val="es-ES"/>
              </w:rPr>
              <w:t>/control remoto</w:t>
            </w:r>
            <w:r w:rsidR="004C7BA8" w:rsidRPr="00A1149C">
              <w:rPr>
                <w:rFonts w:asciiTheme="majorBidi" w:hAnsiTheme="majorBidi" w:cstheme="majorBidi"/>
                <w:bCs/>
                <w:color w:val="000000"/>
                <w:szCs w:val="24"/>
                <w:lang w:val="es-ES"/>
              </w:rPr>
              <w:t xml:space="preserve">. El </w:t>
            </w:r>
            <w:r w:rsidR="002028E8" w:rsidRPr="004064B2">
              <w:rPr>
                <w:rFonts w:asciiTheme="majorBidi" w:hAnsiTheme="majorBidi" w:cstheme="majorBidi"/>
                <w:color w:val="000000"/>
                <w:szCs w:val="24"/>
                <w:lang w:val="es-ES"/>
              </w:rPr>
              <w:t>An</w:t>
            </w:r>
            <w:r w:rsidR="004C7BA8" w:rsidRPr="004064B2">
              <w:rPr>
                <w:rFonts w:asciiTheme="majorBidi" w:hAnsiTheme="majorBidi" w:cstheme="majorBidi"/>
                <w:color w:val="000000"/>
                <w:szCs w:val="24"/>
                <w:lang w:val="es-ES"/>
              </w:rPr>
              <w:t>exo</w:t>
            </w:r>
            <w:r w:rsidR="002028E8" w:rsidRPr="004064B2">
              <w:rPr>
                <w:rFonts w:asciiTheme="majorBidi" w:hAnsiTheme="majorBidi" w:cstheme="majorBidi"/>
                <w:color w:val="000000"/>
                <w:szCs w:val="24"/>
                <w:lang w:val="es-ES"/>
              </w:rPr>
              <w:t xml:space="preserve"> SAB/SAP</w:t>
            </w:r>
            <w:r w:rsidR="002028E8" w:rsidRPr="00A1149C">
              <w:rPr>
                <w:rFonts w:asciiTheme="majorBidi" w:hAnsiTheme="majorBidi" w:cstheme="majorBidi"/>
                <w:bCs/>
                <w:color w:val="000000"/>
                <w:szCs w:val="24"/>
                <w:lang w:val="es-ES"/>
              </w:rPr>
              <w:t xml:space="preserve"> </w:t>
            </w:r>
            <w:r w:rsidR="004C7BA8" w:rsidRPr="00A1149C">
              <w:rPr>
                <w:rFonts w:asciiTheme="majorBidi" w:hAnsiTheme="majorBidi" w:cstheme="majorBidi"/>
                <w:bCs/>
                <w:color w:val="000000"/>
                <w:szCs w:val="24"/>
                <w:lang w:val="es-ES"/>
              </w:rPr>
              <w:t>que figura a continuación contiene descripciones detalladas</w:t>
            </w:r>
            <w:r w:rsidR="002028E8" w:rsidRPr="00A1149C">
              <w:rPr>
                <w:rFonts w:asciiTheme="majorBidi" w:hAnsiTheme="majorBidi" w:cstheme="majorBidi"/>
                <w:bCs/>
                <w:color w:val="000000"/>
                <w:szCs w:val="24"/>
                <w:lang w:val="es-ES"/>
              </w:rPr>
              <w:t>.</w:t>
            </w:r>
          </w:p>
          <w:p w14:paraId="405CDD24" w14:textId="41ADE695" w:rsidR="004C7BA8" w:rsidRPr="00A1149C" w:rsidRDefault="004C7BA8" w:rsidP="002D5F17">
            <w:pPr>
              <w:rPr>
                <w:lang w:val="es-ES"/>
              </w:rPr>
            </w:pPr>
            <w:r w:rsidRPr="00A1149C">
              <w:rPr>
                <w:lang w:val="es-ES"/>
              </w:rPr>
              <w:t xml:space="preserve">En la CMR-12, </w:t>
            </w:r>
            <w:r w:rsidR="00CA79C3" w:rsidRPr="00A1149C">
              <w:rPr>
                <w:lang w:val="es-ES"/>
              </w:rPr>
              <w:t>se atribuyó a los servicios móviles, excepto móvil</w:t>
            </w:r>
            <w:r w:rsidR="002D5F17">
              <w:rPr>
                <w:lang w:val="es-ES"/>
              </w:rPr>
              <w:t xml:space="preserve"> aeronáutico, la banda 694/698</w:t>
            </w:r>
            <w:r w:rsidR="002D5F17">
              <w:rPr>
                <w:lang w:val="es-ES"/>
              </w:rPr>
              <w:noBreakHyphen/>
            </w:r>
            <w:r w:rsidR="00CA79C3" w:rsidRPr="00A1149C">
              <w:rPr>
                <w:lang w:val="es-ES"/>
              </w:rPr>
              <w:t xml:space="preserve">790 MHz a título co-primario con servicios existentes en la banda </w:t>
            </w:r>
            <w:r w:rsidR="002D5F17">
              <w:rPr>
                <w:lang w:val="es-ES"/>
              </w:rPr>
              <w:t>694/698-</w:t>
            </w:r>
            <w:r w:rsidR="00CA79C3" w:rsidRPr="00A1149C">
              <w:rPr>
                <w:lang w:val="es-ES"/>
              </w:rPr>
              <w:t xml:space="preserve">790 MHz sujetos a ciertos estudios, por ejemplo los requisitos reglamentarios sobre compatibilidad con los servicios existentes. En los estudios se indicó claramente que los servicios IMT y los SAP/SAB no pueden coexistir con arreglo a un despliegue co-canal. Ello obedece en gran medida al notable despliegue </w:t>
            </w:r>
            <w:r w:rsidR="00B369C9" w:rsidRPr="00A1149C">
              <w:rPr>
                <w:lang w:val="es-ES"/>
              </w:rPr>
              <w:t>previsto para los</w:t>
            </w:r>
            <w:r w:rsidR="00CA79C3" w:rsidRPr="00A1149C">
              <w:rPr>
                <w:lang w:val="es-ES"/>
              </w:rPr>
              <w:t xml:space="preserve"> servicios IMT y a la sensibilidad </w:t>
            </w:r>
            <w:r w:rsidR="00B369C9" w:rsidRPr="00A1149C">
              <w:rPr>
                <w:lang w:val="es-ES"/>
              </w:rPr>
              <w:t>de los equipos</w:t>
            </w:r>
            <w:r w:rsidR="00CA79C3" w:rsidRPr="00A1149C">
              <w:rPr>
                <w:lang w:val="es-ES"/>
              </w:rPr>
              <w:t xml:space="preserve"> SAP/SAB. Dado que el despliegue co-canal no es posible entre los servicios IMT y los servicios SAP/SAB, estos perderán el derecho d</w:t>
            </w:r>
            <w:r w:rsidR="002D5F17">
              <w:rPr>
                <w:lang w:val="es-ES"/>
              </w:rPr>
              <w:t>e desplegarse en la banda 694-</w:t>
            </w:r>
            <w:r w:rsidR="00CA79C3" w:rsidRPr="00A1149C">
              <w:rPr>
                <w:lang w:val="es-ES"/>
              </w:rPr>
              <w:t xml:space="preserve">790 MHz. </w:t>
            </w:r>
          </w:p>
          <w:p w14:paraId="7A794541" w14:textId="2FA56D5C" w:rsidR="002028E8" w:rsidRDefault="00B369C9" w:rsidP="009C0777">
            <w:pPr>
              <w:rPr>
                <w:lang w:val="es-ES"/>
              </w:rPr>
            </w:pPr>
            <w:r w:rsidRPr="00A1149C">
              <w:rPr>
                <w:lang w:val="es-ES"/>
              </w:rPr>
              <w:t xml:space="preserve">Los organismos de radiodifusión también deben hacer frente a la dificultad de que las atribuciones a los SAP/SAB </w:t>
            </w:r>
            <w:r w:rsidR="005F2E64" w:rsidRPr="00A1149C">
              <w:rPr>
                <w:lang w:val="es-ES"/>
              </w:rPr>
              <w:t>sean</w:t>
            </w:r>
            <w:r w:rsidRPr="00A1149C">
              <w:rPr>
                <w:lang w:val="es-ES"/>
              </w:rPr>
              <w:t xml:space="preserve"> a título secundario para la radio</w:t>
            </w:r>
            <w:r w:rsidR="005F2E64" w:rsidRPr="00A1149C">
              <w:rPr>
                <w:lang w:val="es-ES"/>
              </w:rPr>
              <w:t xml:space="preserve">difusión terrenal de televisión, y de que no exista una atribución a título primario para estos servicios. En el Informe UIT-R BT.2338-0 se indica claramente la falta de frecuencias atribuidas a las aplicaciones SAB/SAP para satisfacer todos los requisitos, lo que conlleva dificultades para la localización de frecuencias en la gama de sintonización de los equipos. </w:t>
            </w:r>
          </w:p>
          <w:p w14:paraId="69BF04AA" w14:textId="09CDB3CE" w:rsidR="00321DA1" w:rsidRPr="00A1149C" w:rsidRDefault="00321DA1" w:rsidP="009C0777">
            <w:pPr>
              <w:rPr>
                <w:lang w:val="es-ES"/>
              </w:rPr>
            </w:pPr>
            <w:r w:rsidRPr="00A1149C">
              <w:rPr>
                <w:lang w:val="es-ES"/>
              </w:rPr>
              <w:t>Como consecuencia de la atribución a título primario a los servicios IMT e</w:t>
            </w:r>
            <w:r w:rsidR="0081379D">
              <w:rPr>
                <w:lang w:val="es-ES"/>
              </w:rPr>
              <w:t>n la banda de frecuencias 694-</w:t>
            </w:r>
            <w:r w:rsidRPr="00A1149C">
              <w:rPr>
                <w:lang w:val="es-ES"/>
              </w:rPr>
              <w:t>790 MHz y del desarrollo previsto de los servicios SAP/SAB, estos requerirán espectro adicional.</w:t>
            </w:r>
            <w:r w:rsidR="002D4893">
              <w:rPr>
                <w:lang w:val="es-ES"/>
              </w:rPr>
              <w:t xml:space="preserve"> </w:t>
            </w:r>
          </w:p>
          <w:p w14:paraId="544D9F66" w14:textId="320C897E" w:rsidR="004C31BA" w:rsidRDefault="00321DA1" w:rsidP="00321DA1">
            <w:pPr>
              <w:rPr>
                <w:lang w:val="es-ES"/>
              </w:rPr>
            </w:pPr>
            <w:r w:rsidRPr="00A1149C">
              <w:rPr>
                <w:lang w:val="es-ES"/>
              </w:rPr>
              <w:t>Sudáfrica ha adoptado la decisión de desplegar una red DTT de siete (7) capas con</w:t>
            </w:r>
            <w:r w:rsidR="0062297B">
              <w:rPr>
                <w:lang w:val="es-ES"/>
              </w:rPr>
              <w:t xml:space="preserve"> posterioridad a la migración, </w:t>
            </w:r>
            <w:r w:rsidRPr="00A1149C">
              <w:rPr>
                <w:lang w:val="es-ES"/>
              </w:rPr>
              <w:t>y también considera el despliegue del DAB+. Ello aumentará la demanda de servicios SAP/SAB y, en consecuencia, las necesidades de espectro, en particular el espectro destinado a los servicios SAP/SAB.</w:t>
            </w:r>
          </w:p>
          <w:p w14:paraId="0937286F" w14:textId="7878FB4D" w:rsidR="00321DA1" w:rsidRPr="00A1149C" w:rsidRDefault="00321DA1" w:rsidP="00321DA1">
            <w:pPr>
              <w:rPr>
                <w:rFonts w:asciiTheme="majorBidi" w:hAnsiTheme="majorBidi" w:cstheme="majorBidi"/>
                <w:bCs/>
                <w:color w:val="000000"/>
                <w:szCs w:val="24"/>
                <w:lang w:val="es-ES"/>
              </w:rPr>
            </w:pPr>
          </w:p>
        </w:tc>
      </w:tr>
      <w:tr w:rsidR="002028E8" w:rsidRPr="00A1149C" w14:paraId="6B14E1F4" w14:textId="77777777" w:rsidTr="00321DA1">
        <w:trPr>
          <w:gridBefore w:val="1"/>
          <w:wBefore w:w="142" w:type="dxa"/>
          <w:trHeight w:val="160"/>
        </w:trPr>
        <w:tc>
          <w:tcPr>
            <w:tcW w:w="9812" w:type="dxa"/>
            <w:gridSpan w:val="3"/>
          </w:tcPr>
          <w:p w14:paraId="1BA6DA64" w14:textId="07EBA55C" w:rsidR="002028E8" w:rsidRPr="00A1149C" w:rsidRDefault="00FF6E96" w:rsidP="002D4893">
            <w:pPr>
              <w:spacing w:before="100"/>
              <w:rPr>
                <w:rFonts w:asciiTheme="majorBidi" w:hAnsiTheme="majorBidi" w:cstheme="majorBidi"/>
                <w:lang w:val="es-ES"/>
              </w:rPr>
            </w:pPr>
            <w:r w:rsidRPr="00A1149C">
              <w:rPr>
                <w:rFonts w:asciiTheme="majorBidi" w:hAnsiTheme="majorBidi" w:cstheme="majorBidi"/>
                <w:b/>
                <w:bCs/>
                <w:i/>
                <w:iCs/>
                <w:lang w:val="es-ES"/>
              </w:rPr>
              <w:lastRenderedPageBreak/>
              <w:t>Servicios de radiocomunicaciones en cuestión</w:t>
            </w:r>
            <w:r w:rsidR="002028E8" w:rsidRPr="00A1149C">
              <w:rPr>
                <w:rFonts w:asciiTheme="majorBidi" w:hAnsiTheme="majorBidi" w:cstheme="majorBidi"/>
                <w:b/>
                <w:bCs/>
                <w:i/>
                <w:iCs/>
                <w:lang w:val="es-ES"/>
              </w:rPr>
              <w:t xml:space="preserve">: </w:t>
            </w:r>
            <w:r w:rsidR="004C31BA" w:rsidRPr="00321DA1">
              <w:rPr>
                <w:rFonts w:asciiTheme="majorBidi" w:hAnsiTheme="majorBidi" w:cstheme="majorBidi"/>
                <w:b/>
                <w:bCs/>
                <w:i/>
                <w:iCs/>
                <w:lang w:val="es-ES"/>
              </w:rPr>
              <w:t xml:space="preserve">Servicios </w:t>
            </w:r>
            <w:r w:rsidR="002028E8" w:rsidRPr="00321DA1">
              <w:rPr>
                <w:rFonts w:asciiTheme="majorBidi" w:hAnsiTheme="majorBidi" w:cstheme="majorBidi"/>
                <w:b/>
                <w:bCs/>
                <w:i/>
                <w:iCs/>
                <w:lang w:val="es-ES"/>
              </w:rPr>
              <w:t>SAP/SAB</w:t>
            </w:r>
          </w:p>
        </w:tc>
      </w:tr>
      <w:tr w:rsidR="002028E8" w:rsidRPr="00A1149C" w14:paraId="2F2DC166" w14:textId="77777777" w:rsidTr="00321DA1">
        <w:trPr>
          <w:gridBefore w:val="1"/>
          <w:wBefore w:w="142" w:type="dxa"/>
          <w:trHeight w:val="160"/>
        </w:trPr>
        <w:tc>
          <w:tcPr>
            <w:tcW w:w="9812" w:type="dxa"/>
            <w:gridSpan w:val="3"/>
          </w:tcPr>
          <w:p w14:paraId="1B2D2D40" w14:textId="77777777" w:rsidR="002028E8" w:rsidRPr="00A1149C" w:rsidRDefault="00FF6E96" w:rsidP="002D4893">
            <w:pPr>
              <w:spacing w:before="100"/>
              <w:rPr>
                <w:rFonts w:asciiTheme="majorBidi" w:hAnsiTheme="majorBidi" w:cstheme="majorBidi"/>
                <w:lang w:val="es-ES"/>
              </w:rPr>
            </w:pPr>
            <w:r w:rsidRPr="00A1149C">
              <w:rPr>
                <w:rFonts w:asciiTheme="majorBidi" w:hAnsiTheme="majorBidi" w:cstheme="majorBidi"/>
                <w:b/>
                <w:bCs/>
                <w:i/>
                <w:iCs/>
                <w:lang w:val="es-ES"/>
              </w:rPr>
              <w:t>Indicación de posibles dificultades</w:t>
            </w:r>
            <w:r w:rsidR="002028E8" w:rsidRPr="00A1149C">
              <w:rPr>
                <w:rFonts w:asciiTheme="majorBidi" w:hAnsiTheme="majorBidi" w:cstheme="majorBidi"/>
                <w:b/>
                <w:bCs/>
                <w:i/>
                <w:iCs/>
                <w:lang w:val="es-ES"/>
              </w:rPr>
              <w:t xml:space="preserve">: </w:t>
            </w:r>
          </w:p>
        </w:tc>
      </w:tr>
      <w:tr w:rsidR="002028E8" w:rsidRPr="00A1149C" w14:paraId="713C389D" w14:textId="77777777" w:rsidTr="00321DA1">
        <w:trPr>
          <w:gridBefore w:val="1"/>
          <w:wBefore w:w="142" w:type="dxa"/>
          <w:trHeight w:val="160"/>
        </w:trPr>
        <w:tc>
          <w:tcPr>
            <w:tcW w:w="9812" w:type="dxa"/>
            <w:gridSpan w:val="3"/>
          </w:tcPr>
          <w:p w14:paraId="09613508" w14:textId="2036924A" w:rsidR="002028E8" w:rsidRPr="00A1149C" w:rsidRDefault="00FF6E96" w:rsidP="002D4893">
            <w:pPr>
              <w:spacing w:before="100"/>
              <w:rPr>
                <w:rFonts w:asciiTheme="majorBidi" w:hAnsiTheme="majorBidi" w:cstheme="majorBidi"/>
                <w:lang w:val="es-ES"/>
              </w:rPr>
            </w:pPr>
            <w:r w:rsidRPr="00A1149C">
              <w:rPr>
                <w:rFonts w:asciiTheme="majorBidi" w:hAnsiTheme="majorBidi" w:cstheme="majorBidi"/>
                <w:b/>
                <w:bCs/>
                <w:i/>
                <w:iCs/>
                <w:lang w:val="es-ES"/>
              </w:rPr>
              <w:t>Estudios previos o en curso sobre el tema</w:t>
            </w:r>
            <w:r w:rsidR="002028E8" w:rsidRPr="00A1149C">
              <w:rPr>
                <w:rFonts w:asciiTheme="majorBidi" w:hAnsiTheme="majorBidi" w:cstheme="majorBidi"/>
                <w:b/>
                <w:bCs/>
                <w:i/>
                <w:iCs/>
                <w:lang w:val="es-ES"/>
              </w:rPr>
              <w:t xml:space="preserve">: </w:t>
            </w:r>
            <w:r w:rsidR="004C31BA" w:rsidRPr="00321DA1">
              <w:rPr>
                <w:rFonts w:asciiTheme="majorBidi" w:hAnsiTheme="majorBidi" w:cstheme="majorBidi"/>
                <w:b/>
                <w:i/>
                <w:iCs/>
                <w:lang w:val="es-ES"/>
              </w:rPr>
              <w:t>Informe UIT</w:t>
            </w:r>
            <w:r w:rsidR="002028E8" w:rsidRPr="00321DA1">
              <w:rPr>
                <w:rFonts w:asciiTheme="majorBidi" w:hAnsiTheme="majorBidi" w:cstheme="majorBidi"/>
                <w:b/>
                <w:i/>
                <w:iCs/>
                <w:lang w:val="es-ES"/>
              </w:rPr>
              <w:t>-R BT.2338-0</w:t>
            </w:r>
          </w:p>
        </w:tc>
      </w:tr>
      <w:tr w:rsidR="002028E8" w:rsidRPr="00A1149C" w14:paraId="0F749F27" w14:textId="77777777" w:rsidTr="00321DA1">
        <w:trPr>
          <w:gridBefore w:val="1"/>
          <w:wBefore w:w="142" w:type="dxa"/>
          <w:trHeight w:val="160"/>
        </w:trPr>
        <w:tc>
          <w:tcPr>
            <w:tcW w:w="5495" w:type="dxa"/>
          </w:tcPr>
          <w:p w14:paraId="2E54CE88" w14:textId="4B83E4C0" w:rsidR="002028E8" w:rsidRPr="00A1149C" w:rsidRDefault="00FF6E96" w:rsidP="002D4893">
            <w:pPr>
              <w:spacing w:before="100"/>
              <w:rPr>
                <w:rFonts w:asciiTheme="majorBidi" w:hAnsiTheme="majorBidi" w:cstheme="majorBidi"/>
                <w:lang w:val="es-ES"/>
              </w:rPr>
            </w:pPr>
            <w:r w:rsidRPr="00A1149C">
              <w:rPr>
                <w:rFonts w:asciiTheme="majorBidi" w:hAnsiTheme="majorBidi" w:cstheme="majorBidi"/>
                <w:b/>
                <w:bCs/>
                <w:i/>
                <w:iCs/>
                <w:lang w:val="es-ES"/>
              </w:rPr>
              <w:t>Estudios que han de efectuarse a cargo de</w:t>
            </w:r>
            <w:r w:rsidR="002028E8" w:rsidRPr="00A1149C">
              <w:rPr>
                <w:rFonts w:asciiTheme="majorBidi" w:hAnsiTheme="majorBidi" w:cstheme="majorBidi"/>
                <w:b/>
                <w:bCs/>
                <w:i/>
                <w:iCs/>
                <w:lang w:val="es-ES"/>
              </w:rPr>
              <w:t xml:space="preserve">: </w:t>
            </w:r>
            <w:r w:rsidR="004C31BA" w:rsidRPr="00A1149C">
              <w:rPr>
                <w:rFonts w:asciiTheme="majorBidi" w:hAnsiTheme="majorBidi" w:cstheme="majorBidi"/>
                <w:bCs/>
                <w:lang w:val="es-ES"/>
              </w:rPr>
              <w:t>Resolución</w:t>
            </w:r>
            <w:r w:rsidR="00321DA1" w:rsidRPr="00637452">
              <w:t xml:space="preserve"> </w:t>
            </w:r>
            <w:r w:rsidR="00321DA1" w:rsidRPr="00637452">
              <w:t>U</w:t>
            </w:r>
            <w:r w:rsidR="00321DA1">
              <w:t>IT</w:t>
            </w:r>
            <w:r w:rsidR="00321DA1" w:rsidRPr="00637452">
              <w:t>-R 59</w:t>
            </w:r>
          </w:p>
        </w:tc>
        <w:tc>
          <w:tcPr>
            <w:tcW w:w="4317" w:type="dxa"/>
            <w:gridSpan w:val="2"/>
          </w:tcPr>
          <w:p w14:paraId="0683F5AD" w14:textId="1DEB7504" w:rsidR="002028E8" w:rsidRPr="00A1149C" w:rsidRDefault="00FF6E96" w:rsidP="002D4893">
            <w:pPr>
              <w:spacing w:before="100"/>
              <w:rPr>
                <w:rFonts w:asciiTheme="majorBidi" w:hAnsiTheme="majorBidi" w:cstheme="majorBidi"/>
                <w:lang w:val="es-ES"/>
              </w:rPr>
            </w:pPr>
            <w:r w:rsidRPr="00A1149C">
              <w:rPr>
                <w:rFonts w:asciiTheme="majorBidi" w:hAnsiTheme="majorBidi" w:cstheme="majorBidi"/>
                <w:b/>
                <w:bCs/>
                <w:i/>
                <w:iCs/>
                <w:lang w:val="es-ES"/>
              </w:rPr>
              <w:t>con participación de</w:t>
            </w:r>
            <w:r w:rsidR="002028E8" w:rsidRPr="00A1149C">
              <w:rPr>
                <w:rFonts w:asciiTheme="majorBidi" w:hAnsiTheme="majorBidi" w:cstheme="majorBidi"/>
                <w:b/>
                <w:bCs/>
                <w:i/>
                <w:iCs/>
                <w:lang w:val="es-ES"/>
              </w:rPr>
              <w:t xml:space="preserve">: </w:t>
            </w:r>
          </w:p>
        </w:tc>
      </w:tr>
      <w:tr w:rsidR="002028E8" w:rsidRPr="00A1149C" w14:paraId="11747F37" w14:textId="77777777" w:rsidTr="00321DA1">
        <w:trPr>
          <w:gridBefore w:val="1"/>
          <w:wBefore w:w="142" w:type="dxa"/>
          <w:trHeight w:val="160"/>
        </w:trPr>
        <w:tc>
          <w:tcPr>
            <w:tcW w:w="9812" w:type="dxa"/>
            <w:gridSpan w:val="3"/>
          </w:tcPr>
          <w:p w14:paraId="080A6294" w14:textId="77777777" w:rsidR="002028E8" w:rsidRPr="00A1149C" w:rsidRDefault="00FF6E96" w:rsidP="002D4893">
            <w:pPr>
              <w:spacing w:before="100"/>
              <w:rPr>
                <w:rFonts w:asciiTheme="majorBidi" w:hAnsiTheme="majorBidi" w:cstheme="majorBidi"/>
                <w:lang w:val="es-ES"/>
              </w:rPr>
            </w:pPr>
            <w:r w:rsidRPr="00A1149C">
              <w:rPr>
                <w:rFonts w:asciiTheme="majorBidi" w:hAnsiTheme="majorBidi" w:cstheme="majorBidi"/>
                <w:b/>
                <w:bCs/>
                <w:i/>
                <w:iCs/>
                <w:lang w:val="es-ES"/>
              </w:rPr>
              <w:t>Comisiones de Estudio del UIT-R interesadas</w:t>
            </w:r>
            <w:r w:rsidR="002028E8" w:rsidRPr="00A1149C">
              <w:rPr>
                <w:rFonts w:asciiTheme="majorBidi" w:hAnsiTheme="majorBidi" w:cstheme="majorBidi"/>
                <w:b/>
                <w:bCs/>
                <w:i/>
                <w:iCs/>
                <w:lang w:val="es-ES"/>
              </w:rPr>
              <w:t xml:space="preserve">: </w:t>
            </w:r>
          </w:p>
        </w:tc>
      </w:tr>
      <w:tr w:rsidR="002028E8" w:rsidRPr="00A1149C" w14:paraId="10036F73" w14:textId="77777777" w:rsidTr="00321DA1">
        <w:trPr>
          <w:gridBefore w:val="1"/>
          <w:wBefore w:w="142" w:type="dxa"/>
          <w:trHeight w:val="160"/>
        </w:trPr>
        <w:tc>
          <w:tcPr>
            <w:tcW w:w="9812" w:type="dxa"/>
            <w:gridSpan w:val="3"/>
          </w:tcPr>
          <w:p w14:paraId="58A2AE8E" w14:textId="77777777" w:rsidR="00FF6E96" w:rsidRPr="00A1149C" w:rsidRDefault="00FF6E96" w:rsidP="002D4893">
            <w:pPr>
              <w:spacing w:before="100"/>
              <w:rPr>
                <w:rFonts w:asciiTheme="majorBidi" w:hAnsiTheme="majorBidi" w:cstheme="majorBidi"/>
                <w:b/>
                <w:bCs/>
                <w:i/>
                <w:iCs/>
                <w:lang w:val="es-ES"/>
              </w:rPr>
            </w:pPr>
            <w:bookmarkStart w:id="6" w:name="_GoBack"/>
            <w:bookmarkEnd w:id="6"/>
            <w:r w:rsidRPr="00A1149C">
              <w:rPr>
                <w:rFonts w:asciiTheme="majorBidi" w:hAnsiTheme="majorBidi" w:cstheme="majorBidi"/>
                <w:b/>
                <w:bCs/>
                <w:i/>
                <w:iCs/>
                <w:lang w:val="es-ES"/>
              </w:rPr>
              <w:t>Consecuencias en los recursos de la UIT, incluidas las implicaciones financieras (véase el</w:t>
            </w:r>
          </w:p>
          <w:p w14:paraId="740F74DE" w14:textId="77777777" w:rsidR="002028E8" w:rsidRPr="00A1149C" w:rsidRDefault="00FF6E96" w:rsidP="002D4893">
            <w:pPr>
              <w:spacing w:before="100"/>
              <w:rPr>
                <w:rFonts w:asciiTheme="majorBidi" w:hAnsiTheme="majorBidi" w:cstheme="majorBidi"/>
                <w:lang w:val="es-ES"/>
              </w:rPr>
            </w:pPr>
            <w:r w:rsidRPr="00A1149C">
              <w:rPr>
                <w:rFonts w:asciiTheme="majorBidi" w:hAnsiTheme="majorBidi" w:cstheme="majorBidi"/>
                <w:b/>
                <w:bCs/>
                <w:i/>
                <w:iCs/>
                <w:lang w:val="es-ES"/>
              </w:rPr>
              <w:t>CV126)</w:t>
            </w:r>
            <w:r w:rsidR="002028E8" w:rsidRPr="00A1149C">
              <w:rPr>
                <w:rFonts w:asciiTheme="majorBidi" w:hAnsiTheme="majorBidi" w:cstheme="majorBidi"/>
                <w:b/>
                <w:bCs/>
                <w:i/>
                <w:iCs/>
                <w:lang w:val="es-ES"/>
              </w:rPr>
              <w:t xml:space="preserve">: </w:t>
            </w:r>
          </w:p>
        </w:tc>
      </w:tr>
      <w:tr w:rsidR="002028E8" w:rsidRPr="00A1149C" w14:paraId="5528B717" w14:textId="77777777" w:rsidTr="00321DA1">
        <w:trPr>
          <w:gridBefore w:val="1"/>
          <w:wBefore w:w="142" w:type="dxa"/>
          <w:trHeight w:val="361"/>
        </w:trPr>
        <w:tc>
          <w:tcPr>
            <w:tcW w:w="5495" w:type="dxa"/>
          </w:tcPr>
          <w:p w14:paraId="6ED7398F" w14:textId="77777777" w:rsidR="002028E8" w:rsidRPr="00A1149C" w:rsidRDefault="00FF6E96" w:rsidP="002D4893">
            <w:pPr>
              <w:spacing w:before="100"/>
              <w:rPr>
                <w:rFonts w:asciiTheme="majorBidi" w:hAnsiTheme="majorBidi" w:cstheme="majorBidi"/>
                <w:lang w:val="es-ES"/>
              </w:rPr>
            </w:pPr>
            <w:r w:rsidRPr="00A1149C">
              <w:rPr>
                <w:rFonts w:asciiTheme="majorBidi" w:hAnsiTheme="majorBidi" w:cstheme="majorBidi"/>
                <w:b/>
                <w:bCs/>
                <w:i/>
                <w:iCs/>
                <w:lang w:val="es-ES"/>
              </w:rPr>
              <w:t>Propuesta regional común</w:t>
            </w:r>
            <w:r w:rsidR="002028E8" w:rsidRPr="00A1149C">
              <w:rPr>
                <w:rFonts w:asciiTheme="majorBidi" w:hAnsiTheme="majorBidi" w:cstheme="majorBidi"/>
                <w:b/>
                <w:bCs/>
                <w:i/>
                <w:iCs/>
                <w:lang w:val="es-ES"/>
              </w:rPr>
              <w:t xml:space="preserve">: </w:t>
            </w:r>
            <w:r w:rsidRPr="00A1149C">
              <w:rPr>
                <w:rFonts w:asciiTheme="majorBidi" w:hAnsiTheme="majorBidi" w:cstheme="majorBidi"/>
                <w:lang w:val="es-ES"/>
              </w:rPr>
              <w:t>Sí</w:t>
            </w:r>
            <w:r w:rsidR="002028E8" w:rsidRPr="00A1149C">
              <w:rPr>
                <w:rFonts w:asciiTheme="majorBidi" w:hAnsiTheme="majorBidi" w:cstheme="majorBidi"/>
                <w:lang w:val="es-ES"/>
              </w:rPr>
              <w:t xml:space="preserve">/No </w:t>
            </w:r>
          </w:p>
        </w:tc>
        <w:tc>
          <w:tcPr>
            <w:tcW w:w="4317" w:type="dxa"/>
            <w:gridSpan w:val="2"/>
          </w:tcPr>
          <w:p w14:paraId="51C81849" w14:textId="77777777" w:rsidR="002028E8" w:rsidRPr="00A1149C" w:rsidRDefault="00FF6E96" w:rsidP="002D4893">
            <w:pPr>
              <w:spacing w:before="100"/>
              <w:rPr>
                <w:rFonts w:asciiTheme="majorBidi" w:hAnsiTheme="majorBidi" w:cstheme="majorBidi"/>
                <w:lang w:val="es-ES"/>
              </w:rPr>
            </w:pPr>
            <w:r w:rsidRPr="00A1149C">
              <w:rPr>
                <w:rFonts w:asciiTheme="majorBidi" w:hAnsiTheme="majorBidi" w:cstheme="majorBidi"/>
                <w:b/>
                <w:bCs/>
                <w:i/>
                <w:iCs/>
                <w:lang w:val="es-ES"/>
              </w:rPr>
              <w:t>Propuesta presentada por más de un país</w:t>
            </w:r>
            <w:r w:rsidR="002028E8" w:rsidRPr="00A1149C">
              <w:rPr>
                <w:rFonts w:asciiTheme="majorBidi" w:hAnsiTheme="majorBidi" w:cstheme="majorBidi"/>
                <w:b/>
                <w:bCs/>
                <w:i/>
                <w:iCs/>
                <w:lang w:val="es-ES"/>
              </w:rPr>
              <w:t xml:space="preserve">: </w:t>
            </w:r>
            <w:r w:rsidRPr="00A1149C">
              <w:rPr>
                <w:rFonts w:asciiTheme="majorBidi" w:hAnsiTheme="majorBidi" w:cstheme="majorBidi"/>
                <w:lang w:val="es-ES"/>
              </w:rPr>
              <w:t>Sí</w:t>
            </w:r>
            <w:r w:rsidR="002028E8" w:rsidRPr="00A1149C">
              <w:rPr>
                <w:rFonts w:asciiTheme="majorBidi" w:hAnsiTheme="majorBidi" w:cstheme="majorBidi"/>
                <w:lang w:val="es-ES"/>
              </w:rPr>
              <w:t xml:space="preserve">/No </w:t>
            </w:r>
          </w:p>
          <w:p w14:paraId="045893BF" w14:textId="77777777" w:rsidR="002028E8" w:rsidRPr="00A1149C" w:rsidRDefault="00FF6E96" w:rsidP="002D4893">
            <w:pPr>
              <w:spacing w:before="100"/>
              <w:rPr>
                <w:rFonts w:asciiTheme="majorBidi" w:hAnsiTheme="majorBidi" w:cstheme="majorBidi"/>
                <w:lang w:val="es-ES"/>
              </w:rPr>
            </w:pPr>
            <w:r w:rsidRPr="00A1149C">
              <w:rPr>
                <w:rFonts w:asciiTheme="majorBidi" w:hAnsiTheme="majorBidi" w:cstheme="majorBidi"/>
                <w:b/>
                <w:bCs/>
                <w:i/>
                <w:iCs/>
                <w:lang w:val="es-ES"/>
              </w:rPr>
              <w:t>Número de países</w:t>
            </w:r>
            <w:r w:rsidR="002028E8" w:rsidRPr="00A1149C">
              <w:rPr>
                <w:rFonts w:asciiTheme="majorBidi" w:hAnsiTheme="majorBidi" w:cstheme="majorBidi"/>
                <w:b/>
                <w:bCs/>
                <w:i/>
                <w:iCs/>
                <w:lang w:val="es-ES"/>
              </w:rPr>
              <w:t xml:space="preserve">: </w:t>
            </w:r>
          </w:p>
        </w:tc>
      </w:tr>
      <w:tr w:rsidR="00321DA1" w:rsidRPr="00A1149C" w14:paraId="739243D1" w14:textId="77777777" w:rsidTr="00321DA1">
        <w:trPr>
          <w:gridBefore w:val="1"/>
          <w:wBefore w:w="142" w:type="dxa"/>
          <w:trHeight w:val="361"/>
        </w:trPr>
        <w:tc>
          <w:tcPr>
            <w:tcW w:w="5495" w:type="dxa"/>
          </w:tcPr>
          <w:p w14:paraId="7111B979" w14:textId="1B10A3A5" w:rsidR="00321DA1" w:rsidRPr="00A1149C" w:rsidRDefault="00321DA1" w:rsidP="002D4893">
            <w:pPr>
              <w:spacing w:before="100"/>
              <w:rPr>
                <w:rFonts w:asciiTheme="majorBidi" w:hAnsiTheme="majorBidi" w:cstheme="majorBidi"/>
                <w:b/>
                <w:bCs/>
                <w:i/>
                <w:iCs/>
                <w:lang w:val="es-ES"/>
              </w:rPr>
            </w:pPr>
            <w:r w:rsidRPr="00A1149C">
              <w:rPr>
                <w:rFonts w:asciiTheme="majorBidi" w:hAnsiTheme="majorBidi" w:cstheme="majorBidi"/>
                <w:b/>
                <w:bCs/>
                <w:i/>
                <w:iCs/>
                <w:lang w:val="es-ES"/>
              </w:rPr>
              <w:t>Observaciones</w:t>
            </w:r>
          </w:p>
        </w:tc>
        <w:tc>
          <w:tcPr>
            <w:tcW w:w="4317" w:type="dxa"/>
            <w:gridSpan w:val="2"/>
          </w:tcPr>
          <w:p w14:paraId="50053A16" w14:textId="77777777" w:rsidR="00321DA1" w:rsidRPr="00A1149C" w:rsidRDefault="00321DA1" w:rsidP="002D4893">
            <w:pPr>
              <w:spacing w:before="100"/>
              <w:rPr>
                <w:rFonts w:asciiTheme="majorBidi" w:hAnsiTheme="majorBidi" w:cstheme="majorBidi"/>
                <w:b/>
                <w:bCs/>
                <w:i/>
                <w:iCs/>
                <w:lang w:val="es-ES"/>
              </w:rPr>
            </w:pPr>
          </w:p>
        </w:tc>
      </w:tr>
    </w:tbl>
    <w:p w14:paraId="644CED6A" w14:textId="77777777" w:rsidR="008750A8" w:rsidRPr="00A1149C" w:rsidRDefault="008750A8" w:rsidP="00795C4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A1149C">
        <w:rPr>
          <w:lang w:val="es-ES"/>
        </w:rPr>
        <w:br w:type="page"/>
      </w:r>
    </w:p>
    <w:p w14:paraId="2125C4AA" w14:textId="77777777" w:rsidR="00BF1B0F" w:rsidRDefault="00BB4445" w:rsidP="00BF1B0F">
      <w:pPr>
        <w:pStyle w:val="AnnexNo"/>
        <w:rPr>
          <w:lang w:val="es-ES"/>
        </w:rPr>
      </w:pPr>
      <w:r w:rsidRPr="00A1149C">
        <w:rPr>
          <w:lang w:val="es-ES"/>
        </w:rPr>
        <w:lastRenderedPageBreak/>
        <w:t>An</w:t>
      </w:r>
      <w:r w:rsidR="00FF6E96" w:rsidRPr="00A1149C">
        <w:rPr>
          <w:lang w:val="es-ES"/>
        </w:rPr>
        <w:t>exo</w:t>
      </w:r>
    </w:p>
    <w:p w14:paraId="763CD678" w14:textId="480B4050" w:rsidR="00BB4445" w:rsidRPr="00A1149C" w:rsidRDefault="00BB4445" w:rsidP="00BF1B0F">
      <w:pPr>
        <w:pStyle w:val="Annextitle"/>
        <w:rPr>
          <w:lang w:val="es-ES"/>
        </w:rPr>
      </w:pPr>
      <w:r w:rsidRPr="00A1149C">
        <w:rPr>
          <w:lang w:val="es-ES"/>
        </w:rPr>
        <w:t>SAB/SAP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5118"/>
      </w:tblGrid>
      <w:tr w:rsidR="00BB4445" w:rsidRPr="00A1149C" w14:paraId="61E18140" w14:textId="77777777" w:rsidTr="00446E22">
        <w:trPr>
          <w:trHeight w:val="24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A711" w14:textId="787DFDC7" w:rsidR="00BB4445" w:rsidRPr="00A1149C" w:rsidRDefault="004C31BA" w:rsidP="00795C47">
            <w:pPr>
              <w:rPr>
                <w:rFonts w:asciiTheme="majorBidi" w:hAnsiTheme="majorBidi" w:cstheme="majorBidi"/>
                <w:b/>
                <w:color w:val="000000"/>
                <w:szCs w:val="24"/>
                <w:lang w:val="es-ES"/>
              </w:rPr>
            </w:pPr>
            <w:r w:rsidRPr="00A1149C">
              <w:rPr>
                <w:rFonts w:asciiTheme="majorBidi" w:hAnsiTheme="majorBidi" w:cstheme="majorBidi"/>
                <w:b/>
                <w:color w:val="000000"/>
                <w:szCs w:val="24"/>
                <w:lang w:val="es-ES"/>
              </w:rPr>
              <w:t>Micrófono radioeléctrico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F92F" w14:textId="79BB4FFF" w:rsidR="00BB4445" w:rsidRPr="00A1149C" w:rsidRDefault="00B31CD8" w:rsidP="00795C47">
            <w:pPr>
              <w:rPr>
                <w:rFonts w:asciiTheme="majorBidi" w:hAnsiTheme="majorBidi" w:cstheme="majorBidi"/>
                <w:color w:val="000000"/>
                <w:szCs w:val="24"/>
                <w:lang w:val="es-ES"/>
              </w:rPr>
            </w:pPr>
            <w:r w:rsidRPr="00A1149C">
              <w:rPr>
                <w:rFonts w:asciiTheme="majorBidi" w:hAnsiTheme="majorBidi" w:cstheme="majorBidi"/>
                <w:color w:val="000000"/>
                <w:szCs w:val="24"/>
                <w:lang w:val="es-ES"/>
              </w:rPr>
              <w:t xml:space="preserve">Micrófonos que se llevan en la mano o pegados al cuerpo </w:t>
            </w:r>
            <w:r w:rsidR="004D22B0" w:rsidRPr="00A1149C">
              <w:rPr>
                <w:rFonts w:asciiTheme="majorBidi" w:hAnsiTheme="majorBidi" w:cstheme="majorBidi"/>
                <w:color w:val="000000"/>
                <w:szCs w:val="24"/>
                <w:lang w:val="es-ES"/>
              </w:rPr>
              <w:t xml:space="preserve">con un transmisor integrado o </w:t>
            </w:r>
            <w:r w:rsidRPr="00A1149C">
              <w:rPr>
                <w:rFonts w:asciiTheme="majorBidi" w:hAnsiTheme="majorBidi" w:cstheme="majorBidi"/>
                <w:color w:val="000000"/>
                <w:szCs w:val="24"/>
                <w:lang w:val="es-ES"/>
              </w:rPr>
              <w:t>colocado en el cuerpo</w:t>
            </w:r>
            <w:r w:rsidR="00BB4445" w:rsidRPr="00A1149C">
              <w:rPr>
                <w:rFonts w:asciiTheme="majorBidi" w:hAnsiTheme="majorBidi" w:cstheme="majorBidi"/>
                <w:color w:val="000000"/>
                <w:szCs w:val="24"/>
                <w:lang w:val="es-ES"/>
              </w:rPr>
              <w:t xml:space="preserve">. </w:t>
            </w:r>
          </w:p>
        </w:tc>
      </w:tr>
      <w:tr w:rsidR="00BB4445" w:rsidRPr="00A1149C" w14:paraId="253147A0" w14:textId="77777777" w:rsidTr="00446E22">
        <w:trPr>
          <w:trHeight w:val="24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53C9" w14:textId="508584BA" w:rsidR="00BB4445" w:rsidRPr="00A1149C" w:rsidRDefault="004C31BA" w:rsidP="00795C47">
            <w:pPr>
              <w:rPr>
                <w:rFonts w:asciiTheme="majorBidi" w:hAnsiTheme="majorBidi" w:cstheme="majorBidi"/>
                <w:b/>
                <w:color w:val="000000"/>
                <w:szCs w:val="24"/>
                <w:lang w:val="es-ES"/>
              </w:rPr>
            </w:pPr>
            <w:r w:rsidRPr="00A1149C">
              <w:rPr>
                <w:rFonts w:asciiTheme="majorBidi" w:hAnsiTheme="majorBidi" w:cstheme="majorBidi"/>
                <w:b/>
                <w:color w:val="000000"/>
                <w:szCs w:val="24"/>
                <w:lang w:val="es-ES"/>
              </w:rPr>
              <w:t>Control intraauricular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1032" w14:textId="205D9B0B" w:rsidR="00BB4445" w:rsidRPr="00A1149C" w:rsidRDefault="00B31CD8" w:rsidP="00795C47">
            <w:pPr>
              <w:rPr>
                <w:rFonts w:asciiTheme="majorBidi" w:hAnsiTheme="majorBidi" w:cstheme="majorBidi"/>
                <w:color w:val="000000"/>
                <w:szCs w:val="24"/>
                <w:lang w:val="es-ES"/>
              </w:rPr>
            </w:pPr>
            <w:r w:rsidRPr="00A1149C">
              <w:rPr>
                <w:rFonts w:asciiTheme="majorBidi" w:hAnsiTheme="majorBidi" w:cstheme="majorBidi"/>
                <w:color w:val="000000"/>
                <w:szCs w:val="24"/>
                <w:lang w:val="es-ES"/>
              </w:rPr>
              <w:t xml:space="preserve">Receptor en miniatura que se lleva pegado al cuerpo con auriculares para el control de bandas sonoras únicas o duales. </w:t>
            </w:r>
          </w:p>
        </w:tc>
      </w:tr>
      <w:tr w:rsidR="00BB4445" w:rsidRPr="00A1149C" w14:paraId="6C030142" w14:textId="77777777" w:rsidTr="00446E22">
        <w:trPr>
          <w:trHeight w:val="24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8975" w14:textId="6081C99B" w:rsidR="00BB4445" w:rsidRPr="00A1149C" w:rsidRDefault="004C31BA" w:rsidP="00795C47">
            <w:pPr>
              <w:rPr>
                <w:rFonts w:asciiTheme="majorBidi" w:hAnsiTheme="majorBidi" w:cstheme="majorBidi"/>
                <w:b/>
                <w:color w:val="000000"/>
                <w:szCs w:val="24"/>
                <w:lang w:val="es-ES"/>
              </w:rPr>
            </w:pPr>
            <w:r w:rsidRPr="00A1149C">
              <w:rPr>
                <w:rFonts w:asciiTheme="majorBidi" w:hAnsiTheme="majorBidi" w:cstheme="majorBidi"/>
                <w:b/>
                <w:color w:val="000000"/>
                <w:szCs w:val="24"/>
                <w:lang w:val="es-ES"/>
              </w:rPr>
              <w:t>Enlace portátil de audio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4084" w14:textId="70DF2C59" w:rsidR="00BB4445" w:rsidRPr="00A1149C" w:rsidRDefault="00B31CD8" w:rsidP="00795C47">
            <w:pPr>
              <w:rPr>
                <w:rFonts w:asciiTheme="majorBidi" w:hAnsiTheme="majorBidi" w:cstheme="majorBidi"/>
                <w:color w:val="000000"/>
                <w:szCs w:val="24"/>
                <w:lang w:val="es-ES"/>
              </w:rPr>
            </w:pPr>
            <w:r w:rsidRPr="00A1149C">
              <w:rPr>
                <w:rFonts w:asciiTheme="majorBidi" w:hAnsiTheme="majorBidi" w:cstheme="majorBidi"/>
                <w:color w:val="000000"/>
                <w:szCs w:val="24"/>
                <w:lang w:val="es-ES"/>
              </w:rPr>
              <w:t>Transmisor que se lleva pegado al cuerpo</w:t>
            </w:r>
            <w:r w:rsidR="005616F6" w:rsidRPr="00A1149C">
              <w:rPr>
                <w:rFonts w:asciiTheme="majorBidi" w:hAnsiTheme="majorBidi" w:cstheme="majorBidi"/>
                <w:color w:val="000000"/>
                <w:szCs w:val="24"/>
                <w:lang w:val="es-ES"/>
              </w:rPr>
              <w:t xml:space="preserve"> con un micrófono o varios, de alcance superior al de los micrófonos radioeléctricos</w:t>
            </w:r>
            <w:r w:rsidR="00BB4445" w:rsidRPr="00A1149C">
              <w:rPr>
                <w:rFonts w:asciiTheme="majorBidi" w:hAnsiTheme="majorBidi" w:cstheme="majorBidi"/>
                <w:color w:val="000000"/>
                <w:szCs w:val="24"/>
                <w:lang w:val="es-ES"/>
              </w:rPr>
              <w:t xml:space="preserve">. </w:t>
            </w:r>
          </w:p>
        </w:tc>
      </w:tr>
      <w:tr w:rsidR="00BB4445" w:rsidRPr="00A1149C" w14:paraId="28701B7D" w14:textId="77777777" w:rsidTr="00446E22">
        <w:trPr>
          <w:trHeight w:val="383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442D" w14:textId="71574C4E" w:rsidR="00BB4445" w:rsidRPr="00A1149C" w:rsidRDefault="004C31BA" w:rsidP="00795C47">
            <w:pPr>
              <w:rPr>
                <w:rFonts w:asciiTheme="majorBidi" w:hAnsiTheme="majorBidi" w:cstheme="majorBidi"/>
                <w:b/>
                <w:color w:val="000000"/>
                <w:szCs w:val="24"/>
                <w:lang w:val="es-ES"/>
              </w:rPr>
            </w:pPr>
            <w:r w:rsidRPr="00A1149C">
              <w:rPr>
                <w:rFonts w:asciiTheme="majorBidi" w:hAnsiTheme="majorBidi" w:cstheme="majorBidi"/>
                <w:b/>
                <w:color w:val="000000"/>
                <w:szCs w:val="24"/>
                <w:lang w:val="es-ES"/>
              </w:rPr>
              <w:t>Enlace móvil de audio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4E49" w14:textId="02C3BB6B" w:rsidR="00BB4445" w:rsidRPr="00A1149C" w:rsidRDefault="005616F6" w:rsidP="00795C47">
            <w:pPr>
              <w:rPr>
                <w:rFonts w:asciiTheme="majorBidi" w:hAnsiTheme="majorBidi" w:cstheme="majorBidi"/>
                <w:color w:val="000000"/>
                <w:szCs w:val="24"/>
                <w:lang w:val="es-ES"/>
              </w:rPr>
            </w:pPr>
            <w:r w:rsidRPr="00A1149C">
              <w:rPr>
                <w:rFonts w:asciiTheme="majorBidi" w:hAnsiTheme="majorBidi" w:cstheme="majorBidi"/>
                <w:color w:val="000000"/>
                <w:szCs w:val="24"/>
                <w:lang w:val="es-ES"/>
              </w:rPr>
              <w:t>Sistema de transmisión de audio que utiliza un transmisor radioeléctrico colocado en motocicletas, bicicletas, automóviles, automóviles de carreras, barcos, etc. Es posible utilizar uno de los dos terminales, o ambos, al desplazarse.</w:t>
            </w:r>
            <w:r w:rsidR="002D4893">
              <w:rPr>
                <w:rFonts w:asciiTheme="majorBidi" w:hAnsiTheme="majorBidi" w:cstheme="majorBidi"/>
                <w:color w:val="000000"/>
                <w:szCs w:val="24"/>
                <w:lang w:val="es-ES"/>
              </w:rPr>
              <w:t xml:space="preserve"> </w:t>
            </w:r>
          </w:p>
        </w:tc>
      </w:tr>
      <w:tr w:rsidR="00BB4445" w:rsidRPr="00A1149C" w14:paraId="5F196037" w14:textId="77777777" w:rsidTr="00446E22">
        <w:trPr>
          <w:trHeight w:val="661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637F" w14:textId="7E6CBFF7" w:rsidR="00BB4445" w:rsidRPr="00A1149C" w:rsidRDefault="004C31BA" w:rsidP="00795C47">
            <w:pPr>
              <w:rPr>
                <w:rFonts w:asciiTheme="majorBidi" w:hAnsiTheme="majorBidi" w:cstheme="majorBidi"/>
                <w:b/>
                <w:color w:val="000000"/>
                <w:szCs w:val="24"/>
                <w:lang w:val="es-ES"/>
              </w:rPr>
            </w:pPr>
            <w:r w:rsidRPr="00A1149C">
              <w:rPr>
                <w:rFonts w:asciiTheme="majorBidi" w:hAnsiTheme="majorBidi" w:cstheme="majorBidi"/>
                <w:b/>
                <w:color w:val="000000"/>
                <w:szCs w:val="24"/>
                <w:lang w:val="es-ES"/>
              </w:rPr>
              <w:t>Enlace de audio punto a punto temporal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FE37" w14:textId="690A1432" w:rsidR="00BB4445" w:rsidRPr="00A1149C" w:rsidRDefault="005616F6" w:rsidP="00795C47">
            <w:pPr>
              <w:rPr>
                <w:rFonts w:asciiTheme="majorBidi" w:hAnsiTheme="majorBidi" w:cstheme="majorBidi"/>
                <w:color w:val="000000"/>
                <w:szCs w:val="24"/>
                <w:lang w:val="es-ES"/>
              </w:rPr>
            </w:pPr>
            <w:r w:rsidRPr="00A1149C">
              <w:rPr>
                <w:rFonts w:asciiTheme="majorBidi" w:hAnsiTheme="majorBidi" w:cstheme="majorBidi"/>
                <w:color w:val="000000"/>
                <w:szCs w:val="24"/>
                <w:lang w:val="es-ES"/>
              </w:rPr>
              <w:t xml:space="preserve">Enlace temporal entre dos puntos (por ejemplo, parte de un enlace entre un </w:t>
            </w:r>
            <w:r w:rsidR="00366F4C" w:rsidRPr="00A1149C">
              <w:rPr>
                <w:rFonts w:asciiTheme="majorBidi" w:hAnsiTheme="majorBidi" w:cstheme="majorBidi"/>
                <w:color w:val="000000"/>
                <w:szCs w:val="24"/>
                <w:lang w:val="es-ES"/>
              </w:rPr>
              <w:t>emplazamiento</w:t>
            </w:r>
            <w:r w:rsidRPr="00A1149C">
              <w:rPr>
                <w:rFonts w:asciiTheme="majorBidi" w:hAnsiTheme="majorBidi" w:cstheme="majorBidi"/>
                <w:color w:val="000000"/>
                <w:szCs w:val="24"/>
                <w:lang w:val="es-ES"/>
              </w:rPr>
              <w:t xml:space="preserve"> </w:t>
            </w:r>
            <w:r w:rsidR="00A715D5" w:rsidRPr="00A1149C">
              <w:rPr>
                <w:rFonts w:asciiTheme="majorBidi" w:hAnsiTheme="majorBidi" w:cstheme="majorBidi"/>
                <w:color w:val="000000"/>
                <w:szCs w:val="24"/>
                <w:lang w:val="es-ES"/>
              </w:rPr>
              <w:t>de radiodifusión en exteriores</w:t>
            </w:r>
            <w:r w:rsidRPr="00A1149C">
              <w:rPr>
                <w:rFonts w:asciiTheme="majorBidi" w:hAnsiTheme="majorBidi" w:cstheme="majorBidi"/>
                <w:color w:val="000000"/>
                <w:szCs w:val="24"/>
                <w:lang w:val="es-ES"/>
              </w:rPr>
              <w:t xml:space="preserve"> y un estudio), utilizado para transmitir audio de calidad suficiente para la radiodifusión o señales de servicio (de voz). Los terminales del enlace se colocan en trípodes, plataformas temporales, vehículos específicos o polipastos hidráulicos</w:t>
            </w:r>
            <w:r w:rsidR="00BB4445" w:rsidRPr="00A1149C">
              <w:rPr>
                <w:rFonts w:asciiTheme="majorBidi" w:hAnsiTheme="majorBidi" w:cstheme="majorBidi"/>
                <w:color w:val="000000"/>
                <w:szCs w:val="24"/>
                <w:lang w:val="es-ES"/>
              </w:rPr>
              <w:t xml:space="preserve">. </w:t>
            </w:r>
            <w:r w:rsidRPr="00A1149C">
              <w:rPr>
                <w:rFonts w:asciiTheme="majorBidi" w:hAnsiTheme="majorBidi" w:cstheme="majorBidi"/>
                <w:color w:val="000000"/>
                <w:szCs w:val="24"/>
                <w:lang w:val="es-ES"/>
              </w:rPr>
              <w:t>Con frecuencia, se requieren enlaces bidireccionales.</w:t>
            </w:r>
            <w:r w:rsidR="002D4893">
              <w:rPr>
                <w:rFonts w:asciiTheme="majorBidi" w:hAnsiTheme="majorBidi" w:cstheme="majorBidi"/>
                <w:color w:val="000000"/>
                <w:szCs w:val="24"/>
                <w:lang w:val="es-ES"/>
              </w:rPr>
              <w:t xml:space="preserve"> </w:t>
            </w:r>
          </w:p>
        </w:tc>
      </w:tr>
      <w:tr w:rsidR="00BB4445" w:rsidRPr="00A1149C" w14:paraId="18982745" w14:textId="77777777" w:rsidTr="00446E22">
        <w:trPr>
          <w:trHeight w:val="38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0ED2" w14:textId="7A7AEFD0" w:rsidR="00BB4445" w:rsidRPr="00A1149C" w:rsidRDefault="004C31BA" w:rsidP="00795C47">
            <w:pPr>
              <w:rPr>
                <w:rFonts w:asciiTheme="majorBidi" w:hAnsiTheme="majorBidi" w:cstheme="majorBidi"/>
                <w:b/>
                <w:color w:val="000000"/>
                <w:szCs w:val="24"/>
                <w:lang w:val="es-ES"/>
              </w:rPr>
            </w:pPr>
            <w:r w:rsidRPr="00A1149C">
              <w:rPr>
                <w:rFonts w:asciiTheme="majorBidi" w:hAnsiTheme="majorBidi" w:cstheme="majorBidi"/>
                <w:b/>
                <w:color w:val="000000"/>
                <w:szCs w:val="24"/>
                <w:lang w:val="es-ES"/>
              </w:rPr>
              <w:t>Cámara inalámbrica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7D43" w14:textId="5064944A" w:rsidR="00BB4445" w:rsidRPr="00A1149C" w:rsidRDefault="00A715D5" w:rsidP="00795C47">
            <w:pPr>
              <w:rPr>
                <w:rFonts w:asciiTheme="majorBidi" w:hAnsiTheme="majorBidi" w:cstheme="majorBidi"/>
                <w:color w:val="000000"/>
                <w:szCs w:val="24"/>
                <w:lang w:val="es-ES"/>
              </w:rPr>
            </w:pPr>
            <w:r w:rsidRPr="00A1149C">
              <w:rPr>
                <w:rFonts w:asciiTheme="majorBidi" w:hAnsiTheme="majorBidi" w:cstheme="majorBidi"/>
                <w:color w:val="000000"/>
                <w:szCs w:val="24"/>
                <w:lang w:val="es-ES"/>
              </w:rPr>
              <w:t>Cámara que se lleva en la mano, o se instala en algún lugar, provista de un transmisor integrado, un sistema de alimentación y una antena para la transmisión de señales de vídeo y sonido de calidad suficiente para la radiodifusión a cortas distancias</w:t>
            </w:r>
            <w:r w:rsidR="00BB4445" w:rsidRPr="00A1149C">
              <w:rPr>
                <w:rFonts w:asciiTheme="majorBidi" w:hAnsiTheme="majorBidi" w:cstheme="majorBidi"/>
                <w:color w:val="000000"/>
                <w:szCs w:val="24"/>
                <w:lang w:val="es-ES"/>
              </w:rPr>
              <w:t xml:space="preserve">. </w:t>
            </w:r>
          </w:p>
        </w:tc>
      </w:tr>
      <w:tr w:rsidR="00BB4445" w:rsidRPr="00A1149C" w14:paraId="0D8626E7" w14:textId="77777777" w:rsidTr="00446E22">
        <w:trPr>
          <w:trHeight w:val="24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30D3" w14:textId="77777777" w:rsidR="00BB4445" w:rsidRPr="00A1149C" w:rsidRDefault="00BB4445" w:rsidP="00795C47">
            <w:pPr>
              <w:rPr>
                <w:rFonts w:asciiTheme="majorBidi" w:hAnsiTheme="majorBidi" w:cstheme="majorBidi"/>
                <w:b/>
                <w:color w:val="000000"/>
                <w:szCs w:val="24"/>
                <w:lang w:val="es-ES"/>
              </w:rPr>
            </w:pPr>
            <w:r w:rsidRPr="00A1149C">
              <w:rPr>
                <w:rFonts w:asciiTheme="majorBidi" w:hAnsiTheme="majorBidi" w:cstheme="majorBidi"/>
                <w:b/>
                <w:color w:val="000000"/>
                <w:szCs w:val="24"/>
                <w:lang w:val="es-ES"/>
              </w:rPr>
              <w:t xml:space="preserve">Portable video link 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CF51" w14:textId="3615AFA4" w:rsidR="00BB4445" w:rsidRPr="00A1149C" w:rsidRDefault="00A715D5" w:rsidP="00795C47">
            <w:pPr>
              <w:rPr>
                <w:rFonts w:asciiTheme="majorBidi" w:hAnsiTheme="majorBidi" w:cstheme="majorBidi"/>
                <w:color w:val="000000"/>
                <w:szCs w:val="24"/>
                <w:lang w:val="es-ES"/>
              </w:rPr>
            </w:pPr>
            <w:r w:rsidRPr="00A1149C">
              <w:rPr>
                <w:rFonts w:asciiTheme="majorBidi" w:hAnsiTheme="majorBidi" w:cstheme="majorBidi"/>
                <w:color w:val="000000"/>
                <w:szCs w:val="24"/>
                <w:lang w:val="es-ES"/>
              </w:rPr>
              <w:t>Cámara que se lleva en la mano con un transmisor independiente pegado al cuerpo, un sistema de alimentación y una antena</w:t>
            </w:r>
            <w:r w:rsidR="00BB4445" w:rsidRPr="00A1149C">
              <w:rPr>
                <w:rFonts w:asciiTheme="majorBidi" w:hAnsiTheme="majorBidi" w:cstheme="majorBidi"/>
                <w:color w:val="000000"/>
                <w:szCs w:val="24"/>
                <w:lang w:val="es-ES"/>
              </w:rPr>
              <w:t xml:space="preserve">. </w:t>
            </w:r>
          </w:p>
        </w:tc>
      </w:tr>
      <w:tr w:rsidR="00BB4445" w:rsidRPr="00A1149C" w14:paraId="4B4A2395" w14:textId="77777777" w:rsidTr="00446E22">
        <w:trPr>
          <w:trHeight w:val="24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228A" w14:textId="6545FCBD" w:rsidR="00BB4445" w:rsidRPr="00A1149C" w:rsidRDefault="004C31BA" w:rsidP="00795C47">
            <w:pPr>
              <w:rPr>
                <w:rFonts w:asciiTheme="majorBidi" w:hAnsiTheme="majorBidi" w:cstheme="majorBidi"/>
                <w:b/>
                <w:color w:val="000000"/>
                <w:szCs w:val="24"/>
                <w:lang w:val="es-ES"/>
              </w:rPr>
            </w:pPr>
            <w:r w:rsidRPr="00A1149C">
              <w:rPr>
                <w:rFonts w:asciiTheme="majorBidi" w:hAnsiTheme="majorBidi" w:cstheme="majorBidi"/>
                <w:b/>
                <w:color w:val="000000"/>
                <w:szCs w:val="24"/>
                <w:lang w:val="es-ES"/>
              </w:rPr>
              <w:t>Enlace móvil de vídeo a bordo de aeronaves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F1EF" w14:textId="74D81882" w:rsidR="00BB4445" w:rsidRPr="00A1149C" w:rsidRDefault="00A715D5" w:rsidP="00795C47">
            <w:pPr>
              <w:rPr>
                <w:rFonts w:asciiTheme="majorBidi" w:hAnsiTheme="majorBidi" w:cstheme="majorBidi"/>
                <w:color w:val="000000"/>
                <w:szCs w:val="24"/>
                <w:lang w:val="es-ES"/>
              </w:rPr>
            </w:pPr>
            <w:r w:rsidRPr="00A1149C">
              <w:rPr>
                <w:rFonts w:asciiTheme="majorBidi" w:hAnsiTheme="majorBidi" w:cstheme="majorBidi"/>
                <w:color w:val="000000"/>
                <w:szCs w:val="24"/>
                <w:lang w:val="es-ES"/>
              </w:rPr>
              <w:t>Sistema de transmisión de vídeo que utiliza un transmisor radioeléctrico instalado en helicópteros u otras aeronaves</w:t>
            </w:r>
            <w:r w:rsidR="00BB4445" w:rsidRPr="00A1149C">
              <w:rPr>
                <w:rFonts w:asciiTheme="majorBidi" w:hAnsiTheme="majorBidi" w:cstheme="majorBidi"/>
                <w:color w:val="000000"/>
                <w:szCs w:val="24"/>
                <w:lang w:val="es-ES"/>
              </w:rPr>
              <w:t xml:space="preserve">. </w:t>
            </w:r>
          </w:p>
        </w:tc>
      </w:tr>
      <w:tr w:rsidR="00BB4445" w:rsidRPr="00A1149C" w14:paraId="2F572BA8" w14:textId="77777777" w:rsidTr="00446E22">
        <w:trPr>
          <w:trHeight w:val="38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E916" w14:textId="62B73C03" w:rsidR="00BB4445" w:rsidRPr="00A1149C" w:rsidRDefault="004C31BA" w:rsidP="00795C47">
            <w:pPr>
              <w:rPr>
                <w:rFonts w:asciiTheme="majorBidi" w:hAnsiTheme="majorBidi" w:cstheme="majorBidi"/>
                <w:b/>
                <w:color w:val="000000"/>
                <w:szCs w:val="24"/>
                <w:lang w:val="es-ES"/>
              </w:rPr>
            </w:pPr>
            <w:r w:rsidRPr="00A1149C">
              <w:rPr>
                <w:rFonts w:asciiTheme="majorBidi" w:hAnsiTheme="majorBidi" w:cstheme="majorBidi"/>
                <w:b/>
                <w:color w:val="000000"/>
                <w:szCs w:val="24"/>
                <w:lang w:val="es-ES"/>
              </w:rPr>
              <w:t>Enlace móvil de vídeo en vehículos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E8A8" w14:textId="110104FF" w:rsidR="00BB4445" w:rsidRPr="00A1149C" w:rsidRDefault="00A715D5" w:rsidP="00795C47">
            <w:pPr>
              <w:rPr>
                <w:rFonts w:asciiTheme="majorBidi" w:hAnsiTheme="majorBidi" w:cstheme="majorBidi"/>
                <w:color w:val="000000"/>
                <w:szCs w:val="24"/>
                <w:lang w:val="es-ES"/>
              </w:rPr>
            </w:pPr>
            <w:r w:rsidRPr="00A1149C">
              <w:rPr>
                <w:rFonts w:asciiTheme="majorBidi" w:hAnsiTheme="majorBidi" w:cstheme="majorBidi"/>
                <w:color w:val="000000"/>
                <w:szCs w:val="24"/>
                <w:lang w:val="es-ES"/>
              </w:rPr>
              <w:t>Sistema de transmisión de vídeo que utiliza un transmisor radioeléctrico instalado en motocicletas, bicicletas, automóviles, automóviles de carreras o barcos. Es posible utilizar uno de los dos terminales, o ambos, al desplazars</w:t>
            </w:r>
            <w:r w:rsidR="00366F4C" w:rsidRPr="00A1149C">
              <w:rPr>
                <w:rFonts w:asciiTheme="majorBidi" w:hAnsiTheme="majorBidi" w:cstheme="majorBidi"/>
                <w:color w:val="000000"/>
                <w:szCs w:val="24"/>
                <w:lang w:val="es-ES"/>
              </w:rPr>
              <w:t>e.</w:t>
            </w:r>
          </w:p>
        </w:tc>
      </w:tr>
      <w:tr w:rsidR="00BB4445" w:rsidRPr="00A1149C" w14:paraId="6031BEA7" w14:textId="77777777" w:rsidTr="00446E22">
        <w:trPr>
          <w:trHeight w:val="521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820E" w14:textId="18535CCA" w:rsidR="00B31CD8" w:rsidRPr="00A1149C" w:rsidRDefault="00B31CD8" w:rsidP="00795C47">
            <w:pPr>
              <w:rPr>
                <w:rFonts w:asciiTheme="majorBidi" w:hAnsiTheme="majorBidi" w:cstheme="majorBidi"/>
                <w:b/>
                <w:color w:val="000000"/>
                <w:szCs w:val="24"/>
                <w:lang w:val="es-ES"/>
              </w:rPr>
            </w:pPr>
            <w:r w:rsidRPr="00A1149C">
              <w:rPr>
                <w:rFonts w:asciiTheme="majorBidi" w:hAnsiTheme="majorBidi" w:cstheme="majorBidi"/>
                <w:b/>
                <w:color w:val="000000"/>
                <w:szCs w:val="24"/>
                <w:lang w:val="es-ES"/>
              </w:rPr>
              <w:lastRenderedPageBreak/>
              <w:t>Enlaces de vídeo punto a punto temporal</w:t>
            </w:r>
          </w:p>
          <w:p w14:paraId="3E328F78" w14:textId="511B695B" w:rsidR="00BB4445" w:rsidRPr="00A1149C" w:rsidRDefault="00BB4445" w:rsidP="00795C47">
            <w:pPr>
              <w:rPr>
                <w:rFonts w:asciiTheme="majorBidi" w:hAnsiTheme="majorBidi" w:cstheme="majorBidi"/>
                <w:b/>
                <w:color w:val="000000"/>
                <w:szCs w:val="24"/>
                <w:lang w:val="es-ES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B45A" w14:textId="37D5ADED" w:rsidR="00BB4445" w:rsidRPr="00A1149C" w:rsidRDefault="00366F4C" w:rsidP="00795C47">
            <w:pPr>
              <w:rPr>
                <w:rFonts w:asciiTheme="majorBidi" w:hAnsiTheme="majorBidi" w:cstheme="majorBidi"/>
                <w:color w:val="000000"/>
                <w:szCs w:val="24"/>
                <w:lang w:val="es-ES"/>
              </w:rPr>
            </w:pPr>
            <w:r w:rsidRPr="00A1149C">
              <w:rPr>
                <w:rFonts w:asciiTheme="majorBidi" w:hAnsiTheme="majorBidi" w:cstheme="majorBidi"/>
                <w:color w:val="000000"/>
                <w:szCs w:val="24"/>
                <w:lang w:val="es-ES"/>
              </w:rPr>
              <w:t>Enlace temporal entre dos puntos (por ejemplo, parte de un enlace entre un emplazamiento de radiodifusión en exteriores y un estudio), utilizado para transmitir señales de vídeo/audio de calidad suficiente para la radiodifusión. Los terminales del enlace se colocan en trípodes, plataformas temporales, vehículos específicos o polipastos hidráulicos. Con frecuencia, se requieren enlaces bidireccionales.</w:t>
            </w:r>
          </w:p>
        </w:tc>
      </w:tr>
      <w:tr w:rsidR="00BB4445" w:rsidRPr="00A1149C" w14:paraId="7131236D" w14:textId="77777777" w:rsidTr="00446E22">
        <w:trPr>
          <w:trHeight w:val="661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0453" w14:textId="7B91A9B7" w:rsidR="00BB4445" w:rsidRPr="00A1149C" w:rsidRDefault="00B31CD8" w:rsidP="00795C47">
            <w:pPr>
              <w:rPr>
                <w:rFonts w:asciiTheme="majorBidi" w:hAnsiTheme="majorBidi" w:cstheme="majorBidi"/>
                <w:b/>
                <w:color w:val="000000"/>
                <w:szCs w:val="24"/>
                <w:lang w:val="es-ES"/>
              </w:rPr>
            </w:pPr>
            <w:r w:rsidRPr="00A1149C">
              <w:rPr>
                <w:rFonts w:asciiTheme="majorBidi" w:hAnsiTheme="majorBidi" w:cstheme="majorBidi"/>
                <w:b/>
                <w:color w:val="000000"/>
                <w:szCs w:val="24"/>
                <w:lang w:val="es-ES"/>
              </w:rPr>
              <w:t>Sistema de intercomunicación</w:t>
            </w:r>
            <w:r w:rsidR="00BB4445" w:rsidRPr="00A1149C">
              <w:rPr>
                <w:rFonts w:asciiTheme="majorBidi" w:hAnsiTheme="majorBidi" w:cstheme="majorBidi"/>
                <w:b/>
                <w:color w:val="000000"/>
                <w:szCs w:val="24"/>
                <w:lang w:val="es-ES"/>
              </w:rPr>
              <w:t xml:space="preserve"> 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E76E" w14:textId="2A37466C" w:rsidR="00BB4445" w:rsidRPr="00A1149C" w:rsidRDefault="00366F4C" w:rsidP="00795C47">
            <w:pPr>
              <w:rPr>
                <w:rFonts w:asciiTheme="majorBidi" w:hAnsiTheme="majorBidi" w:cstheme="majorBidi"/>
                <w:color w:val="000000"/>
                <w:szCs w:val="24"/>
                <w:lang w:val="es-ES"/>
              </w:rPr>
            </w:pPr>
            <w:r w:rsidRPr="00A1149C">
              <w:rPr>
                <w:rFonts w:asciiTheme="majorBidi" w:hAnsiTheme="majorBidi" w:cstheme="majorBidi"/>
                <w:color w:val="000000"/>
                <w:szCs w:val="24"/>
                <w:lang w:val="es-ES"/>
              </w:rPr>
              <w:t xml:space="preserve">Sistema que permite la transmisión instantánea de las instrucciones del director a todas las personas que participan en la realización del programa, en particular presentadores, entrevistadores, cámaras, técnicos de sonido, técnicos de luz e ingenieros. Pueden usarse simultáneamente varios canales de intercomunicación para llevar a cabo todas las actividades. La intercomunicación requiere normalmente una transmisión constante. </w:t>
            </w:r>
          </w:p>
        </w:tc>
      </w:tr>
      <w:tr w:rsidR="00BB4445" w:rsidRPr="00A1149C" w14:paraId="7EE597DC" w14:textId="77777777" w:rsidTr="00446E22">
        <w:trPr>
          <w:trHeight w:val="24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FCD8" w14:textId="5DA2175E" w:rsidR="00BB4445" w:rsidRPr="00A1149C" w:rsidRDefault="00B31CD8" w:rsidP="00795C47">
            <w:pPr>
              <w:rPr>
                <w:rFonts w:asciiTheme="majorBidi" w:hAnsiTheme="majorBidi" w:cstheme="majorBidi"/>
                <w:b/>
                <w:color w:val="000000"/>
                <w:szCs w:val="24"/>
                <w:lang w:val="es-ES"/>
              </w:rPr>
            </w:pPr>
            <w:r w:rsidRPr="00A1149C">
              <w:rPr>
                <w:rFonts w:asciiTheme="majorBidi" w:hAnsiTheme="majorBidi" w:cstheme="majorBidi"/>
                <w:b/>
                <w:color w:val="000000"/>
                <w:szCs w:val="24"/>
                <w:lang w:val="es-ES"/>
              </w:rPr>
              <w:t>Telecomunicaciones/control remoto</w:t>
            </w:r>
            <w:r w:rsidR="00BB4445" w:rsidRPr="00A1149C">
              <w:rPr>
                <w:rFonts w:asciiTheme="majorBidi" w:hAnsiTheme="majorBidi" w:cstheme="majorBidi"/>
                <w:b/>
                <w:color w:val="000000"/>
                <w:szCs w:val="24"/>
                <w:lang w:val="es-ES"/>
              </w:rPr>
              <w:t xml:space="preserve"> 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A1D8" w14:textId="4B676708" w:rsidR="00BB4445" w:rsidRPr="00A1149C" w:rsidRDefault="00B31CD8" w:rsidP="00795C47">
            <w:pPr>
              <w:rPr>
                <w:rFonts w:asciiTheme="majorBidi" w:hAnsiTheme="majorBidi" w:cstheme="majorBidi"/>
                <w:color w:val="000000"/>
                <w:szCs w:val="24"/>
                <w:lang w:val="es-ES"/>
              </w:rPr>
            </w:pPr>
            <w:r w:rsidRPr="00A1149C">
              <w:rPr>
                <w:rFonts w:asciiTheme="majorBidi" w:hAnsiTheme="majorBidi" w:cstheme="majorBidi"/>
                <w:color w:val="000000"/>
                <w:szCs w:val="24"/>
                <w:lang w:val="es-ES"/>
              </w:rPr>
              <w:t>Enlaces radioeléctricos para el control remoto de cámaras y otros equipos de realización de programas y señalización</w:t>
            </w:r>
            <w:r w:rsidR="003172F1" w:rsidRPr="00A1149C">
              <w:rPr>
                <w:rFonts w:asciiTheme="majorBidi" w:hAnsiTheme="majorBidi" w:cstheme="majorBidi"/>
                <w:color w:val="000000"/>
                <w:szCs w:val="24"/>
                <w:lang w:val="es-ES"/>
              </w:rPr>
              <w:t>.</w:t>
            </w:r>
          </w:p>
        </w:tc>
      </w:tr>
    </w:tbl>
    <w:p w14:paraId="48FFBC32" w14:textId="77777777" w:rsidR="00BB4445" w:rsidRPr="00A1149C" w:rsidRDefault="00BB4445" w:rsidP="00BF1B0F">
      <w:pPr>
        <w:pStyle w:val="Reasons"/>
        <w:rPr>
          <w:lang w:val="es-ES"/>
        </w:rPr>
      </w:pPr>
    </w:p>
    <w:p w14:paraId="15E3ABF3" w14:textId="77777777" w:rsidR="004D22B0" w:rsidRPr="00A1149C" w:rsidRDefault="004D22B0" w:rsidP="00795C47">
      <w:pPr>
        <w:jc w:val="center"/>
        <w:rPr>
          <w:lang w:val="es-ES"/>
        </w:rPr>
      </w:pPr>
      <w:r w:rsidRPr="00A1149C">
        <w:rPr>
          <w:lang w:val="es-ES"/>
        </w:rPr>
        <w:t>______________</w:t>
      </w:r>
    </w:p>
    <w:sectPr w:rsidR="004D22B0" w:rsidRPr="00A1149C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4C6DB" w14:textId="77777777" w:rsidR="005133B5" w:rsidRDefault="005133B5">
      <w:r>
        <w:separator/>
      </w:r>
    </w:p>
  </w:endnote>
  <w:endnote w:type="continuationSeparator" w:id="0">
    <w:p w14:paraId="133CBA13" w14:textId="77777777"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06575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F122A2" w14:textId="77777777" w:rsidR="0077084A" w:rsidRPr="00C21C26" w:rsidRDefault="0077084A">
    <w:pPr>
      <w:ind w:right="360"/>
    </w:pPr>
    <w:r>
      <w:fldChar w:fldCharType="begin"/>
    </w:r>
    <w:r w:rsidRPr="00C21C26">
      <w:instrText xml:space="preserve"> FILENAME \p  \* MERGEFORMAT </w:instrText>
    </w:r>
    <w:r>
      <w:fldChar w:fldCharType="separate"/>
    </w:r>
    <w:r w:rsidR="00C21C26">
      <w:rPr>
        <w:noProof/>
      </w:rPr>
      <w:t>P:\ESP\ITU-R\CONF-R\CMR15\100\130ADD25ADD02S.docx</w:t>
    </w:r>
    <w:r>
      <w:fldChar w:fldCharType="end"/>
    </w:r>
    <w:r w:rsidRPr="00C21C26">
      <w:tab/>
    </w:r>
    <w:r>
      <w:fldChar w:fldCharType="begin"/>
    </w:r>
    <w:r>
      <w:instrText xml:space="preserve"> SAVEDATE \@ DD.MM.YY </w:instrText>
    </w:r>
    <w:r>
      <w:fldChar w:fldCharType="separate"/>
    </w:r>
    <w:r w:rsidR="00C21C26">
      <w:rPr>
        <w:noProof/>
      </w:rPr>
      <w:t>01.11.15</w:t>
    </w:r>
    <w:r>
      <w:fldChar w:fldCharType="end"/>
    </w:r>
    <w:r w:rsidRPr="00C21C26">
      <w:tab/>
    </w:r>
    <w:r>
      <w:fldChar w:fldCharType="begin"/>
    </w:r>
    <w:r>
      <w:instrText xml:space="preserve"> PRINTDATE \@ DD.MM.YY </w:instrText>
    </w:r>
    <w:r>
      <w:fldChar w:fldCharType="separate"/>
    </w:r>
    <w:r w:rsidR="00C21C26">
      <w:rPr>
        <w:noProof/>
      </w:rPr>
      <w:t>01.11.15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E2C46" w14:textId="77777777" w:rsidR="00876854" w:rsidRDefault="00876854" w:rsidP="00876854">
    <w:pPr>
      <w:pStyle w:val="Footer"/>
    </w:pPr>
    <w:r>
      <w:rPr>
        <w:noProof w:val="0"/>
        <w:sz w:val="24"/>
      </w:rPr>
      <w:fldChar w:fldCharType="begin"/>
    </w:r>
    <w:r>
      <w:instrText xml:space="preserve"> FILENAME \p  \* MERGEFORMAT </w:instrText>
    </w:r>
    <w:r>
      <w:rPr>
        <w:noProof w:val="0"/>
        <w:sz w:val="24"/>
      </w:rPr>
      <w:fldChar w:fldCharType="separate"/>
    </w:r>
    <w:r w:rsidR="00C21C26">
      <w:t>P:\ESP\ITU-R\CONF-R\CMR15\100\130ADD25ADD02S.docx</w:t>
    </w:r>
    <w:r>
      <w:fldChar w:fldCharType="end"/>
    </w:r>
    <w:r>
      <w:t xml:space="preserve"> (389055)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C21C26">
      <w:t>01.11.15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C21C26">
      <w:t>01.11.15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9ED57" w14:textId="21B32788" w:rsidR="00876854" w:rsidRDefault="00876854">
    <w:pPr>
      <w:pStyle w:val="Footer"/>
    </w:pPr>
    <w:fldSimple w:instr=" FILENAME \p  \* MERGEFORMAT ">
      <w:r w:rsidR="00C21C26">
        <w:t>P:\ESP\ITU-R\CONF-R\CMR15\100\130ADD25ADD02S.docx</w:t>
      </w:r>
    </w:fldSimple>
    <w:r>
      <w:t xml:space="preserve"> (389055)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C21C26">
      <w:t>01.11.15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C21C26">
      <w:t>01.11.15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85427" w14:textId="77777777" w:rsidR="005133B5" w:rsidRDefault="005133B5">
      <w:r>
        <w:rPr>
          <w:b/>
        </w:rPr>
        <w:t>_______________</w:t>
      </w:r>
    </w:p>
  </w:footnote>
  <w:footnote w:type="continuationSeparator" w:id="0">
    <w:p w14:paraId="47A3AFD0" w14:textId="77777777"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79A1C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B7AC6">
      <w:rPr>
        <w:rStyle w:val="PageNumber"/>
        <w:noProof/>
      </w:rPr>
      <w:t>4</w:t>
    </w:r>
    <w:r>
      <w:rPr>
        <w:rStyle w:val="PageNumber"/>
      </w:rPr>
      <w:fldChar w:fldCharType="end"/>
    </w:r>
  </w:p>
  <w:p w14:paraId="0B101B3D" w14:textId="77777777"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130(Add.25)(Add.2)-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D6BBF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B33FF"/>
    <w:rsid w:val="001C41FA"/>
    <w:rsid w:val="001E2B52"/>
    <w:rsid w:val="001E3F27"/>
    <w:rsid w:val="002028E8"/>
    <w:rsid w:val="00235DF4"/>
    <w:rsid w:val="00236175"/>
    <w:rsid w:val="00236D2A"/>
    <w:rsid w:val="00255F12"/>
    <w:rsid w:val="00262C09"/>
    <w:rsid w:val="002A791F"/>
    <w:rsid w:val="002C1331"/>
    <w:rsid w:val="002C1B26"/>
    <w:rsid w:val="002C2566"/>
    <w:rsid w:val="002C5D6C"/>
    <w:rsid w:val="002D4893"/>
    <w:rsid w:val="002D5F17"/>
    <w:rsid w:val="002E701F"/>
    <w:rsid w:val="003139DA"/>
    <w:rsid w:val="003172F1"/>
    <w:rsid w:val="00321DA1"/>
    <w:rsid w:val="003248A9"/>
    <w:rsid w:val="00324FFA"/>
    <w:rsid w:val="0032680B"/>
    <w:rsid w:val="00363A65"/>
    <w:rsid w:val="00366F4C"/>
    <w:rsid w:val="003B1E8C"/>
    <w:rsid w:val="003C0363"/>
    <w:rsid w:val="003C2508"/>
    <w:rsid w:val="003D0AA3"/>
    <w:rsid w:val="004064B2"/>
    <w:rsid w:val="00440B3A"/>
    <w:rsid w:val="00450722"/>
    <w:rsid w:val="0045384C"/>
    <w:rsid w:val="00454553"/>
    <w:rsid w:val="004835D7"/>
    <w:rsid w:val="004A5844"/>
    <w:rsid w:val="004B124A"/>
    <w:rsid w:val="004C31BA"/>
    <w:rsid w:val="004C7BA8"/>
    <w:rsid w:val="004D22B0"/>
    <w:rsid w:val="004F190C"/>
    <w:rsid w:val="004F546F"/>
    <w:rsid w:val="005133B5"/>
    <w:rsid w:val="00532097"/>
    <w:rsid w:val="005616F6"/>
    <w:rsid w:val="0057235B"/>
    <w:rsid w:val="0058350F"/>
    <w:rsid w:val="00583C7E"/>
    <w:rsid w:val="005B7AC6"/>
    <w:rsid w:val="005C2EE6"/>
    <w:rsid w:val="005D46FB"/>
    <w:rsid w:val="005F2605"/>
    <w:rsid w:val="005F2E64"/>
    <w:rsid w:val="005F3B0E"/>
    <w:rsid w:val="005F559C"/>
    <w:rsid w:val="0062297B"/>
    <w:rsid w:val="00662BA0"/>
    <w:rsid w:val="00692AAE"/>
    <w:rsid w:val="006964EF"/>
    <w:rsid w:val="006A3B82"/>
    <w:rsid w:val="006D6E67"/>
    <w:rsid w:val="006E1A13"/>
    <w:rsid w:val="006F3D05"/>
    <w:rsid w:val="00701C20"/>
    <w:rsid w:val="00702F3D"/>
    <w:rsid w:val="0070518E"/>
    <w:rsid w:val="00724889"/>
    <w:rsid w:val="007354E9"/>
    <w:rsid w:val="00740660"/>
    <w:rsid w:val="00765578"/>
    <w:rsid w:val="0077084A"/>
    <w:rsid w:val="007952C7"/>
    <w:rsid w:val="00795C47"/>
    <w:rsid w:val="007C0B95"/>
    <w:rsid w:val="007C2317"/>
    <w:rsid w:val="007D330A"/>
    <w:rsid w:val="0081379D"/>
    <w:rsid w:val="00866AE6"/>
    <w:rsid w:val="008705E9"/>
    <w:rsid w:val="008750A8"/>
    <w:rsid w:val="00876854"/>
    <w:rsid w:val="00892583"/>
    <w:rsid w:val="008E09B5"/>
    <w:rsid w:val="008E2A7A"/>
    <w:rsid w:val="008E5AF2"/>
    <w:rsid w:val="0090121B"/>
    <w:rsid w:val="009144C9"/>
    <w:rsid w:val="0094091F"/>
    <w:rsid w:val="00973754"/>
    <w:rsid w:val="0097440A"/>
    <w:rsid w:val="00975F58"/>
    <w:rsid w:val="009A2454"/>
    <w:rsid w:val="009C0777"/>
    <w:rsid w:val="009C0BED"/>
    <w:rsid w:val="009E11EC"/>
    <w:rsid w:val="00A1149C"/>
    <w:rsid w:val="00A118DB"/>
    <w:rsid w:val="00A4450C"/>
    <w:rsid w:val="00A550D7"/>
    <w:rsid w:val="00A6151F"/>
    <w:rsid w:val="00A715D5"/>
    <w:rsid w:val="00AA5E6C"/>
    <w:rsid w:val="00AA7B7F"/>
    <w:rsid w:val="00AE5677"/>
    <w:rsid w:val="00AE658F"/>
    <w:rsid w:val="00AF2F78"/>
    <w:rsid w:val="00AF5F39"/>
    <w:rsid w:val="00B11879"/>
    <w:rsid w:val="00B1534C"/>
    <w:rsid w:val="00B239FA"/>
    <w:rsid w:val="00B31CD8"/>
    <w:rsid w:val="00B369C9"/>
    <w:rsid w:val="00B52D55"/>
    <w:rsid w:val="00B8288C"/>
    <w:rsid w:val="00BB4445"/>
    <w:rsid w:val="00BB70BF"/>
    <w:rsid w:val="00BE2E80"/>
    <w:rsid w:val="00BE5EDD"/>
    <w:rsid w:val="00BE6A1F"/>
    <w:rsid w:val="00BF1B0F"/>
    <w:rsid w:val="00C02325"/>
    <w:rsid w:val="00C126C4"/>
    <w:rsid w:val="00C21C26"/>
    <w:rsid w:val="00C63EB5"/>
    <w:rsid w:val="00CA79C3"/>
    <w:rsid w:val="00CB149E"/>
    <w:rsid w:val="00CC01E0"/>
    <w:rsid w:val="00CD5FEE"/>
    <w:rsid w:val="00CE40E9"/>
    <w:rsid w:val="00CE60D2"/>
    <w:rsid w:val="00CE7431"/>
    <w:rsid w:val="00D0288A"/>
    <w:rsid w:val="00D433D6"/>
    <w:rsid w:val="00D72A5D"/>
    <w:rsid w:val="00DB1C80"/>
    <w:rsid w:val="00DC629B"/>
    <w:rsid w:val="00E05BFF"/>
    <w:rsid w:val="00E262F1"/>
    <w:rsid w:val="00E3176A"/>
    <w:rsid w:val="00E54754"/>
    <w:rsid w:val="00E56BD3"/>
    <w:rsid w:val="00E71D14"/>
    <w:rsid w:val="00EA1D98"/>
    <w:rsid w:val="00ED2479"/>
    <w:rsid w:val="00F66597"/>
    <w:rsid w:val="00F675D0"/>
    <w:rsid w:val="00F8150C"/>
    <w:rsid w:val="00F842BC"/>
    <w:rsid w:val="00FE4574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8A6CF42"/>
  <w15:docId w15:val="{B0736EE1-9AC0-4035-B5C8-2F494ABF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Style 13"/>
    <w:basedOn w:val="DefaultParagraphFont"/>
    <w:rPr>
      <w:position w:val="6"/>
      <w:sz w:val="18"/>
    </w:rPr>
  </w:style>
  <w:style w:type="paragraph" w:styleId="FootnoteText">
    <w:name w:val="footnote text"/>
    <w:aliases w:val="ALTS FOOTNOTE,DNV-,Footnote Text Char Char1,Footnote Text Char Char1 Char1 Char Char,Footnote Text Char1,Footnote Text Char1 Char1 Char1 Char,Footnote Text Char1 Char1 Char1 Char Char Char1,Footnote Text Char4 Char Char,fn,DNV-F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Default">
    <w:name w:val="Default"/>
    <w:rsid w:val="003C036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en-ZA" w:eastAsia="en-US"/>
    </w:rPr>
  </w:style>
  <w:style w:type="character" w:customStyle="1" w:styleId="FootnoteTextChar">
    <w:name w:val="Footnote Text Char"/>
    <w:aliases w:val="ALTS FOOTNOTE Char,DNV- Char,Footnote Text Char Char1 Char,Footnote Text Char Char1 Char1 Char Char Char,Footnote Text Char1 Char,Footnote Text Char1 Char1 Char1 Char Char,Footnote Text Char1 Char1 Char1 Char Char Char1 Char,fn Char"/>
    <w:basedOn w:val="DefaultParagraphFont"/>
    <w:link w:val="FootnoteText"/>
    <w:rsid w:val="009A2454"/>
    <w:rPr>
      <w:rFonts w:ascii="Times New Roman" w:hAnsi="Times New Roman"/>
      <w:sz w:val="24"/>
      <w:lang w:val="es-ES_tradnl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6E96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F6E96"/>
    <w:rPr>
      <w:rFonts w:ascii="Times New Roman" w:hAnsi="Times New Roman"/>
      <w:lang w:val="es-ES_tradnl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FF6E96"/>
    <w:rPr>
      <w:rFonts w:ascii="Times New Roman" w:hAnsi="Times New Roman"/>
      <w:b/>
      <w:bCs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FF6E9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F6E96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R15-WRC15-C-0130!A25-A2!MSW-S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7AC743-2B56-4122-B953-F89181705781}">
  <ds:schemaRefs>
    <ds:schemaRef ds:uri="http://schemas.microsoft.com/office/2006/documentManagement/types"/>
    <ds:schemaRef ds:uri="32a1a8c5-2265-4ebc-b7a0-2071e2c5c9bb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996b2e75-67fd-4955-a3b0-5ab9934cb50b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B5DEB31-2502-4D86-B503-D277F72E8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1160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R15-WRC15-C-0130!A25-A2!MSW-S</vt:lpstr>
    </vt:vector>
  </TitlesOfParts>
  <Manager>Secretaría General - Pool</Manager>
  <Company>Unión Internacional de Telecomunicaciones (UIT)</Company>
  <LinksUpToDate>false</LinksUpToDate>
  <CharactersWithSpaces>8197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R15-WRC15-C-0130!A25-A2!MSW-S</dc:title>
  <dc:subject>Conferencia Mundial de Radiocomunicaciones - 2015</dc:subject>
  <dc:creator>Documents Proposals Manager (DPM)</dc:creator>
  <cp:keywords>DPM_v5.2015.10.280_prod</cp:keywords>
  <dc:description/>
  <cp:lastModifiedBy>Spanish</cp:lastModifiedBy>
  <cp:revision>27</cp:revision>
  <cp:lastPrinted>2015-11-01T15:06:00Z</cp:lastPrinted>
  <dcterms:created xsi:type="dcterms:W3CDTF">2015-11-01T14:55:00Z</dcterms:created>
  <dcterms:modified xsi:type="dcterms:W3CDTF">2015-11-01T15:23:00Z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