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2B418D">
            <w:pPr>
              <w:spacing w:before="400" w:after="48"/>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2B418D">
            <w:pPr>
              <w:spacing w:before="0"/>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rsidP="002B418D">
            <w:pPr>
              <w:spacing w:after="48"/>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2B418D">
            <w:pPr>
              <w:spacing w:before="0"/>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2B418D">
            <w:pPr>
              <w:rPr>
                <w:rFonts w:ascii="Verdana" w:hAnsi="Verdana"/>
                <w:b/>
                <w:bCs/>
                <w:sz w:val="20"/>
              </w:rPr>
            </w:pPr>
          </w:p>
        </w:tc>
        <w:tc>
          <w:tcPr>
            <w:tcW w:w="3120" w:type="dxa"/>
            <w:tcBorders>
              <w:top w:val="single" w:sz="12" w:space="0" w:color="auto"/>
            </w:tcBorders>
          </w:tcPr>
          <w:p w:rsidR="00622560" w:rsidRPr="00CB4E5A" w:rsidRDefault="00622560" w:rsidP="002B418D">
            <w:pPr>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2B418D">
            <w:pPr>
              <w:spacing w:before="0"/>
              <w:rPr>
                <w:rFonts w:ascii="Verdana" w:hAnsi="Verdana"/>
                <w:b/>
                <w:sz w:val="20"/>
              </w:rPr>
            </w:pPr>
            <w:proofErr w:type="spellStart"/>
            <w:r w:rsidRPr="00A466E6">
              <w:rPr>
                <w:rFonts w:ascii="Verdana" w:hAnsi="Verdana"/>
                <w:b/>
                <w:sz w:val="20"/>
              </w:rPr>
              <w:t>全体会议</w:t>
            </w:r>
            <w:proofErr w:type="spellEnd"/>
          </w:p>
        </w:tc>
        <w:tc>
          <w:tcPr>
            <w:tcW w:w="3120" w:type="dxa"/>
            <w:shd w:val="clear" w:color="auto" w:fill="auto"/>
          </w:tcPr>
          <w:p w:rsidR="00622560" w:rsidRPr="00622560" w:rsidRDefault="000273B7" w:rsidP="002B418D">
            <w:pPr>
              <w:spacing w:before="0"/>
              <w:rPr>
                <w:rFonts w:ascii="Verdana" w:hAnsi="Verdana"/>
                <w:sz w:val="20"/>
              </w:rPr>
            </w:pPr>
            <w:proofErr w:type="spellStart"/>
            <w:r>
              <w:rPr>
                <w:rFonts w:ascii="Verdana" w:hAnsi="Verdana" w:cs="Traditional Arabic"/>
                <w:b/>
                <w:sz w:val="20"/>
              </w:rPr>
              <w:t>文件</w:t>
            </w:r>
            <w:proofErr w:type="spellEnd"/>
            <w:r w:rsidR="00B040A9">
              <w:rPr>
                <w:rFonts w:ascii="Verdana" w:hAnsi="Verdana" w:cs="Traditional Arabic"/>
                <w:b/>
                <w:sz w:val="20"/>
              </w:rPr>
              <w:t xml:space="preserve"> 130</w:t>
            </w:r>
            <w:r>
              <w:rPr>
                <w:rFonts w:ascii="Verdana" w:hAnsi="Verdana" w:cs="Traditional Arabic"/>
                <w:b/>
                <w:sz w:val="20"/>
              </w:rPr>
              <w:t>(Add.3)</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2B418D">
            <w:pPr>
              <w:spacing w:before="0"/>
              <w:rPr>
                <w:rFonts w:ascii="Verdana" w:hAnsi="Verdana"/>
                <w:b/>
                <w:smallCaps/>
                <w:sz w:val="20"/>
              </w:rPr>
            </w:pPr>
          </w:p>
        </w:tc>
        <w:tc>
          <w:tcPr>
            <w:tcW w:w="3120" w:type="dxa"/>
            <w:shd w:val="clear" w:color="auto" w:fill="auto"/>
          </w:tcPr>
          <w:p w:rsidR="008221A4" w:rsidRPr="00622560" w:rsidRDefault="008221A4" w:rsidP="002B418D">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16</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2B418D">
            <w:pPr>
              <w:spacing w:before="0"/>
              <w:rPr>
                <w:rFonts w:ascii="Verdana" w:hAnsi="Verdana"/>
                <w:b/>
                <w:bCs/>
                <w:sz w:val="20"/>
              </w:rPr>
            </w:pPr>
          </w:p>
        </w:tc>
        <w:tc>
          <w:tcPr>
            <w:tcW w:w="3120" w:type="dxa"/>
          </w:tcPr>
          <w:p w:rsidR="008221A4" w:rsidRPr="00622560" w:rsidRDefault="008221A4" w:rsidP="002B418D">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rsidTr="00FE20CB">
        <w:trPr>
          <w:cantSplit/>
          <w:trHeight w:val="23"/>
        </w:trPr>
        <w:tc>
          <w:tcPr>
            <w:tcW w:w="10031" w:type="dxa"/>
            <w:gridSpan w:val="2"/>
          </w:tcPr>
          <w:p w:rsidR="008221A4" w:rsidRDefault="008221A4" w:rsidP="002B418D">
            <w:pPr>
              <w:spacing w:before="0"/>
              <w:rPr>
                <w:rFonts w:ascii="Verdana" w:hAnsi="Verdana"/>
                <w:b/>
                <w:bCs/>
                <w:sz w:val="20"/>
              </w:rPr>
            </w:pPr>
          </w:p>
        </w:tc>
      </w:tr>
      <w:tr w:rsidR="008221A4">
        <w:trPr>
          <w:cantSplit/>
        </w:trPr>
        <w:tc>
          <w:tcPr>
            <w:tcW w:w="10031" w:type="dxa"/>
            <w:gridSpan w:val="2"/>
          </w:tcPr>
          <w:p w:rsidR="008221A4" w:rsidRDefault="008221A4" w:rsidP="00CE6955">
            <w:pPr>
              <w:pStyle w:val="Source"/>
              <w:rPr>
                <w:lang w:eastAsia="zh-CN"/>
              </w:rPr>
            </w:pPr>
            <w:bookmarkStart w:id="4" w:name="dsource" w:colFirst="0" w:colLast="0"/>
            <w:r w:rsidRPr="000273B7">
              <w:rPr>
                <w:lang w:eastAsia="zh-CN"/>
              </w:rPr>
              <w:t>安哥拉（共和国）</w:t>
            </w:r>
            <w:r w:rsidR="00CE6955">
              <w:rPr>
                <w:rFonts w:hint="eastAsia"/>
                <w:lang w:eastAsia="zh-CN"/>
              </w:rPr>
              <w:t>/</w:t>
            </w:r>
            <w:r w:rsidRPr="000273B7">
              <w:rPr>
                <w:lang w:eastAsia="zh-CN"/>
              </w:rPr>
              <w:t>博茨瓦纳（共和国）</w:t>
            </w:r>
            <w:r w:rsidR="00CE6955">
              <w:rPr>
                <w:rFonts w:hint="eastAsia"/>
                <w:lang w:eastAsia="zh-CN"/>
              </w:rPr>
              <w:t>/</w:t>
            </w:r>
            <w:r w:rsidRPr="000273B7">
              <w:rPr>
                <w:lang w:eastAsia="zh-CN"/>
              </w:rPr>
              <w:t>莱索托（王国）</w:t>
            </w:r>
            <w:r w:rsidR="00CE6955">
              <w:rPr>
                <w:rFonts w:hint="eastAsia"/>
                <w:lang w:eastAsia="zh-CN"/>
              </w:rPr>
              <w:t>/</w:t>
            </w:r>
            <w:r w:rsidR="00CE6955">
              <w:rPr>
                <w:lang w:eastAsia="zh-CN"/>
              </w:rPr>
              <w:br/>
            </w:r>
            <w:r w:rsidRPr="000273B7">
              <w:rPr>
                <w:lang w:eastAsia="zh-CN"/>
              </w:rPr>
              <w:t>马达加斯加（共和国）</w:t>
            </w:r>
            <w:r w:rsidR="00CE6955">
              <w:rPr>
                <w:rFonts w:hint="eastAsia"/>
                <w:lang w:eastAsia="zh-CN"/>
              </w:rPr>
              <w:t>/</w:t>
            </w:r>
            <w:r w:rsidRPr="00BD68DE">
              <w:rPr>
                <w:rFonts w:ascii="Times New Roman Bold" w:hAnsi="Times New Roman Bold" w:cs="Times New Roman Bold"/>
                <w:spacing w:val="-2"/>
                <w:lang w:eastAsia="zh-CN"/>
              </w:rPr>
              <w:t>马拉维</w:t>
            </w:r>
            <w:r w:rsidR="00CE6955">
              <w:rPr>
                <w:rFonts w:ascii="Times New Roman Bold" w:hAnsi="Times New Roman Bold" w:cs="Times New Roman Bold" w:hint="eastAsia"/>
                <w:spacing w:val="-2"/>
                <w:lang w:eastAsia="zh-CN"/>
              </w:rPr>
              <w:t>/</w:t>
            </w:r>
            <w:r w:rsidRPr="00BD68DE">
              <w:rPr>
                <w:rFonts w:ascii="Times New Roman Bold" w:hAnsi="Times New Roman Bold" w:cs="Times New Roman Bold"/>
                <w:spacing w:val="-2"/>
                <w:lang w:eastAsia="zh-CN"/>
              </w:rPr>
              <w:t>毛里求斯（共和国）</w:t>
            </w:r>
            <w:r w:rsidR="00CE6955">
              <w:rPr>
                <w:rFonts w:ascii="Times New Roman Bold" w:hAnsi="Times New Roman Bold" w:cs="Times New Roman Bold" w:hint="eastAsia"/>
                <w:spacing w:val="-2"/>
                <w:lang w:eastAsia="zh-CN"/>
              </w:rPr>
              <w:t>/</w:t>
            </w:r>
            <w:r w:rsidR="00CE6955">
              <w:rPr>
                <w:rFonts w:ascii="Times New Roman Bold" w:hAnsi="Times New Roman Bold" w:cs="Times New Roman Bold"/>
                <w:spacing w:val="-2"/>
                <w:lang w:eastAsia="zh-CN"/>
              </w:rPr>
              <w:br/>
            </w:r>
            <w:r w:rsidRPr="00BD68DE">
              <w:rPr>
                <w:rFonts w:ascii="Times New Roman Bold" w:hAnsi="Times New Roman Bold" w:cs="Times New Roman Bold"/>
                <w:spacing w:val="-2"/>
                <w:lang w:eastAsia="zh-CN"/>
              </w:rPr>
              <w:t>莫桑比克（共和国）</w:t>
            </w:r>
            <w:r w:rsidR="00CE6955">
              <w:rPr>
                <w:rFonts w:ascii="Times New Roman Bold" w:hAnsi="Times New Roman Bold" w:cs="Times New Roman Bold" w:hint="eastAsia"/>
                <w:spacing w:val="-2"/>
                <w:lang w:eastAsia="zh-CN"/>
              </w:rPr>
              <w:t>/</w:t>
            </w:r>
            <w:r w:rsidRPr="00BD68DE">
              <w:rPr>
                <w:rFonts w:ascii="Times New Roman Bold" w:hAnsi="Times New Roman Bold" w:cs="Times New Roman Bold"/>
                <w:spacing w:val="-2"/>
                <w:lang w:eastAsia="zh-CN"/>
              </w:rPr>
              <w:t>纳米比亚（共和国）</w:t>
            </w:r>
            <w:r w:rsidR="00CE6955">
              <w:rPr>
                <w:rFonts w:ascii="Times New Roman Bold" w:hAnsi="Times New Roman Bold" w:cs="Times New Roman Bold" w:hint="eastAsia"/>
                <w:spacing w:val="-2"/>
                <w:lang w:eastAsia="zh-CN"/>
              </w:rPr>
              <w:t>/</w:t>
            </w:r>
            <w:r w:rsidRPr="00BD68DE">
              <w:rPr>
                <w:rFonts w:ascii="Times New Roman Bold" w:hAnsi="Times New Roman Bold" w:cs="Times New Roman Bold"/>
                <w:spacing w:val="-2"/>
                <w:lang w:eastAsia="zh-CN"/>
              </w:rPr>
              <w:t>刚果民主共和国</w:t>
            </w:r>
            <w:r w:rsidR="00CE6955">
              <w:rPr>
                <w:rFonts w:ascii="Times New Roman Bold" w:hAnsi="Times New Roman Bold" w:cs="Times New Roman Bold" w:hint="eastAsia"/>
                <w:spacing w:val="-2"/>
                <w:lang w:eastAsia="zh-CN"/>
              </w:rPr>
              <w:t>/</w:t>
            </w:r>
            <w:r w:rsidR="00CE6955">
              <w:rPr>
                <w:rFonts w:ascii="Times New Roman Bold" w:hAnsi="Times New Roman Bold" w:cs="Times New Roman Bold"/>
                <w:spacing w:val="-2"/>
                <w:lang w:eastAsia="zh-CN"/>
              </w:rPr>
              <w:br/>
            </w:r>
            <w:r w:rsidRPr="00BD68DE">
              <w:rPr>
                <w:rFonts w:ascii="Times New Roman Bold" w:hAnsi="Times New Roman Bold" w:cs="Times New Roman Bold"/>
                <w:spacing w:val="-2"/>
                <w:lang w:eastAsia="zh-CN"/>
              </w:rPr>
              <w:t>塞舌尔（共和国）</w:t>
            </w:r>
            <w:r w:rsidR="00CE6955">
              <w:rPr>
                <w:rFonts w:ascii="Times New Roman Bold" w:hAnsi="Times New Roman Bold" w:cs="Times New Roman Bold" w:hint="eastAsia"/>
                <w:spacing w:val="-2"/>
                <w:lang w:eastAsia="zh-CN"/>
              </w:rPr>
              <w:t>/</w:t>
            </w:r>
            <w:r w:rsidRPr="00BD68DE">
              <w:rPr>
                <w:rFonts w:ascii="Times New Roman Bold" w:hAnsi="Times New Roman Bold" w:cs="Times New Roman Bold"/>
                <w:spacing w:val="-2"/>
                <w:lang w:eastAsia="zh-CN"/>
              </w:rPr>
              <w:t>南非（共和国）</w:t>
            </w:r>
            <w:r w:rsidR="00CE6955">
              <w:rPr>
                <w:rFonts w:ascii="Times New Roman Bold" w:hAnsi="Times New Roman Bold" w:cs="Times New Roman Bold" w:hint="eastAsia"/>
                <w:spacing w:val="-2"/>
                <w:lang w:eastAsia="zh-CN"/>
              </w:rPr>
              <w:t>/</w:t>
            </w:r>
            <w:r w:rsidRPr="00BD68DE">
              <w:rPr>
                <w:rFonts w:ascii="Times New Roman Bold" w:hAnsi="Times New Roman Bold" w:cs="Times New Roman Bold"/>
                <w:spacing w:val="-2"/>
                <w:lang w:eastAsia="zh-CN"/>
              </w:rPr>
              <w:t>斯威士兰（王国）</w:t>
            </w:r>
            <w:r w:rsidR="00CE6955">
              <w:rPr>
                <w:rFonts w:ascii="Times New Roman Bold" w:hAnsi="Times New Roman Bold" w:cs="Times New Roman Bold" w:hint="eastAsia"/>
                <w:spacing w:val="-2"/>
                <w:lang w:eastAsia="zh-CN"/>
              </w:rPr>
              <w:t>/</w:t>
            </w:r>
            <w:r w:rsidR="00CE6955">
              <w:rPr>
                <w:rFonts w:ascii="Times New Roman Bold" w:hAnsi="Times New Roman Bold" w:cs="Times New Roman Bold"/>
                <w:spacing w:val="-2"/>
                <w:lang w:eastAsia="zh-CN"/>
              </w:rPr>
              <w:br/>
            </w:r>
            <w:r w:rsidRPr="00BD68DE">
              <w:rPr>
                <w:rFonts w:ascii="Times New Roman Bold" w:hAnsi="Times New Roman Bold" w:cs="Times New Roman Bold"/>
                <w:spacing w:val="-2"/>
                <w:lang w:eastAsia="zh-CN"/>
              </w:rPr>
              <w:t>坦桑尼亚（联合共和国）</w:t>
            </w:r>
            <w:r w:rsidR="00CE6955">
              <w:rPr>
                <w:rFonts w:ascii="Times New Roman Bold" w:hAnsi="Times New Roman Bold" w:cs="Times New Roman Bold" w:hint="eastAsia"/>
                <w:spacing w:val="-2"/>
                <w:lang w:eastAsia="zh-CN"/>
              </w:rPr>
              <w:t>/</w:t>
            </w:r>
            <w:r w:rsidRPr="00BD68DE">
              <w:rPr>
                <w:rFonts w:ascii="Times New Roman Bold" w:hAnsi="Times New Roman Bold" w:cs="Times New Roman Bold"/>
                <w:spacing w:val="-2"/>
                <w:lang w:eastAsia="zh-CN"/>
              </w:rPr>
              <w:t>赞比亚（共和国）</w:t>
            </w:r>
            <w:r w:rsidR="00CE6955">
              <w:rPr>
                <w:rFonts w:ascii="Times New Roman Bold" w:hAnsi="Times New Roman Bold" w:cs="Times New Roman Bold" w:hint="eastAsia"/>
                <w:spacing w:val="-2"/>
                <w:lang w:eastAsia="zh-CN"/>
              </w:rPr>
              <w:t>/</w:t>
            </w:r>
            <w:r w:rsidRPr="00BD68DE">
              <w:rPr>
                <w:rFonts w:ascii="Times New Roman Bold" w:hAnsi="Times New Roman Bold" w:cs="Times New Roman Bold"/>
                <w:spacing w:val="-2"/>
                <w:lang w:eastAsia="zh-CN"/>
              </w:rPr>
              <w:t>津巴布韦（共和国）</w:t>
            </w:r>
          </w:p>
        </w:tc>
      </w:tr>
      <w:tr w:rsidR="00B040A9">
        <w:trPr>
          <w:cantSplit/>
        </w:trPr>
        <w:tc>
          <w:tcPr>
            <w:tcW w:w="10031" w:type="dxa"/>
            <w:gridSpan w:val="2"/>
          </w:tcPr>
          <w:p w:rsidR="00B040A9" w:rsidRDefault="00B040A9" w:rsidP="002B418D">
            <w:pPr>
              <w:pStyle w:val="Title1"/>
              <w:rPr>
                <w:lang w:eastAsia="zh-CN"/>
              </w:rPr>
            </w:pPr>
            <w:bookmarkStart w:id="5" w:name="dtitle1" w:colFirst="0" w:colLast="0"/>
            <w:bookmarkEnd w:id="4"/>
            <w:r>
              <w:rPr>
                <w:rFonts w:hint="eastAsia"/>
                <w:lang w:eastAsia="zh-CN"/>
              </w:rPr>
              <w:t>有关大会工作的提案</w:t>
            </w:r>
          </w:p>
        </w:tc>
      </w:tr>
      <w:tr w:rsidR="00B040A9">
        <w:trPr>
          <w:cantSplit/>
        </w:trPr>
        <w:tc>
          <w:tcPr>
            <w:tcW w:w="10031" w:type="dxa"/>
            <w:gridSpan w:val="2"/>
          </w:tcPr>
          <w:p w:rsidR="00B040A9" w:rsidRDefault="00B040A9" w:rsidP="002B418D">
            <w:pPr>
              <w:pStyle w:val="Title2"/>
              <w:rPr>
                <w:lang w:eastAsia="zh-CN"/>
              </w:rPr>
            </w:pPr>
            <w:bookmarkStart w:id="6" w:name="dtitle2" w:colFirst="0" w:colLast="0"/>
            <w:bookmarkEnd w:id="5"/>
          </w:p>
        </w:tc>
      </w:tr>
      <w:tr w:rsidR="00B040A9">
        <w:trPr>
          <w:cantSplit/>
        </w:trPr>
        <w:tc>
          <w:tcPr>
            <w:tcW w:w="10031" w:type="dxa"/>
            <w:gridSpan w:val="2"/>
          </w:tcPr>
          <w:p w:rsidR="00B040A9" w:rsidRDefault="00B040A9" w:rsidP="002B418D">
            <w:pPr>
              <w:pStyle w:val="Agendaitem"/>
            </w:pPr>
            <w:bookmarkStart w:id="7" w:name="dtitle3" w:colFirst="0" w:colLast="0"/>
            <w:bookmarkEnd w:id="6"/>
            <w:r w:rsidRPr="000273B7">
              <w:t>议项</w:t>
            </w:r>
            <w:r w:rsidRPr="000273B7">
              <w:t>1.3</w:t>
            </w:r>
          </w:p>
        </w:tc>
      </w:tr>
    </w:tbl>
    <w:bookmarkEnd w:id="7"/>
    <w:p w:rsidR="00DC413F" w:rsidRDefault="00C03B9A" w:rsidP="00DC413F">
      <w:pPr>
        <w:pStyle w:val="Normalaftertitle0"/>
        <w:rPr>
          <w:lang w:eastAsia="zh-CN"/>
        </w:rPr>
      </w:pPr>
      <w:r w:rsidRPr="009C33AA">
        <w:rPr>
          <w:lang w:eastAsia="zh-CN"/>
        </w:rPr>
        <w:t>1.3</w:t>
      </w:r>
      <w:r w:rsidRPr="009C33AA">
        <w:rPr>
          <w:lang w:eastAsia="zh-CN"/>
        </w:rPr>
        <w:tab/>
      </w:r>
      <w:r w:rsidRPr="009C33AA">
        <w:rPr>
          <w:rFonts w:hint="eastAsia"/>
          <w:lang w:eastAsia="zh-CN"/>
        </w:rPr>
        <w:t>根据第</w:t>
      </w:r>
      <w:r w:rsidRPr="009C33AA">
        <w:rPr>
          <w:b/>
          <w:bCs/>
          <w:lang w:eastAsia="zh-CN"/>
        </w:rPr>
        <w:t>648</w:t>
      </w:r>
      <w:r w:rsidRPr="009C33AA">
        <w:rPr>
          <w:rFonts w:hint="eastAsia"/>
          <w:bCs/>
          <w:lang w:eastAsia="zh-CN"/>
        </w:rPr>
        <w:t>号决议</w:t>
      </w:r>
      <w:r w:rsidRPr="009C33AA">
        <w:rPr>
          <w:rFonts w:hint="eastAsia"/>
          <w:b/>
          <w:lang w:eastAsia="zh-CN"/>
        </w:rPr>
        <w:t>（</w:t>
      </w:r>
      <w:r w:rsidRPr="009C33AA">
        <w:rPr>
          <w:b/>
          <w:lang w:eastAsia="zh-CN"/>
        </w:rPr>
        <w:t>WRC-12</w:t>
      </w:r>
      <w:r w:rsidRPr="009C33AA">
        <w:rPr>
          <w:rFonts w:hint="eastAsia"/>
          <w:b/>
          <w:lang w:eastAsia="zh-CN"/>
        </w:rPr>
        <w:t>）</w:t>
      </w:r>
      <w:r w:rsidRPr="009C33AA">
        <w:rPr>
          <w:rFonts w:hint="eastAsia"/>
          <w:bCs/>
          <w:lang w:eastAsia="zh-CN"/>
        </w:rPr>
        <w:t>，</w:t>
      </w:r>
      <w:r w:rsidRPr="009C33AA">
        <w:rPr>
          <w:rFonts w:hint="eastAsia"/>
          <w:lang w:eastAsia="zh-CN"/>
        </w:rPr>
        <w:t>审议并修订有关宽带公共保护和赈灾（</w:t>
      </w:r>
      <w:r w:rsidRPr="009C33AA">
        <w:rPr>
          <w:lang w:eastAsia="zh-CN"/>
        </w:rPr>
        <w:t>PPDR</w:t>
      </w:r>
      <w:r w:rsidRPr="009C33AA">
        <w:rPr>
          <w:rFonts w:hint="eastAsia"/>
          <w:lang w:eastAsia="zh-CN"/>
        </w:rPr>
        <w:t>）的第</w:t>
      </w:r>
      <w:r w:rsidRPr="009C33AA">
        <w:rPr>
          <w:rFonts w:eastAsia="MS Mincho"/>
          <w:b/>
          <w:lang w:eastAsia="ja-JP"/>
        </w:rPr>
        <w:t>646</w:t>
      </w:r>
      <w:r w:rsidRPr="009C33AA">
        <w:rPr>
          <w:rFonts w:hint="eastAsia"/>
          <w:bCs/>
          <w:lang w:eastAsia="zh-CN"/>
        </w:rPr>
        <w:t>号决议</w:t>
      </w:r>
      <w:r w:rsidRPr="009C33AA">
        <w:rPr>
          <w:rFonts w:hint="eastAsia"/>
          <w:b/>
          <w:lang w:eastAsia="zh-CN"/>
        </w:rPr>
        <w:t>（</w:t>
      </w:r>
      <w:r w:rsidRPr="009C33AA">
        <w:rPr>
          <w:b/>
          <w:lang w:eastAsia="zh-CN"/>
        </w:rPr>
        <w:t>WRC-12</w:t>
      </w:r>
      <w:r w:rsidRPr="009C33AA">
        <w:rPr>
          <w:rFonts w:hint="eastAsia"/>
          <w:b/>
          <w:lang w:eastAsia="zh-CN"/>
        </w:rPr>
        <w:t>，修订版）</w:t>
      </w:r>
      <w:r w:rsidRPr="009C33AA">
        <w:rPr>
          <w:rFonts w:hint="eastAsia"/>
          <w:lang w:eastAsia="zh-CN"/>
        </w:rPr>
        <w:t>；</w:t>
      </w:r>
    </w:p>
    <w:p w:rsidR="00997B61" w:rsidRPr="00997B61" w:rsidRDefault="00997B61" w:rsidP="00997B61">
      <w:pPr>
        <w:rPr>
          <w:lang w:eastAsia="zh-CN"/>
        </w:rPr>
      </w:pPr>
    </w:p>
    <w:p w:rsidR="008D7792" w:rsidRPr="00DF0AA4" w:rsidRDefault="002B418D" w:rsidP="002B418D">
      <w:pPr>
        <w:pStyle w:val="Headingb"/>
        <w:rPr>
          <w:lang w:val="en-US" w:eastAsia="zh-CN"/>
        </w:rPr>
      </w:pPr>
      <w:r>
        <w:rPr>
          <w:rFonts w:hint="eastAsia"/>
          <w:lang w:val="en-US" w:eastAsia="zh-CN"/>
        </w:rPr>
        <w:t>背景</w:t>
      </w:r>
    </w:p>
    <w:p w:rsidR="00700C19" w:rsidRDefault="00700C19" w:rsidP="00BD68DE">
      <w:pPr>
        <w:ind w:firstLineChars="200" w:firstLine="480"/>
        <w:rPr>
          <w:rFonts w:eastAsiaTheme="minorEastAsia"/>
          <w:lang w:val="en-US" w:eastAsia="zh-CN" w:bidi="he-IL"/>
        </w:rPr>
      </w:pPr>
      <w:r>
        <w:rPr>
          <w:rFonts w:asciiTheme="minorEastAsia" w:eastAsiaTheme="minorEastAsia" w:hAnsiTheme="minorEastAsia" w:hint="eastAsia"/>
          <w:lang w:val="en-US" w:eastAsia="zh-CN" w:bidi="he-IL"/>
        </w:rPr>
        <w:t>关于</w:t>
      </w:r>
      <w:r>
        <w:rPr>
          <w:rFonts w:hint="eastAsia"/>
          <w:noProof/>
          <w:lang w:eastAsia="zh-CN"/>
        </w:rPr>
        <w:t>公共保护和赈灾的</w:t>
      </w:r>
      <w:r>
        <w:rPr>
          <w:rFonts w:eastAsiaTheme="minorEastAsia" w:hint="eastAsia"/>
          <w:lang w:val="en-US" w:eastAsia="zh-CN" w:bidi="he-IL"/>
        </w:rPr>
        <w:t>（</w:t>
      </w:r>
      <w:r w:rsidRPr="00700C19">
        <w:rPr>
          <w:lang w:val="en-US" w:eastAsia="zh-CN" w:bidi="he-IL"/>
        </w:rPr>
        <w:t>PPDR</w:t>
      </w:r>
      <w:r w:rsidRPr="00700C19">
        <w:rPr>
          <w:rFonts w:eastAsiaTheme="minorEastAsia" w:hint="eastAsia"/>
          <w:lang w:val="en-US" w:eastAsia="zh-CN" w:bidi="he-IL"/>
        </w:rPr>
        <w:t>）</w:t>
      </w:r>
      <w:r w:rsidRPr="00700C19">
        <w:rPr>
          <w:rFonts w:hint="eastAsia"/>
          <w:noProof/>
          <w:lang w:eastAsia="zh-CN"/>
        </w:rPr>
        <w:t>第</w:t>
      </w:r>
      <w:r w:rsidRPr="00700C19">
        <w:rPr>
          <w:noProof/>
          <w:lang w:eastAsia="zh-CN"/>
        </w:rPr>
        <w:t>646</w:t>
      </w:r>
      <w:r w:rsidRPr="00700C19">
        <w:rPr>
          <w:rFonts w:hint="eastAsia"/>
          <w:noProof/>
          <w:lang w:eastAsia="zh-CN"/>
        </w:rPr>
        <w:t>号决议（</w:t>
      </w:r>
      <w:r w:rsidRPr="00700C19">
        <w:rPr>
          <w:noProof/>
          <w:lang w:eastAsia="zh-CN"/>
        </w:rPr>
        <w:t>WRC-12</w:t>
      </w:r>
      <w:r w:rsidRPr="00700C19">
        <w:rPr>
          <w:rFonts w:hint="eastAsia"/>
          <w:noProof/>
          <w:lang w:eastAsia="zh-CN"/>
        </w:rPr>
        <w:t>，修订版）</w:t>
      </w:r>
      <w:r w:rsidRPr="00700C19">
        <w:rPr>
          <w:rFonts w:eastAsiaTheme="minorEastAsia" w:hint="eastAsia"/>
          <w:lang w:val="en-US" w:eastAsia="zh-CN" w:bidi="he-IL"/>
        </w:rPr>
        <w:t>，</w:t>
      </w:r>
      <w:r w:rsidRPr="00700C19">
        <w:rPr>
          <w:rFonts w:hint="eastAsia"/>
          <w:lang w:eastAsia="zh-CN"/>
        </w:rPr>
        <w:t>鼓励主管部门在制定国家计划时考虑某些或部分确定的统一频段</w:t>
      </w:r>
      <w:r>
        <w:rPr>
          <w:lang w:eastAsia="zh-CN"/>
        </w:rPr>
        <w:t>/</w:t>
      </w:r>
      <w:r>
        <w:rPr>
          <w:rFonts w:hint="eastAsia"/>
          <w:lang w:eastAsia="zh-CN"/>
        </w:rPr>
        <w:t>频率范围，以便在区域层面实现</w:t>
      </w:r>
      <w:r w:rsidR="002B418D">
        <w:rPr>
          <w:rFonts w:hint="eastAsia"/>
          <w:lang w:eastAsia="zh-CN"/>
        </w:rPr>
        <w:t>先进的</w:t>
      </w:r>
      <w:r>
        <w:rPr>
          <w:rFonts w:hint="eastAsia"/>
          <w:lang w:eastAsia="zh-CN"/>
        </w:rPr>
        <w:t>公共保护和赈灾方案的频段</w:t>
      </w:r>
      <w:r>
        <w:rPr>
          <w:lang w:eastAsia="zh-CN"/>
        </w:rPr>
        <w:t>/</w:t>
      </w:r>
      <w:r>
        <w:rPr>
          <w:rFonts w:hint="eastAsia"/>
          <w:lang w:eastAsia="zh-CN"/>
        </w:rPr>
        <w:t>频率范围的统一</w:t>
      </w:r>
      <w:r>
        <w:rPr>
          <w:rFonts w:eastAsiaTheme="minorEastAsia" w:hint="eastAsia"/>
          <w:lang w:val="en-US" w:eastAsia="zh-CN" w:bidi="he-IL"/>
        </w:rPr>
        <w:t>。</w:t>
      </w:r>
    </w:p>
    <w:p w:rsidR="00700C19" w:rsidRDefault="00700C19" w:rsidP="00BD68DE">
      <w:pPr>
        <w:ind w:firstLineChars="200" w:firstLine="480"/>
        <w:rPr>
          <w:lang w:val="en-US" w:eastAsia="zh-CN" w:bidi="he-IL"/>
        </w:rPr>
      </w:pPr>
      <w:r>
        <w:rPr>
          <w:rFonts w:hint="eastAsia"/>
          <w:lang w:val="en-US" w:eastAsia="zh-CN" w:bidi="he-IL"/>
        </w:rPr>
        <w:t>决议以及许多研究和报告都妥善记录了使用区域或国际统一的频段的好处，其中包括实现规模效益、提高设备的可用性、加强竞争和改善频谱管理与规划的可能性。在应急和救灾情况下，协调统一的好处还包括当一个国家接受其他国家的援助时，增强设备的跨境流通和提高通信的互操作性潜力。</w:t>
      </w:r>
    </w:p>
    <w:p w:rsidR="008D7792" w:rsidRPr="00FA5E8D" w:rsidRDefault="002B418D" w:rsidP="002B418D">
      <w:pPr>
        <w:pStyle w:val="Headingb"/>
        <w:rPr>
          <w:lang w:val="en-US" w:eastAsia="zh-CN"/>
        </w:rPr>
      </w:pPr>
      <w:r>
        <w:rPr>
          <w:rFonts w:hint="eastAsia"/>
          <w:lang w:val="en-US" w:eastAsia="zh-CN"/>
        </w:rPr>
        <w:t>做出</w:t>
      </w:r>
      <w:r>
        <w:rPr>
          <w:lang w:val="en-US" w:eastAsia="zh-CN"/>
        </w:rPr>
        <w:t>决议</w:t>
      </w:r>
    </w:p>
    <w:p w:rsidR="008D7792" w:rsidRPr="00FA5E8D" w:rsidRDefault="008D7792" w:rsidP="002B418D">
      <w:pPr>
        <w:rPr>
          <w:lang w:val="en-US" w:eastAsia="zh-CN"/>
        </w:rPr>
      </w:pPr>
      <w:r>
        <w:rPr>
          <w:lang w:val="en-US" w:eastAsia="zh-CN"/>
        </w:rPr>
        <w:t>1</w:t>
      </w:r>
      <w:r>
        <w:rPr>
          <w:lang w:val="en-US" w:eastAsia="zh-CN"/>
        </w:rPr>
        <w:tab/>
      </w:r>
      <w:r w:rsidR="00A1136E">
        <w:rPr>
          <w:rFonts w:asciiTheme="majorBidi" w:eastAsiaTheme="minorEastAsia" w:hAnsiTheme="majorBidi" w:cstheme="majorBidi" w:hint="eastAsia"/>
          <w:lang w:eastAsia="zh-CN"/>
        </w:rPr>
        <w:t>考虑到国内和区域的需求以及需与其他相关国家进行的任何磋商和合作，强烈建议主管部门在尽可能的范围内，在公共保护和赈灾通信中使用区域内统一的频段；</w:t>
      </w:r>
    </w:p>
    <w:p w:rsidR="008D7792" w:rsidRPr="00FA5E8D" w:rsidRDefault="00616412" w:rsidP="002B418D">
      <w:pPr>
        <w:rPr>
          <w:lang w:val="en-US" w:eastAsia="zh-CN"/>
        </w:rPr>
      </w:pPr>
      <w:r>
        <w:rPr>
          <w:lang w:val="en-US" w:eastAsia="zh-CN"/>
        </w:rPr>
        <w:t>2</w:t>
      </w:r>
      <w:r w:rsidR="008D7792">
        <w:rPr>
          <w:lang w:val="en-US" w:eastAsia="zh-CN"/>
        </w:rPr>
        <w:tab/>
      </w:r>
      <w:r w:rsidR="00A1136E">
        <w:rPr>
          <w:rFonts w:asciiTheme="majorBidi" w:eastAsiaTheme="minorEastAsia" w:hAnsiTheme="majorBidi" w:cstheme="majorBidi" w:hint="eastAsia"/>
          <w:lang w:eastAsia="zh-CN"/>
        </w:rPr>
        <w:t>为了实现全球协调，鼓励主管部门考虑将最新版</w:t>
      </w:r>
      <w:r w:rsidR="00A1136E">
        <w:rPr>
          <w:rFonts w:asciiTheme="majorBidi" w:eastAsiaTheme="minorEastAsia" w:hAnsiTheme="majorBidi" w:cstheme="majorBidi"/>
          <w:lang w:eastAsia="zh-CN"/>
        </w:rPr>
        <w:t>ITU-R M.2015</w:t>
      </w:r>
      <w:r w:rsidR="00A1136E">
        <w:rPr>
          <w:rFonts w:asciiTheme="majorBidi" w:eastAsiaTheme="minorEastAsia" w:hAnsiTheme="majorBidi" w:cstheme="majorBidi" w:hint="eastAsia"/>
          <w:lang w:eastAsia="zh-CN"/>
        </w:rPr>
        <w:t>建议书提及的</w:t>
      </w:r>
      <w:r w:rsidR="00A1136E">
        <w:rPr>
          <w:rFonts w:asciiTheme="majorBidi" w:eastAsiaTheme="minorEastAsia" w:hAnsiTheme="majorBidi" w:cstheme="majorBidi"/>
          <w:lang w:eastAsia="zh-CN"/>
        </w:rPr>
        <w:t>700/800</w:t>
      </w:r>
      <w:r w:rsidR="002B418D">
        <w:rPr>
          <w:rFonts w:asciiTheme="majorBidi" w:eastAsiaTheme="minorEastAsia" w:hAnsiTheme="majorBidi" w:cstheme="majorBidi"/>
          <w:lang w:eastAsia="zh-CN"/>
        </w:rPr>
        <w:t xml:space="preserve"> </w:t>
      </w:r>
      <w:r w:rsidR="00A1136E">
        <w:rPr>
          <w:rFonts w:asciiTheme="majorBidi" w:eastAsiaTheme="minorEastAsia" w:hAnsiTheme="majorBidi" w:cstheme="majorBidi"/>
          <w:lang w:eastAsia="zh-CN"/>
        </w:rPr>
        <w:t>MHz</w:t>
      </w:r>
      <w:r w:rsidR="00A1136E">
        <w:rPr>
          <w:rFonts w:asciiTheme="majorBidi" w:eastAsiaTheme="minorEastAsia" w:hAnsiTheme="majorBidi" w:cstheme="majorBidi" w:hint="eastAsia"/>
          <w:lang w:eastAsia="zh-CN"/>
        </w:rPr>
        <w:t>频率调谐范围</w:t>
      </w:r>
      <w:r w:rsidR="002B418D">
        <w:rPr>
          <w:rFonts w:asciiTheme="majorBidi" w:eastAsiaTheme="minorEastAsia" w:hAnsiTheme="majorBidi" w:cstheme="majorBidi" w:hint="eastAsia"/>
          <w:lang w:eastAsia="zh-CN"/>
        </w:rPr>
        <w:t>3</w:t>
      </w:r>
      <w:r w:rsidR="00A1136E">
        <w:rPr>
          <w:rFonts w:asciiTheme="majorBidi" w:eastAsiaTheme="minorEastAsia" w:hAnsiTheme="majorBidi" w:cstheme="majorBidi" w:hint="eastAsia"/>
          <w:lang w:eastAsia="zh-CN"/>
        </w:rPr>
        <w:t>或其中一部分用于提供</w:t>
      </w:r>
      <w:r w:rsidR="00A1136E">
        <w:rPr>
          <w:rFonts w:asciiTheme="majorBidi" w:eastAsiaTheme="minorEastAsia" w:hAnsiTheme="majorBidi" w:cstheme="majorBidi"/>
          <w:lang w:eastAsia="zh-CN"/>
        </w:rPr>
        <w:t>PPDR</w:t>
      </w:r>
      <w:r w:rsidR="002B418D">
        <w:rPr>
          <w:rFonts w:asciiTheme="majorBidi" w:eastAsiaTheme="minorEastAsia" w:hAnsiTheme="majorBidi" w:cstheme="majorBidi" w:hint="eastAsia"/>
          <w:lang w:eastAsia="zh-CN"/>
        </w:rPr>
        <w:t>解决方案</w:t>
      </w:r>
      <w:r w:rsidR="00A1136E">
        <w:rPr>
          <w:rFonts w:asciiTheme="majorBidi" w:eastAsiaTheme="minorEastAsia" w:hAnsiTheme="majorBidi" w:cstheme="majorBidi" w:hint="eastAsia"/>
          <w:lang w:eastAsia="zh-CN"/>
        </w:rPr>
        <w:t>；</w:t>
      </w:r>
    </w:p>
    <w:p w:rsidR="008D7792" w:rsidRDefault="005705BC" w:rsidP="002B418D">
      <w:pPr>
        <w:rPr>
          <w:lang w:val="en-US" w:eastAsia="zh-CN"/>
        </w:rPr>
      </w:pPr>
      <w:r>
        <w:rPr>
          <w:lang w:val="en-US" w:eastAsia="zh-CN"/>
        </w:rPr>
        <w:lastRenderedPageBreak/>
        <w:t>3</w:t>
      </w:r>
      <w:r w:rsidR="008D7792">
        <w:rPr>
          <w:lang w:val="en-US" w:eastAsia="zh-CN"/>
        </w:rPr>
        <w:tab/>
      </w:r>
      <w:r w:rsidR="00A1136E">
        <w:rPr>
          <w:rFonts w:asciiTheme="majorBidi" w:eastAsiaTheme="minorEastAsia" w:hAnsiTheme="majorBidi" w:cstheme="majorBidi" w:hint="eastAsia"/>
          <w:lang w:eastAsia="zh-CN"/>
        </w:rPr>
        <w:t>鼓励主管部门考虑将下列区域协调的频率调谐范围或其中一部分用于规划和未来的</w:t>
      </w:r>
      <w:r w:rsidR="00A1136E">
        <w:rPr>
          <w:rFonts w:asciiTheme="majorBidi" w:eastAsiaTheme="minorEastAsia" w:hAnsiTheme="majorBidi" w:cstheme="majorBidi"/>
          <w:lang w:eastAsia="zh-CN"/>
        </w:rPr>
        <w:t>PPDR</w:t>
      </w:r>
      <w:r w:rsidR="002B418D">
        <w:rPr>
          <w:rFonts w:asciiTheme="majorBidi" w:eastAsiaTheme="minorEastAsia" w:hAnsiTheme="majorBidi" w:cstheme="majorBidi" w:hint="eastAsia"/>
          <w:lang w:eastAsia="zh-CN"/>
        </w:rPr>
        <w:t>工作</w:t>
      </w:r>
      <w:r w:rsidR="00A1136E">
        <w:rPr>
          <w:rFonts w:asciiTheme="majorBidi" w:eastAsiaTheme="minorEastAsia" w:hAnsiTheme="majorBidi" w:cstheme="majorBidi" w:hint="eastAsia"/>
          <w:lang w:eastAsia="zh-CN"/>
        </w:rPr>
        <w:t>：</w:t>
      </w:r>
    </w:p>
    <w:p w:rsidR="00A1136E" w:rsidRDefault="00A1136E" w:rsidP="002B418D">
      <w:pPr>
        <w:pStyle w:val="enumlev1"/>
        <w:rPr>
          <w:lang w:eastAsia="zh-CN"/>
        </w:rPr>
      </w:pPr>
      <w:r>
        <w:rPr>
          <w:lang w:eastAsia="zh-CN"/>
        </w:rPr>
        <w:t>–</w:t>
      </w:r>
      <w:r>
        <w:rPr>
          <w:lang w:eastAsia="zh-CN"/>
        </w:rPr>
        <w:tab/>
        <w:t>1</w:t>
      </w:r>
      <w:r>
        <w:rPr>
          <w:rFonts w:hint="eastAsia"/>
          <w:lang w:eastAsia="zh-CN"/>
        </w:rPr>
        <w:t>区：</w:t>
      </w:r>
      <w:r>
        <w:rPr>
          <w:lang w:eastAsia="zh-CN"/>
        </w:rPr>
        <w:t>380-470 MHz</w:t>
      </w:r>
      <w:r>
        <w:rPr>
          <w:rFonts w:hint="eastAsia"/>
          <w:lang w:eastAsia="zh-CN"/>
        </w:rPr>
        <w:t>；</w:t>
      </w:r>
    </w:p>
    <w:p w:rsidR="00A1136E" w:rsidRDefault="00A1136E" w:rsidP="002B418D">
      <w:pPr>
        <w:pStyle w:val="enumlev1"/>
        <w:rPr>
          <w:lang w:val="de-CH" w:eastAsia="zh-CN"/>
        </w:rPr>
      </w:pPr>
      <w:r>
        <w:rPr>
          <w:lang w:val="de-CH" w:eastAsia="zh-CN"/>
        </w:rPr>
        <w:t>–</w:t>
      </w:r>
      <w:r>
        <w:rPr>
          <w:lang w:val="de-CH" w:eastAsia="zh-CN"/>
        </w:rPr>
        <w:tab/>
        <w:t>2</w:t>
      </w:r>
      <w:r>
        <w:rPr>
          <w:rFonts w:hint="eastAsia"/>
          <w:lang w:val="de-CH" w:eastAsia="zh-CN"/>
        </w:rPr>
        <w:t>区：</w:t>
      </w:r>
      <w:r>
        <w:rPr>
          <w:lang w:val="de-CH" w:eastAsia="zh-CN"/>
        </w:rPr>
        <w:t>4 940-4 990 MHz</w:t>
      </w:r>
      <w:r>
        <w:rPr>
          <w:rFonts w:hint="eastAsia"/>
          <w:lang w:val="de-CH" w:eastAsia="zh-CN"/>
        </w:rPr>
        <w:t>；</w:t>
      </w:r>
    </w:p>
    <w:p w:rsidR="008D7792" w:rsidRPr="00A1136E" w:rsidRDefault="00A1136E" w:rsidP="002B418D">
      <w:pPr>
        <w:pStyle w:val="enumlev1"/>
        <w:rPr>
          <w:lang w:eastAsia="zh-CN"/>
        </w:rPr>
      </w:pPr>
      <w:r w:rsidRPr="00A1136E">
        <w:rPr>
          <w:lang w:eastAsia="zh-CN"/>
        </w:rPr>
        <w:t>–</w:t>
      </w:r>
      <w:r w:rsidRPr="00A1136E">
        <w:rPr>
          <w:lang w:eastAsia="zh-CN"/>
        </w:rPr>
        <w:tab/>
        <w:t>3</w:t>
      </w:r>
      <w:r w:rsidRPr="00A1136E">
        <w:rPr>
          <w:rFonts w:hint="eastAsia"/>
          <w:lang w:eastAsia="zh-CN"/>
        </w:rPr>
        <w:t>区：</w:t>
      </w:r>
      <w:r w:rsidR="002B418D">
        <w:rPr>
          <w:lang w:eastAsia="zh-CN"/>
        </w:rPr>
        <w:t>406.1-430 MHz</w:t>
      </w:r>
      <w:r w:rsidR="002B418D">
        <w:rPr>
          <w:rFonts w:hint="eastAsia"/>
          <w:lang w:eastAsia="zh-CN"/>
        </w:rPr>
        <w:t>、</w:t>
      </w:r>
      <w:r w:rsidR="002B418D">
        <w:rPr>
          <w:lang w:eastAsia="zh-CN"/>
        </w:rPr>
        <w:t>440-470 MHz</w:t>
      </w:r>
      <w:r w:rsidR="002B418D">
        <w:rPr>
          <w:rFonts w:hint="eastAsia"/>
          <w:lang w:eastAsia="zh-CN"/>
        </w:rPr>
        <w:t>、</w:t>
      </w:r>
      <w:r w:rsidRPr="00A1136E">
        <w:rPr>
          <w:lang w:eastAsia="zh-CN"/>
        </w:rPr>
        <w:t>4 940 4 990 MHz</w:t>
      </w:r>
      <w:r w:rsidRPr="00A1136E">
        <w:rPr>
          <w:rFonts w:hint="eastAsia"/>
          <w:lang w:eastAsia="zh-CN"/>
        </w:rPr>
        <w:t>；</w:t>
      </w:r>
    </w:p>
    <w:p w:rsidR="008D7792" w:rsidRPr="00FA5E8D" w:rsidRDefault="008D7792" w:rsidP="002B418D">
      <w:pPr>
        <w:rPr>
          <w:lang w:val="en-US" w:eastAsia="zh-CN"/>
        </w:rPr>
      </w:pPr>
      <w:r w:rsidRPr="00FA5E8D">
        <w:rPr>
          <w:lang w:val="en-US" w:eastAsia="zh-CN"/>
        </w:rPr>
        <w:t>4</w:t>
      </w:r>
      <w:r>
        <w:rPr>
          <w:lang w:val="en-US" w:eastAsia="zh-CN"/>
        </w:rPr>
        <w:tab/>
      </w:r>
      <w:r w:rsidR="00A1136E">
        <w:rPr>
          <w:rFonts w:asciiTheme="majorBidi" w:eastAsiaTheme="minorEastAsia" w:hAnsiTheme="majorBidi" w:cstheme="majorBidi" w:hint="eastAsia"/>
          <w:lang w:eastAsia="zh-CN"/>
        </w:rPr>
        <w:t>这些安排中用于用于公共保护和赈灾</w:t>
      </w:r>
      <w:r w:rsidR="00A1136E">
        <w:rPr>
          <w:rFonts w:asciiTheme="majorBidi" w:eastAsiaTheme="minorEastAsia" w:hAnsiTheme="majorBidi" w:cstheme="majorBidi" w:hint="eastAsia"/>
          <w:lang w:val="en-US" w:eastAsia="zh-CN"/>
        </w:rPr>
        <w:t>的频率安排的具体信息以及各区域和</w:t>
      </w:r>
      <w:r w:rsidR="00A1136E">
        <w:rPr>
          <w:rFonts w:asciiTheme="majorBidi" w:eastAsiaTheme="minorEastAsia" w:hAnsiTheme="majorBidi" w:cstheme="majorBidi"/>
          <w:lang w:val="en-US" w:eastAsia="zh-CN"/>
        </w:rPr>
        <w:t>/</w:t>
      </w:r>
      <w:r w:rsidR="00A1136E">
        <w:rPr>
          <w:rFonts w:asciiTheme="majorBidi" w:eastAsiaTheme="minorEastAsia" w:hAnsiTheme="majorBidi" w:cstheme="majorBidi" w:hint="eastAsia"/>
          <w:lang w:val="en-US" w:eastAsia="zh-CN"/>
        </w:rPr>
        <w:t>或主管部门使用这些频率范围的具体详情包括在</w:t>
      </w:r>
      <w:r w:rsidR="00A1136E">
        <w:rPr>
          <w:rFonts w:asciiTheme="majorBidi" w:eastAsiaTheme="minorEastAsia" w:hAnsiTheme="majorBidi" w:cstheme="majorBidi"/>
          <w:lang w:eastAsia="zh-CN"/>
        </w:rPr>
        <w:t>ITU-R M.2015</w:t>
      </w:r>
      <w:r w:rsidR="00A1136E">
        <w:rPr>
          <w:rFonts w:asciiTheme="majorBidi" w:eastAsiaTheme="minorEastAsia" w:hAnsiTheme="majorBidi" w:cstheme="majorBidi" w:hint="eastAsia"/>
          <w:lang w:val="en-US" w:eastAsia="zh-CN"/>
        </w:rPr>
        <w:t>建议书中；</w:t>
      </w:r>
    </w:p>
    <w:p w:rsidR="008D7792" w:rsidRPr="00FA5E8D" w:rsidRDefault="008D7792" w:rsidP="002B418D">
      <w:pPr>
        <w:rPr>
          <w:lang w:val="en-US" w:eastAsia="zh-CN"/>
        </w:rPr>
      </w:pPr>
      <w:r w:rsidRPr="00FA5E8D">
        <w:rPr>
          <w:lang w:val="en-US" w:eastAsia="zh-CN"/>
        </w:rPr>
        <w:t>5</w:t>
      </w:r>
      <w:r>
        <w:rPr>
          <w:lang w:val="en-US" w:eastAsia="zh-CN"/>
        </w:rPr>
        <w:tab/>
      </w:r>
      <w:r w:rsidR="00E7114C">
        <w:rPr>
          <w:rFonts w:asciiTheme="majorBidi" w:eastAsiaTheme="minorEastAsia" w:hAnsiTheme="majorBidi" w:cstheme="majorBidi" w:hint="eastAsia"/>
          <w:lang w:eastAsia="zh-CN"/>
        </w:rPr>
        <w:t>将用于公共保护和赈灾的频段</w:t>
      </w:r>
      <w:r w:rsidR="00E7114C">
        <w:rPr>
          <w:rFonts w:asciiTheme="majorBidi" w:eastAsiaTheme="minorEastAsia" w:hAnsiTheme="majorBidi" w:cstheme="majorBidi"/>
          <w:lang w:eastAsia="zh-CN"/>
        </w:rPr>
        <w:t>/</w:t>
      </w:r>
      <w:r w:rsidR="00E7114C">
        <w:rPr>
          <w:rFonts w:asciiTheme="majorBidi" w:eastAsiaTheme="minorEastAsia" w:hAnsiTheme="majorBidi" w:cstheme="majorBidi" w:hint="eastAsia"/>
          <w:lang w:eastAsia="zh-CN"/>
        </w:rPr>
        <w:t>频率范围纳入本决议，并如最新版</w:t>
      </w:r>
      <w:r w:rsidR="00E7114C">
        <w:rPr>
          <w:rFonts w:asciiTheme="majorBidi" w:eastAsiaTheme="minorEastAsia" w:hAnsiTheme="majorBidi" w:cstheme="majorBidi"/>
          <w:lang w:eastAsia="zh-CN"/>
        </w:rPr>
        <w:t>ITU-R M.2015</w:t>
      </w:r>
      <w:r w:rsidR="00E7114C">
        <w:rPr>
          <w:rFonts w:asciiTheme="majorBidi" w:eastAsiaTheme="minorEastAsia" w:hAnsiTheme="majorBidi" w:cstheme="majorBidi" w:hint="eastAsia"/>
          <w:lang w:eastAsia="zh-CN"/>
        </w:rPr>
        <w:t>建议书所述，将用于</w:t>
      </w:r>
      <w:r w:rsidR="00E7114C">
        <w:rPr>
          <w:rFonts w:asciiTheme="majorBidi" w:eastAsiaTheme="minorEastAsia" w:hAnsiTheme="majorBidi" w:cstheme="majorBidi"/>
          <w:lang w:eastAsia="zh-CN"/>
        </w:rPr>
        <w:t>PPDR</w:t>
      </w:r>
      <w:r w:rsidR="00E7114C">
        <w:rPr>
          <w:rFonts w:asciiTheme="majorBidi" w:eastAsiaTheme="minorEastAsia" w:hAnsiTheme="majorBidi" w:cstheme="majorBidi" w:hint="eastAsia"/>
          <w:lang w:eastAsia="zh-CN"/>
        </w:rPr>
        <w:t>行动的频率安排纳入这些频段，并不排除这些频段</w:t>
      </w:r>
      <w:r w:rsidR="00E7114C">
        <w:rPr>
          <w:rFonts w:asciiTheme="majorBidi" w:eastAsiaTheme="minorEastAsia" w:hAnsiTheme="majorBidi" w:cstheme="majorBidi"/>
          <w:lang w:eastAsia="zh-CN"/>
        </w:rPr>
        <w:t>/</w:t>
      </w:r>
      <w:r w:rsidR="00E7114C">
        <w:rPr>
          <w:rFonts w:asciiTheme="majorBidi" w:eastAsiaTheme="minorEastAsia" w:hAnsiTheme="majorBidi" w:cstheme="majorBidi" w:hint="eastAsia"/>
          <w:lang w:eastAsia="zh-CN"/>
        </w:rPr>
        <w:t>频率中所划分业务中的任何应用使用这些频率，不排除公共保护和赈灾使用其他频率，也非确定公共保护和赈灾相对于其他符合《无线电规则》的频率的优先地位；</w:t>
      </w:r>
    </w:p>
    <w:p w:rsidR="008D7792" w:rsidRPr="00FA5E8D" w:rsidRDefault="001E46B4" w:rsidP="002B418D">
      <w:pPr>
        <w:ind w:firstLineChars="200" w:firstLine="480"/>
        <w:rPr>
          <w:lang w:val="en-US" w:eastAsia="zh-CN"/>
        </w:rPr>
      </w:pPr>
      <w:r>
        <w:rPr>
          <w:rFonts w:hint="eastAsia"/>
          <w:szCs w:val="24"/>
          <w:lang w:eastAsia="zh-CN"/>
        </w:rPr>
        <w:t>在本决议的范围内，“频率范围”是指一段预计无线电设备能够根据国家条件和要求工作的频率范围，但仅限于特定频段。</w:t>
      </w:r>
    </w:p>
    <w:p w:rsidR="008D7792" w:rsidRPr="00FA5E8D" w:rsidRDefault="008D7792" w:rsidP="002B418D">
      <w:pPr>
        <w:rPr>
          <w:lang w:val="en-US" w:eastAsia="zh-CN"/>
        </w:rPr>
      </w:pPr>
      <w:r w:rsidRPr="00FA5E8D">
        <w:rPr>
          <w:lang w:val="en-US" w:eastAsia="zh-CN"/>
        </w:rPr>
        <w:t>6</w:t>
      </w:r>
      <w:r>
        <w:rPr>
          <w:lang w:val="en-US" w:eastAsia="zh-CN"/>
        </w:rPr>
        <w:tab/>
      </w:r>
      <w:r w:rsidR="004C5A4E">
        <w:rPr>
          <w:rFonts w:asciiTheme="majorBidi" w:eastAsiaTheme="minorEastAsia" w:hAnsiTheme="majorBidi" w:cstheme="majorBidi" w:hint="eastAsia"/>
          <w:lang w:eastAsia="zh-CN"/>
        </w:rPr>
        <w:t>在紧急和赈灾的情况下，除了正常提供的频率之外，鼓励主管部门与相关的主管部门达成协议，满足对频率的临时需求；</w:t>
      </w:r>
    </w:p>
    <w:p w:rsidR="008D7792" w:rsidRPr="00FA5E8D" w:rsidRDefault="008D7792" w:rsidP="002B418D">
      <w:pPr>
        <w:rPr>
          <w:lang w:val="en-US" w:eastAsia="zh-CN"/>
        </w:rPr>
      </w:pPr>
      <w:r w:rsidRPr="00FA5E8D">
        <w:rPr>
          <w:lang w:val="en-US" w:eastAsia="zh-CN"/>
        </w:rPr>
        <w:t>7</w:t>
      </w:r>
      <w:r>
        <w:rPr>
          <w:lang w:val="en-US" w:eastAsia="zh-CN"/>
        </w:rPr>
        <w:tab/>
      </w:r>
      <w:r w:rsidR="004C5A4E">
        <w:rPr>
          <w:rFonts w:asciiTheme="majorBidi" w:eastAsiaTheme="minorEastAsia" w:hAnsiTheme="majorBidi" w:cstheme="majorBidi" w:hint="eastAsia"/>
          <w:lang w:eastAsia="zh-CN"/>
        </w:rPr>
        <w:t>主管部门鼓励</w:t>
      </w:r>
      <w:r w:rsidR="004C5A4E">
        <w:rPr>
          <w:rFonts w:asciiTheme="majorBidi" w:eastAsiaTheme="minorEastAsia" w:hAnsiTheme="majorBidi" w:cstheme="majorBidi"/>
          <w:lang w:eastAsia="zh-CN"/>
        </w:rPr>
        <w:t>PPDR</w:t>
      </w:r>
      <w:r w:rsidR="002B418D">
        <w:rPr>
          <w:rFonts w:asciiTheme="majorBidi" w:eastAsiaTheme="minorEastAsia" w:hAnsiTheme="majorBidi" w:cstheme="majorBidi" w:hint="eastAsia"/>
          <w:lang w:eastAsia="zh-CN"/>
        </w:rPr>
        <w:t>部门和组织在最大限度地使用现有的和新的技术以及解决方案来满足互操作性的需求，进一步</w:t>
      </w:r>
      <w:r w:rsidR="004C5A4E">
        <w:rPr>
          <w:rFonts w:asciiTheme="majorBidi" w:eastAsiaTheme="minorEastAsia" w:hAnsiTheme="majorBidi" w:cstheme="majorBidi" w:hint="eastAsia"/>
          <w:lang w:eastAsia="zh-CN"/>
        </w:rPr>
        <w:t>实现公共保护和赈灾的目标；</w:t>
      </w:r>
    </w:p>
    <w:p w:rsidR="008D7792" w:rsidRPr="00FA5E8D" w:rsidRDefault="008D7792" w:rsidP="002B418D">
      <w:pPr>
        <w:rPr>
          <w:lang w:val="en-US" w:eastAsia="zh-CN"/>
        </w:rPr>
      </w:pPr>
      <w:r>
        <w:rPr>
          <w:lang w:val="en-US" w:eastAsia="zh-CN"/>
        </w:rPr>
        <w:t>8</w:t>
      </w:r>
      <w:r>
        <w:rPr>
          <w:lang w:val="en-US" w:eastAsia="zh-CN"/>
        </w:rPr>
        <w:tab/>
      </w:r>
      <w:r w:rsidR="002B418D">
        <w:rPr>
          <w:rFonts w:asciiTheme="majorBidi" w:eastAsiaTheme="minorEastAsia" w:hAnsiTheme="majorBidi" w:cstheme="majorBidi" w:hint="eastAsia"/>
          <w:lang w:eastAsia="zh-CN"/>
        </w:rPr>
        <w:t>鼓励各主管部门在不触犯</w:t>
      </w:r>
      <w:r w:rsidR="004C5A4E">
        <w:rPr>
          <w:rFonts w:asciiTheme="majorBidi" w:eastAsiaTheme="minorEastAsia" w:hAnsiTheme="majorBidi" w:cstheme="majorBidi" w:hint="eastAsia"/>
          <w:lang w:eastAsia="zh-CN"/>
        </w:rPr>
        <w:t>国内法律的情况下，通过相互合作和磋商，为在紧急和赈灾情况下所使用无线电通信设备的跨境流通提供便利；</w:t>
      </w:r>
    </w:p>
    <w:p w:rsidR="008D7792" w:rsidRPr="00FA5E8D" w:rsidRDefault="008D7792" w:rsidP="002B418D">
      <w:pPr>
        <w:rPr>
          <w:lang w:val="en-US" w:eastAsia="zh-CN"/>
        </w:rPr>
      </w:pPr>
      <w:r>
        <w:rPr>
          <w:lang w:val="en-US" w:eastAsia="zh-CN"/>
        </w:rPr>
        <w:t>9</w:t>
      </w:r>
      <w:r>
        <w:rPr>
          <w:lang w:val="en-US" w:eastAsia="zh-CN"/>
        </w:rPr>
        <w:tab/>
      </w:r>
      <w:r w:rsidR="004C5A4E">
        <w:rPr>
          <w:rFonts w:asciiTheme="majorBidi" w:eastAsiaTheme="minorEastAsia" w:hAnsiTheme="majorBidi" w:cstheme="majorBidi" w:hint="eastAsia"/>
          <w:lang w:eastAsia="zh-CN"/>
        </w:rPr>
        <w:t>主管部门鼓励公共保护和赈灾机构和组织在规划频谱使用和实施支持公共保护和赈灾的技术和系统时利用相关的</w:t>
      </w:r>
      <w:r w:rsidR="004C5A4E">
        <w:rPr>
          <w:rFonts w:asciiTheme="majorBidi" w:eastAsiaTheme="minorEastAsia" w:hAnsiTheme="majorBidi" w:cstheme="majorBidi"/>
          <w:lang w:eastAsia="zh-CN"/>
        </w:rPr>
        <w:t>ITU-R</w:t>
      </w:r>
      <w:r w:rsidR="004C5A4E">
        <w:rPr>
          <w:rFonts w:asciiTheme="majorBidi" w:eastAsiaTheme="minorEastAsia" w:hAnsiTheme="majorBidi" w:cstheme="majorBidi" w:hint="eastAsia"/>
          <w:lang w:eastAsia="zh-CN"/>
        </w:rPr>
        <w:t>建议书和报告；</w:t>
      </w:r>
    </w:p>
    <w:p w:rsidR="008D7792" w:rsidRPr="00FA5E8D" w:rsidRDefault="004C5A4E" w:rsidP="002B418D">
      <w:pPr>
        <w:rPr>
          <w:lang w:val="en-US" w:eastAsia="zh-CN"/>
        </w:rPr>
      </w:pPr>
      <w:r>
        <w:rPr>
          <w:lang w:val="en-US" w:eastAsia="zh-CN"/>
        </w:rPr>
        <w:t>10</w:t>
      </w:r>
      <w:r w:rsidR="008D7792">
        <w:rPr>
          <w:lang w:val="en-US" w:eastAsia="zh-CN"/>
        </w:rPr>
        <w:tab/>
      </w:r>
      <w:r>
        <w:rPr>
          <w:rFonts w:asciiTheme="majorBidi" w:eastAsiaTheme="minorEastAsia" w:hAnsiTheme="majorBidi" w:cstheme="majorBidi" w:hint="eastAsia"/>
          <w:lang w:eastAsia="zh-CN"/>
        </w:rPr>
        <w:t>鼓励</w:t>
      </w:r>
      <w:r w:rsidR="002B418D">
        <w:rPr>
          <w:rFonts w:asciiTheme="majorBidi" w:eastAsiaTheme="minorEastAsia" w:hAnsiTheme="majorBidi" w:cstheme="majorBidi" w:hint="eastAsia"/>
          <w:lang w:eastAsia="zh-CN"/>
        </w:rPr>
        <w:t>各</w:t>
      </w:r>
      <w:r>
        <w:rPr>
          <w:rFonts w:asciiTheme="majorBidi" w:eastAsiaTheme="minorEastAsia" w:hAnsiTheme="majorBidi" w:cstheme="majorBidi" w:hint="eastAsia"/>
          <w:lang w:eastAsia="zh-CN"/>
        </w:rPr>
        <w:t>主管部门继续与公共保护和赈灾团体紧密合作，继续完善公共保护和赈灾活动的操作要求；</w:t>
      </w:r>
    </w:p>
    <w:p w:rsidR="008D7792" w:rsidRDefault="008D7792" w:rsidP="002B418D">
      <w:pPr>
        <w:rPr>
          <w:lang w:val="en-US" w:eastAsia="zh-CN"/>
        </w:rPr>
      </w:pPr>
      <w:r w:rsidRPr="00FA5E8D">
        <w:rPr>
          <w:lang w:val="en-US" w:eastAsia="zh-CN"/>
        </w:rPr>
        <w:t>11</w:t>
      </w:r>
      <w:r>
        <w:rPr>
          <w:lang w:val="en-US" w:eastAsia="zh-CN"/>
        </w:rPr>
        <w:tab/>
      </w:r>
      <w:r w:rsidR="002B418D">
        <w:rPr>
          <w:rFonts w:asciiTheme="majorBidi" w:eastAsiaTheme="minorEastAsia" w:hAnsiTheme="majorBidi" w:cstheme="majorBidi" w:hint="eastAsia"/>
          <w:lang w:eastAsia="zh-CN"/>
        </w:rPr>
        <w:t>应</w:t>
      </w:r>
      <w:r w:rsidR="004C5A4E">
        <w:rPr>
          <w:rFonts w:asciiTheme="majorBidi" w:eastAsiaTheme="minorEastAsia" w:hAnsiTheme="majorBidi" w:cstheme="majorBidi" w:hint="eastAsia"/>
          <w:lang w:eastAsia="zh-CN"/>
        </w:rPr>
        <w:t>继续鼓励设备制造商在未来的设备</w:t>
      </w:r>
      <w:r w:rsidR="002B418D">
        <w:rPr>
          <w:rFonts w:asciiTheme="majorBidi" w:eastAsiaTheme="minorEastAsia" w:hAnsiTheme="majorBidi" w:cstheme="majorBidi" w:hint="eastAsia"/>
          <w:lang w:eastAsia="zh-CN"/>
        </w:rPr>
        <w:t>设计</w:t>
      </w:r>
      <w:r w:rsidR="004C5A4E">
        <w:rPr>
          <w:rFonts w:asciiTheme="majorBidi" w:eastAsiaTheme="minorEastAsia" w:hAnsiTheme="majorBidi" w:cstheme="majorBidi" w:hint="eastAsia"/>
          <w:lang w:eastAsia="zh-CN"/>
        </w:rPr>
        <w:t>中考虑到本决议和相关</w:t>
      </w:r>
      <w:r w:rsidR="004C5A4E">
        <w:rPr>
          <w:rFonts w:asciiTheme="majorBidi" w:eastAsiaTheme="minorEastAsia" w:hAnsiTheme="majorBidi" w:cstheme="majorBidi"/>
          <w:lang w:eastAsia="zh-CN"/>
        </w:rPr>
        <w:t xml:space="preserve">ITU-R </w:t>
      </w:r>
      <w:r w:rsidR="004C5A4E">
        <w:rPr>
          <w:rFonts w:asciiTheme="majorBidi" w:eastAsiaTheme="minorEastAsia" w:hAnsiTheme="majorBidi" w:cstheme="majorBidi" w:hint="eastAsia"/>
          <w:lang w:eastAsia="zh-CN"/>
        </w:rPr>
        <w:t>建议书及报告，包括主管部门在最新版</w:t>
      </w:r>
      <w:r w:rsidR="004C5A4E">
        <w:rPr>
          <w:rFonts w:asciiTheme="majorBidi" w:eastAsiaTheme="minorEastAsia" w:hAnsiTheme="majorBidi" w:cstheme="majorBidi"/>
          <w:lang w:eastAsia="zh-CN"/>
        </w:rPr>
        <w:t>ITU-R M.2015</w:t>
      </w:r>
      <w:r w:rsidR="004C5A4E">
        <w:rPr>
          <w:rFonts w:asciiTheme="majorBidi" w:eastAsiaTheme="minorEastAsia" w:hAnsiTheme="majorBidi" w:cstheme="majorBidi" w:hint="eastAsia"/>
          <w:lang w:eastAsia="zh-CN"/>
        </w:rPr>
        <w:t>建议书所述频率安排的不同部分进行操作的需要</w:t>
      </w:r>
      <w:r w:rsidR="00522B43">
        <w:rPr>
          <w:rFonts w:asciiTheme="majorBidi" w:eastAsiaTheme="minorEastAsia" w:hAnsiTheme="majorBidi" w:cstheme="majorBidi" w:hint="eastAsia"/>
          <w:lang w:eastAsia="zh-CN"/>
        </w:rPr>
        <w:t>。</w:t>
      </w:r>
    </w:p>
    <w:p w:rsidR="00CE6955" w:rsidRDefault="00CE6955">
      <w:pPr>
        <w:tabs>
          <w:tab w:val="clear" w:pos="1134"/>
          <w:tab w:val="clear" w:pos="1871"/>
          <w:tab w:val="clear" w:pos="2268"/>
        </w:tabs>
        <w:overflowPunct/>
        <w:autoSpaceDE/>
        <w:autoSpaceDN/>
        <w:adjustRightInd/>
        <w:spacing w:before="0"/>
        <w:textAlignment w:val="auto"/>
        <w:rPr>
          <w:rFonts w:ascii="Times" w:hAnsi="Times"/>
          <w:b/>
          <w:lang w:eastAsia="zh-CN"/>
        </w:rPr>
      </w:pPr>
      <w:r>
        <w:rPr>
          <w:lang w:eastAsia="zh-CN"/>
        </w:rPr>
        <w:br w:type="page"/>
      </w:r>
    </w:p>
    <w:p w:rsidR="008D7792" w:rsidRPr="00FA5E8D" w:rsidRDefault="004C5A4E" w:rsidP="002B418D">
      <w:pPr>
        <w:pStyle w:val="Headingb"/>
        <w:rPr>
          <w:lang w:val="en-US" w:eastAsia="zh-CN"/>
        </w:rPr>
      </w:pPr>
      <w:r>
        <w:rPr>
          <w:rFonts w:hint="eastAsia"/>
          <w:lang w:eastAsia="zh-CN"/>
        </w:rPr>
        <w:lastRenderedPageBreak/>
        <w:t>请国际电联无线电通信部门（</w:t>
      </w:r>
      <w:r>
        <w:rPr>
          <w:lang w:eastAsia="zh-CN"/>
        </w:rPr>
        <w:t>ITU-R</w:t>
      </w:r>
      <w:r>
        <w:rPr>
          <w:rFonts w:hint="eastAsia"/>
          <w:lang w:eastAsia="zh-CN"/>
        </w:rPr>
        <w:t>）</w:t>
      </w:r>
    </w:p>
    <w:p w:rsidR="008D7792" w:rsidRPr="00FA5E8D" w:rsidRDefault="008D7792" w:rsidP="002B418D">
      <w:pPr>
        <w:rPr>
          <w:lang w:val="en-US" w:eastAsia="zh-CN"/>
        </w:rPr>
      </w:pPr>
      <w:r>
        <w:rPr>
          <w:lang w:val="en-US" w:eastAsia="zh-CN"/>
        </w:rPr>
        <w:t>1</w:t>
      </w:r>
      <w:r>
        <w:rPr>
          <w:lang w:val="en-US" w:eastAsia="zh-CN"/>
        </w:rPr>
        <w:tab/>
      </w:r>
      <w:r w:rsidR="004C5A4E">
        <w:rPr>
          <w:rFonts w:asciiTheme="majorBidi" w:eastAsiaTheme="minorEastAsia" w:hAnsiTheme="majorBidi" w:cstheme="majorBidi" w:hint="eastAsia"/>
          <w:lang w:eastAsia="zh-CN"/>
        </w:rPr>
        <w:t>考虑到现有用于国内和国际操作的系统、特别是很多发展中国家的系统的能力、演进和相应的过渡要求，继续就满足公共保护和赈灾无线电应用的先进解决方案进行技术研究并起草必要的技术和操作实施的建议书；</w:t>
      </w:r>
    </w:p>
    <w:p w:rsidR="008D7792" w:rsidRPr="00FA5E8D" w:rsidRDefault="005705BC" w:rsidP="002B418D">
      <w:pPr>
        <w:rPr>
          <w:lang w:val="en-US" w:eastAsia="zh-CN"/>
        </w:rPr>
      </w:pPr>
      <w:r>
        <w:rPr>
          <w:lang w:val="en-US" w:eastAsia="zh-CN"/>
        </w:rPr>
        <w:t>2</w:t>
      </w:r>
      <w:r w:rsidR="008D7792">
        <w:rPr>
          <w:lang w:val="en-US" w:eastAsia="zh-CN"/>
        </w:rPr>
        <w:tab/>
      </w:r>
      <w:r w:rsidR="004C5A4E">
        <w:rPr>
          <w:rFonts w:asciiTheme="majorBidi" w:eastAsiaTheme="minorEastAsia" w:hAnsiTheme="majorBidi" w:cstheme="majorBidi" w:hint="eastAsia"/>
          <w:lang w:eastAsia="zh-CN"/>
        </w:rPr>
        <w:t>对</w:t>
      </w:r>
      <w:r w:rsidR="004C5A4E">
        <w:rPr>
          <w:rFonts w:asciiTheme="majorBidi" w:eastAsiaTheme="minorEastAsia" w:hAnsiTheme="majorBidi" w:cstheme="majorBidi"/>
          <w:lang w:eastAsia="zh-CN"/>
        </w:rPr>
        <w:t>ITU-R M.2015</w:t>
      </w:r>
      <w:r w:rsidR="004C5A4E">
        <w:rPr>
          <w:rFonts w:asciiTheme="majorBidi" w:eastAsiaTheme="minorEastAsia" w:hAnsiTheme="majorBidi" w:cstheme="majorBidi" w:hint="eastAsia"/>
          <w:lang w:eastAsia="zh-CN"/>
        </w:rPr>
        <w:t>建议书和其他相关</w:t>
      </w:r>
      <w:r w:rsidR="004C5A4E">
        <w:rPr>
          <w:rFonts w:asciiTheme="majorBidi" w:eastAsiaTheme="minorEastAsia" w:hAnsiTheme="majorBidi" w:cstheme="majorBidi"/>
          <w:lang w:eastAsia="zh-CN"/>
        </w:rPr>
        <w:t>ITU-R</w:t>
      </w:r>
      <w:r w:rsidR="004C5A4E">
        <w:rPr>
          <w:rFonts w:asciiTheme="majorBidi" w:eastAsiaTheme="minorEastAsia" w:hAnsiTheme="majorBidi" w:cstheme="majorBidi" w:hint="eastAsia"/>
          <w:lang w:eastAsia="zh-CN"/>
        </w:rPr>
        <w:t>建议书及报告进行审议</w:t>
      </w:r>
      <w:r w:rsidR="002B418D">
        <w:rPr>
          <w:rFonts w:asciiTheme="majorBidi" w:eastAsiaTheme="minorEastAsia" w:hAnsiTheme="majorBidi" w:cstheme="majorBidi" w:hint="eastAsia"/>
          <w:lang w:eastAsia="zh-CN"/>
        </w:rPr>
        <w:t>并</w:t>
      </w:r>
      <w:r w:rsidR="004C5A4E">
        <w:rPr>
          <w:rFonts w:asciiTheme="majorBidi" w:eastAsiaTheme="minorEastAsia" w:hAnsiTheme="majorBidi" w:cstheme="majorBidi" w:hint="eastAsia"/>
          <w:lang w:eastAsia="zh-CN"/>
        </w:rPr>
        <w:t>酌情修订。</w:t>
      </w:r>
    </w:p>
    <w:p w:rsidR="008D7792" w:rsidRPr="00C21698" w:rsidRDefault="008D7792" w:rsidP="002B418D">
      <w:pPr>
        <w:pStyle w:val="Headingb"/>
        <w:rPr>
          <w:lang w:val="en-US" w:eastAsia="zh-CN"/>
        </w:rPr>
      </w:pPr>
      <w:r w:rsidRPr="00C21698">
        <w:rPr>
          <w:lang w:val="en-US" w:eastAsia="zh-CN"/>
        </w:rPr>
        <w:t>SADC</w:t>
      </w:r>
      <w:r w:rsidR="002B418D">
        <w:rPr>
          <w:rFonts w:hint="eastAsia"/>
          <w:lang w:val="en-US" w:eastAsia="zh-CN"/>
        </w:rPr>
        <w:t>的</w:t>
      </w:r>
      <w:r w:rsidR="002B418D">
        <w:rPr>
          <w:lang w:val="en-US" w:eastAsia="zh-CN"/>
        </w:rPr>
        <w:t>共同立场</w:t>
      </w:r>
    </w:p>
    <w:p w:rsidR="008D7792" w:rsidRPr="00C21698" w:rsidRDefault="002B418D" w:rsidP="002B418D">
      <w:pPr>
        <w:ind w:firstLineChars="200" w:firstLine="480"/>
        <w:rPr>
          <w:lang w:val="en-US" w:eastAsia="zh-CN"/>
        </w:rPr>
      </w:pPr>
      <w:r>
        <w:rPr>
          <w:lang w:val="en-US" w:eastAsia="zh-CN"/>
        </w:rPr>
        <w:t>SADC</w:t>
      </w:r>
      <w:r>
        <w:rPr>
          <w:rFonts w:hint="eastAsia"/>
          <w:lang w:val="en-US" w:eastAsia="zh-CN"/>
        </w:rPr>
        <w:t>成员国</w:t>
      </w:r>
      <w:r>
        <w:rPr>
          <w:lang w:val="en-US" w:eastAsia="zh-CN"/>
        </w:rPr>
        <w:t>支持方法</w:t>
      </w:r>
      <w:r>
        <w:rPr>
          <w:lang w:val="en-US" w:eastAsia="zh-CN"/>
        </w:rPr>
        <w:t>D</w:t>
      </w:r>
      <w:r>
        <w:rPr>
          <w:rFonts w:hint="eastAsia"/>
          <w:lang w:val="en-US" w:eastAsia="zh-CN"/>
        </w:rPr>
        <w:t>。</w:t>
      </w:r>
      <w:r>
        <w:rPr>
          <w:lang w:val="en-US" w:eastAsia="zh-CN"/>
        </w:rPr>
        <w:t>该方法</w:t>
      </w:r>
      <w:r w:rsidR="00DB0919">
        <w:rPr>
          <w:rFonts w:asciiTheme="majorBidi" w:eastAsiaTheme="minorEastAsia" w:hAnsiTheme="majorBidi" w:cstheme="majorBidi" w:hint="eastAsia"/>
          <w:lang w:eastAsia="zh-CN"/>
        </w:rPr>
        <w:t>考虑到国内和区域的需求以及需与其他相关国家进行的任何磋商和合作，强烈建议</w:t>
      </w:r>
      <w:r>
        <w:rPr>
          <w:rFonts w:asciiTheme="majorBidi" w:eastAsiaTheme="minorEastAsia" w:hAnsiTheme="majorBidi" w:cstheme="majorBidi" w:hint="eastAsia"/>
          <w:lang w:eastAsia="zh-CN"/>
        </w:rPr>
        <w:t>各主管部门</w:t>
      </w:r>
      <w:r w:rsidR="00DB0919">
        <w:rPr>
          <w:rFonts w:asciiTheme="majorBidi" w:eastAsiaTheme="minorEastAsia" w:hAnsiTheme="majorBidi" w:cstheme="majorBidi" w:hint="eastAsia"/>
          <w:lang w:eastAsia="zh-CN"/>
        </w:rPr>
        <w:t>尽</w:t>
      </w:r>
      <w:r>
        <w:rPr>
          <w:rFonts w:asciiTheme="majorBidi" w:eastAsiaTheme="minorEastAsia" w:hAnsiTheme="majorBidi" w:cstheme="majorBidi" w:hint="eastAsia"/>
          <w:lang w:eastAsia="zh-CN"/>
        </w:rPr>
        <w:t>力</w:t>
      </w:r>
      <w:r w:rsidR="00DB0919">
        <w:rPr>
          <w:rFonts w:asciiTheme="majorBidi" w:eastAsiaTheme="minorEastAsia" w:hAnsiTheme="majorBidi" w:cstheme="majorBidi" w:hint="eastAsia"/>
          <w:lang w:eastAsia="zh-CN"/>
        </w:rPr>
        <w:t>在公共保护和赈灾通信中使用区域内统一频段。</w:t>
      </w:r>
    </w:p>
    <w:p w:rsidR="008D7792" w:rsidRDefault="008D7792" w:rsidP="002B418D">
      <w:pPr>
        <w:rPr>
          <w:lang w:val="en-US" w:eastAsia="zh-CN"/>
        </w:rPr>
      </w:pPr>
    </w:p>
    <w:p w:rsidR="00CE6955" w:rsidRPr="00FA5E8D" w:rsidRDefault="00CE6955" w:rsidP="002B418D">
      <w:pPr>
        <w:rPr>
          <w:lang w:val="en-US" w:eastAsia="zh-CN"/>
        </w:rPr>
      </w:pPr>
      <w:bookmarkStart w:id="8" w:name="_GoBack"/>
      <w:bookmarkEnd w:id="8"/>
    </w:p>
    <w:p w:rsidR="008D7792" w:rsidRPr="00FA5E8D" w:rsidRDefault="008D7792" w:rsidP="002B418D">
      <w:pPr>
        <w:jc w:val="center"/>
        <w:rPr>
          <w:lang w:val="en-US" w:eastAsia="zh-CN"/>
        </w:rPr>
      </w:pPr>
      <w:r>
        <w:rPr>
          <w:lang w:val="en-US" w:eastAsia="zh-CN"/>
        </w:rPr>
        <w:t>___________</w:t>
      </w:r>
    </w:p>
    <w:p w:rsidR="00B868FC" w:rsidRDefault="00B868FC" w:rsidP="002B418D">
      <w:pPr>
        <w:tabs>
          <w:tab w:val="clear" w:pos="1134"/>
          <w:tab w:val="clear" w:pos="1871"/>
          <w:tab w:val="clear" w:pos="2268"/>
        </w:tabs>
        <w:overflowPunct/>
        <w:autoSpaceDE/>
        <w:autoSpaceDN/>
        <w:adjustRightInd/>
        <w:spacing w:before="0"/>
        <w:textAlignment w:val="auto"/>
        <w:rPr>
          <w:lang w:eastAsia="zh-CN"/>
        </w:rPr>
      </w:pPr>
    </w:p>
    <w:sectPr w:rsidR="00B868FC">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A4710F" w:rsidRDefault="00A4710F" w:rsidP="00A4710F">
    <w:pPr>
      <w:pStyle w:val="Footer"/>
      <w:rPr>
        <w:lang w:val="en-US"/>
      </w:rPr>
    </w:pPr>
    <w:r>
      <w:fldChar w:fldCharType="begin"/>
    </w:r>
    <w:r w:rsidRPr="00DA0469">
      <w:rPr>
        <w:lang w:val="en-US"/>
      </w:rPr>
      <w:instrText xml:space="preserve"> FILENAME \p \* MERGEFORMAT </w:instrText>
    </w:r>
    <w:r>
      <w:fldChar w:fldCharType="separate"/>
    </w:r>
    <w:r w:rsidR="00547B6B">
      <w:rPr>
        <w:lang w:val="en-US"/>
      </w:rPr>
      <w:t>P:\CHI\ITU-R\CONF-R\CMR15\100\130ADD03C.docx</w:t>
    </w:r>
    <w:r>
      <w:fldChar w:fldCharType="end"/>
    </w:r>
    <w:r>
      <w:t xml:space="preserve"> (389000)</w:t>
    </w:r>
    <w:r w:rsidRPr="00DA0469">
      <w:rPr>
        <w:lang w:val="en-US"/>
      </w:rPr>
      <w:tab/>
    </w:r>
    <w:r>
      <w:fldChar w:fldCharType="begin"/>
    </w:r>
    <w:r>
      <w:instrText xml:space="preserve"> savedate \@ dd.MM.yy </w:instrText>
    </w:r>
    <w:r>
      <w:fldChar w:fldCharType="separate"/>
    </w:r>
    <w:r w:rsidR="00547B6B">
      <w:t>29.10.15</w:t>
    </w:r>
    <w:r>
      <w:fldChar w:fldCharType="end"/>
    </w:r>
    <w:r w:rsidRPr="00DA0469">
      <w:rPr>
        <w:lang w:val="en-US"/>
      </w:rPr>
      <w:tab/>
    </w:r>
    <w:r>
      <w:fldChar w:fldCharType="begin"/>
    </w:r>
    <w:r>
      <w:instrText xml:space="preserve"> printdate \@ dd.MM.yy </w:instrText>
    </w:r>
    <w:r>
      <w:fldChar w:fldCharType="separate"/>
    </w:r>
    <w:r w:rsidR="00547B6B">
      <w:t>29.10.15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547B6B">
      <w:rPr>
        <w:lang w:val="en-US"/>
      </w:rPr>
      <w:t>P:\CHI\ITU-R\CONF-R\CMR15\100\130ADD03C.docx</w:t>
    </w:r>
    <w:r>
      <w:fldChar w:fldCharType="end"/>
    </w:r>
    <w:r w:rsidR="00A4710F">
      <w:t xml:space="preserve"> (389000)</w:t>
    </w:r>
    <w:r w:rsidRPr="00DA0469">
      <w:rPr>
        <w:lang w:val="en-US"/>
      </w:rPr>
      <w:tab/>
    </w:r>
    <w:r>
      <w:fldChar w:fldCharType="begin"/>
    </w:r>
    <w:r>
      <w:instrText xml:space="preserve"> savedate \@ dd.MM.yy </w:instrText>
    </w:r>
    <w:r>
      <w:fldChar w:fldCharType="separate"/>
    </w:r>
    <w:r w:rsidR="00547B6B">
      <w:t>29.10.15</w:t>
    </w:r>
    <w:r>
      <w:fldChar w:fldCharType="end"/>
    </w:r>
    <w:r w:rsidRPr="00DA0469">
      <w:rPr>
        <w:lang w:val="en-US"/>
      </w:rPr>
      <w:tab/>
    </w:r>
    <w:r>
      <w:fldChar w:fldCharType="begin"/>
    </w:r>
    <w:r>
      <w:instrText xml:space="preserve"> printdate \@ dd.MM.yy </w:instrText>
    </w:r>
    <w:r>
      <w:fldChar w:fldCharType="separate"/>
    </w:r>
    <w:r w:rsidR="00547B6B">
      <w:t>29.10.15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47B6B">
      <w:rPr>
        <w:rStyle w:val="PageNumber"/>
        <w:noProof/>
      </w:rPr>
      <w:t>3</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130(Add.3)-</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C09BA"/>
    <w:rsid w:val="000C1F1E"/>
    <w:rsid w:val="000C6AA7"/>
    <w:rsid w:val="000E26F6"/>
    <w:rsid w:val="00123C07"/>
    <w:rsid w:val="00166859"/>
    <w:rsid w:val="001765EC"/>
    <w:rsid w:val="001853E8"/>
    <w:rsid w:val="001B6360"/>
    <w:rsid w:val="001E46B4"/>
    <w:rsid w:val="001F4EA6"/>
    <w:rsid w:val="00214959"/>
    <w:rsid w:val="002260A6"/>
    <w:rsid w:val="002742B3"/>
    <w:rsid w:val="002A4C9C"/>
    <w:rsid w:val="002B418D"/>
    <w:rsid w:val="002B509B"/>
    <w:rsid w:val="002E2A59"/>
    <w:rsid w:val="002E4507"/>
    <w:rsid w:val="00305254"/>
    <w:rsid w:val="003169D2"/>
    <w:rsid w:val="003B4BEF"/>
    <w:rsid w:val="003C6B45"/>
    <w:rsid w:val="003E42EF"/>
    <w:rsid w:val="0041282E"/>
    <w:rsid w:val="00437869"/>
    <w:rsid w:val="00465A34"/>
    <w:rsid w:val="004952E2"/>
    <w:rsid w:val="004C4554"/>
    <w:rsid w:val="004C5A4E"/>
    <w:rsid w:val="004D2DEC"/>
    <w:rsid w:val="004F2BE6"/>
    <w:rsid w:val="00522B43"/>
    <w:rsid w:val="00527E8A"/>
    <w:rsid w:val="00542E85"/>
    <w:rsid w:val="00545C81"/>
    <w:rsid w:val="00547B6B"/>
    <w:rsid w:val="00562479"/>
    <w:rsid w:val="005705BC"/>
    <w:rsid w:val="00576849"/>
    <w:rsid w:val="005A0ACB"/>
    <w:rsid w:val="005E08D2"/>
    <w:rsid w:val="005E7FD8"/>
    <w:rsid w:val="00616412"/>
    <w:rsid w:val="00622560"/>
    <w:rsid w:val="00644391"/>
    <w:rsid w:val="00647712"/>
    <w:rsid w:val="00662E12"/>
    <w:rsid w:val="00691142"/>
    <w:rsid w:val="006B67CE"/>
    <w:rsid w:val="006C38ED"/>
    <w:rsid w:val="006E6182"/>
    <w:rsid w:val="006F3C60"/>
    <w:rsid w:val="00700C19"/>
    <w:rsid w:val="00736415"/>
    <w:rsid w:val="00770D2A"/>
    <w:rsid w:val="007864F6"/>
    <w:rsid w:val="007B7C4B"/>
    <w:rsid w:val="007F0FC5"/>
    <w:rsid w:val="007F1B2D"/>
    <w:rsid w:val="007F5C36"/>
    <w:rsid w:val="008047DB"/>
    <w:rsid w:val="008129A9"/>
    <w:rsid w:val="008221A4"/>
    <w:rsid w:val="00824BD6"/>
    <w:rsid w:val="0083672D"/>
    <w:rsid w:val="00844734"/>
    <w:rsid w:val="00865DFB"/>
    <w:rsid w:val="008A7416"/>
    <w:rsid w:val="008B6852"/>
    <w:rsid w:val="008C26FF"/>
    <w:rsid w:val="008D1D14"/>
    <w:rsid w:val="008D7792"/>
    <w:rsid w:val="008E1785"/>
    <w:rsid w:val="008E7127"/>
    <w:rsid w:val="008E7C8E"/>
    <w:rsid w:val="00912959"/>
    <w:rsid w:val="009657F9"/>
    <w:rsid w:val="0099525B"/>
    <w:rsid w:val="00997B61"/>
    <w:rsid w:val="009C72B7"/>
    <w:rsid w:val="00A0052C"/>
    <w:rsid w:val="00A1136E"/>
    <w:rsid w:val="00A31B14"/>
    <w:rsid w:val="00A323DC"/>
    <w:rsid w:val="00A466E6"/>
    <w:rsid w:val="00A4710F"/>
    <w:rsid w:val="00A815BE"/>
    <w:rsid w:val="00AA5DA1"/>
    <w:rsid w:val="00AE369F"/>
    <w:rsid w:val="00B026CB"/>
    <w:rsid w:val="00B040A9"/>
    <w:rsid w:val="00B711CC"/>
    <w:rsid w:val="00B851D4"/>
    <w:rsid w:val="00B868FC"/>
    <w:rsid w:val="00B95072"/>
    <w:rsid w:val="00BB26CD"/>
    <w:rsid w:val="00BD68DE"/>
    <w:rsid w:val="00C03B9A"/>
    <w:rsid w:val="00C07239"/>
    <w:rsid w:val="00C364B1"/>
    <w:rsid w:val="00C47D87"/>
    <w:rsid w:val="00C627F9"/>
    <w:rsid w:val="00C6584D"/>
    <w:rsid w:val="00C929E0"/>
    <w:rsid w:val="00CB4E5A"/>
    <w:rsid w:val="00CC73D7"/>
    <w:rsid w:val="00CE6955"/>
    <w:rsid w:val="00CF0AD7"/>
    <w:rsid w:val="00CF0BE1"/>
    <w:rsid w:val="00D52A14"/>
    <w:rsid w:val="00D6206A"/>
    <w:rsid w:val="00D74599"/>
    <w:rsid w:val="00DA0469"/>
    <w:rsid w:val="00DB0919"/>
    <w:rsid w:val="00DC413F"/>
    <w:rsid w:val="00DD13B7"/>
    <w:rsid w:val="00DF3B0C"/>
    <w:rsid w:val="00E14984"/>
    <w:rsid w:val="00E22A25"/>
    <w:rsid w:val="00E560F1"/>
    <w:rsid w:val="00E7114C"/>
    <w:rsid w:val="00E92319"/>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800E2E-DD75-4524-9912-3A8C06EE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B026C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rmal"/>
    <w:link w:val="FootnoteTextChar"/>
    <w:qFormat/>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locked/>
    <w:rsid w:val="00A1136E"/>
    <w:rPr>
      <w:rFonts w:ascii="Times New Roman" w:hAnsi="Times New Roman"/>
      <w:sz w:val="22"/>
      <w:lang w:val="en-GB" w:eastAsia="en-US"/>
    </w:rPr>
  </w:style>
  <w:style w:type="character" w:customStyle="1" w:styleId="enumlev1Char">
    <w:name w:val="enumlev1 Char"/>
    <w:basedOn w:val="DefaultParagraphFont"/>
    <w:link w:val="enumlev1"/>
    <w:locked/>
    <w:rsid w:val="00A1136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83711">
      <w:bodyDiv w:val="1"/>
      <w:marLeft w:val="0"/>
      <w:marRight w:val="0"/>
      <w:marTop w:val="0"/>
      <w:marBottom w:val="0"/>
      <w:divBdr>
        <w:top w:val="none" w:sz="0" w:space="0" w:color="auto"/>
        <w:left w:val="none" w:sz="0" w:space="0" w:color="auto"/>
        <w:bottom w:val="none" w:sz="0" w:space="0" w:color="auto"/>
        <w:right w:val="none" w:sz="0" w:space="0" w:color="auto"/>
      </w:divBdr>
    </w:div>
    <w:div w:id="214320150">
      <w:bodyDiv w:val="1"/>
      <w:marLeft w:val="0"/>
      <w:marRight w:val="0"/>
      <w:marTop w:val="0"/>
      <w:marBottom w:val="0"/>
      <w:divBdr>
        <w:top w:val="none" w:sz="0" w:space="0" w:color="auto"/>
        <w:left w:val="none" w:sz="0" w:space="0" w:color="auto"/>
        <w:bottom w:val="none" w:sz="0" w:space="0" w:color="auto"/>
        <w:right w:val="none" w:sz="0" w:space="0" w:color="auto"/>
      </w:divBdr>
    </w:div>
    <w:div w:id="1724016480">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R15-WRC15-C-0130!A3!MSW-C</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3.xml><?xml version="1.0" encoding="utf-8"?>
<ds:datastoreItem xmlns:ds="http://schemas.openxmlformats.org/officeDocument/2006/customXml" ds:itemID="{CA4C87C1-C8F8-4E5A-8671-F9AA3B2F1CE0}">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32a1a8c5-2265-4ebc-b7a0-2071e2c5c9bb"/>
    <ds:schemaRef ds:uri="996b2e75-67fd-4955-a3b0-5ab9934cb50b"/>
    <ds:schemaRef ds:uri="http://purl.org/dc/dcmitype/"/>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1491</Words>
  <Characters>1692</Characters>
  <Application>Microsoft Office Word</Application>
  <DocSecurity>0</DocSecurity>
  <Lines>77</Lines>
  <Paragraphs>35</Paragraphs>
  <ScaleCrop>false</ScaleCrop>
  <HeadingPairs>
    <vt:vector size="2" baseType="variant">
      <vt:variant>
        <vt:lpstr>Title</vt:lpstr>
      </vt:variant>
      <vt:variant>
        <vt:i4>1</vt:i4>
      </vt:variant>
    </vt:vector>
  </HeadingPairs>
  <TitlesOfParts>
    <vt:vector size="1" baseType="lpstr">
      <vt:lpstr>R15-WRC15-C-0130!A3!MSW-C</vt:lpstr>
    </vt:vector>
  </TitlesOfParts>
  <Manager>General Secretariat - Pool</Manager>
  <Company>International Telecommunication Union (ITU)</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R15-WRC15-C-0130!A3!MSW-C</dc:title>
  <dc:subject>World Radiocommunication Conference - 2015</dc:subject>
  <dc:creator>Documents Proposals Manager (DPM)</dc:creator>
  <cp:keywords>DPM_v5.2015.10.230_prod</cp:keywords>
  <dc:description/>
  <cp:lastModifiedBy>Yuan, Tianxiang</cp:lastModifiedBy>
  <cp:revision>7</cp:revision>
  <cp:lastPrinted>2015-10-29T09:24:00Z</cp:lastPrinted>
  <dcterms:created xsi:type="dcterms:W3CDTF">2015-10-26T17:25:00Z</dcterms:created>
  <dcterms:modified xsi:type="dcterms:W3CDTF">2015-10-29T09:24:00Z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