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22B2C" w:rsidTr="001226EC">
        <w:trPr>
          <w:cantSplit/>
        </w:trPr>
        <w:tc>
          <w:tcPr>
            <w:tcW w:w="6771" w:type="dxa"/>
          </w:tcPr>
          <w:p w:rsidR="005651C9" w:rsidRPr="00D22B2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22B2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22B2C">
              <w:rPr>
                <w:rFonts w:ascii="Verdana" w:hAnsi="Verdana"/>
                <w:b/>
                <w:bCs/>
                <w:szCs w:val="22"/>
              </w:rPr>
              <w:t>15)</w:t>
            </w:r>
            <w:r w:rsidRPr="00D22B2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22B2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22B2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22B2C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22B2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22B2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22B2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22B2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22B2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22B2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22B2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22B2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22B2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22B2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22B2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2B2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D22B2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D22B2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22B2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22B2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22B2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22B2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2B2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22B2C" w:rsidTr="001226EC">
        <w:trPr>
          <w:cantSplit/>
        </w:trPr>
        <w:tc>
          <w:tcPr>
            <w:tcW w:w="6771" w:type="dxa"/>
          </w:tcPr>
          <w:p w:rsidR="000F33D8" w:rsidRPr="00D22B2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22B2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22B2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22B2C" w:rsidTr="009546EA">
        <w:trPr>
          <w:cantSplit/>
        </w:trPr>
        <w:tc>
          <w:tcPr>
            <w:tcW w:w="10031" w:type="dxa"/>
            <w:gridSpan w:val="2"/>
          </w:tcPr>
          <w:p w:rsidR="000F33D8" w:rsidRPr="00D22B2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22B2C">
        <w:trPr>
          <w:cantSplit/>
        </w:trPr>
        <w:tc>
          <w:tcPr>
            <w:tcW w:w="10031" w:type="dxa"/>
            <w:gridSpan w:val="2"/>
          </w:tcPr>
          <w:p w:rsidR="000F33D8" w:rsidRPr="00D22B2C" w:rsidRDefault="000F33D8" w:rsidP="00A012C2">
            <w:pPr>
              <w:pStyle w:val="Source"/>
            </w:pPr>
            <w:bookmarkStart w:id="4" w:name="dsource" w:colFirst="0" w:colLast="0"/>
            <w:r w:rsidRPr="00D22B2C">
              <w:t>Ангола (Республика)</w:t>
            </w:r>
            <w:r w:rsidR="002765CD" w:rsidRPr="00D22B2C">
              <w:t xml:space="preserve">, </w:t>
            </w:r>
            <w:r w:rsidRPr="00D22B2C">
              <w:t>Ботсвана (Республика)</w:t>
            </w:r>
            <w:r w:rsidR="002765CD" w:rsidRPr="00D22B2C">
              <w:t xml:space="preserve">, </w:t>
            </w:r>
            <w:r w:rsidRPr="00D22B2C">
              <w:t>Лесото (Королевство)</w:t>
            </w:r>
            <w:r w:rsidR="002765CD" w:rsidRPr="00D22B2C">
              <w:t xml:space="preserve">, </w:t>
            </w:r>
            <w:r w:rsidRPr="00D22B2C">
              <w:t>Мадагаскар (Республика)</w:t>
            </w:r>
            <w:r w:rsidR="002765CD" w:rsidRPr="00D22B2C">
              <w:t xml:space="preserve">, </w:t>
            </w:r>
            <w:r w:rsidRPr="00D22B2C">
              <w:t>Малави</w:t>
            </w:r>
            <w:r w:rsidR="002765CD" w:rsidRPr="00D22B2C">
              <w:t xml:space="preserve">, </w:t>
            </w:r>
            <w:r w:rsidRPr="00D22B2C">
              <w:t>Маврикий (Республика)</w:t>
            </w:r>
            <w:r w:rsidR="002765CD" w:rsidRPr="00D22B2C">
              <w:t xml:space="preserve">, </w:t>
            </w:r>
            <w:r w:rsidRPr="00D22B2C">
              <w:t>Мозамбик (Республика)</w:t>
            </w:r>
            <w:r w:rsidR="002765CD" w:rsidRPr="00D22B2C">
              <w:t xml:space="preserve">, </w:t>
            </w:r>
            <w:r w:rsidRPr="00D22B2C">
              <w:t>Намибия (Республика)</w:t>
            </w:r>
            <w:r w:rsidR="002765CD" w:rsidRPr="00D22B2C">
              <w:t xml:space="preserve">, </w:t>
            </w:r>
            <w:r w:rsidRPr="00D22B2C">
              <w:t>Демократ</w:t>
            </w:r>
            <w:bookmarkStart w:id="5" w:name="_GoBack"/>
            <w:bookmarkEnd w:id="5"/>
            <w:r w:rsidRPr="00D22B2C">
              <w:t>ическая Республика Конго</w:t>
            </w:r>
            <w:r w:rsidR="002765CD" w:rsidRPr="00D22B2C">
              <w:t xml:space="preserve">, </w:t>
            </w:r>
            <w:r w:rsidRPr="00D22B2C">
              <w:t>Сейшельские Острова (Республика)</w:t>
            </w:r>
            <w:r w:rsidR="002765CD" w:rsidRPr="00D22B2C">
              <w:t xml:space="preserve">, </w:t>
            </w:r>
            <w:r w:rsidRPr="00D22B2C">
              <w:t>Южно-Африканская Республика</w:t>
            </w:r>
            <w:r w:rsidR="002765CD" w:rsidRPr="00D22B2C">
              <w:t xml:space="preserve">, </w:t>
            </w:r>
            <w:r w:rsidRPr="00D22B2C">
              <w:t>Свазиленд (Королевство)</w:t>
            </w:r>
            <w:r w:rsidR="002765CD" w:rsidRPr="00D22B2C">
              <w:t xml:space="preserve">, </w:t>
            </w:r>
            <w:r w:rsidRPr="00D22B2C">
              <w:t>Танзания (Объединенная Республика)</w:t>
            </w:r>
            <w:r w:rsidR="002765CD" w:rsidRPr="00D22B2C">
              <w:t xml:space="preserve">, </w:t>
            </w:r>
            <w:r w:rsidRPr="00D22B2C">
              <w:t>Замбия (Республика)</w:t>
            </w:r>
            <w:r w:rsidR="002765CD" w:rsidRPr="00D22B2C">
              <w:t xml:space="preserve">, </w:t>
            </w:r>
            <w:r w:rsidR="00CF63AB" w:rsidRPr="00D22B2C">
              <w:t>Зимбабве</w:t>
            </w:r>
            <w:r w:rsidR="00A012C2" w:rsidRPr="00D22B2C">
              <w:t> </w:t>
            </w:r>
            <w:r w:rsidRPr="00D22B2C">
              <w:t>(Республика)</w:t>
            </w:r>
          </w:p>
        </w:tc>
      </w:tr>
      <w:tr w:rsidR="000F33D8" w:rsidRPr="00D22B2C">
        <w:trPr>
          <w:cantSplit/>
        </w:trPr>
        <w:tc>
          <w:tcPr>
            <w:tcW w:w="10031" w:type="dxa"/>
            <w:gridSpan w:val="2"/>
          </w:tcPr>
          <w:p w:rsidR="000F33D8" w:rsidRPr="00D22B2C" w:rsidRDefault="002765CD" w:rsidP="002765CD">
            <w:pPr>
              <w:pStyle w:val="Title1"/>
            </w:pPr>
            <w:bookmarkStart w:id="6" w:name="dtitle1" w:colFirst="0" w:colLast="0"/>
            <w:bookmarkEnd w:id="4"/>
            <w:r w:rsidRPr="00D22B2C">
              <w:t>предложения для работы конференции</w:t>
            </w:r>
          </w:p>
        </w:tc>
      </w:tr>
      <w:tr w:rsidR="000F33D8" w:rsidRPr="00D22B2C">
        <w:trPr>
          <w:cantSplit/>
        </w:trPr>
        <w:tc>
          <w:tcPr>
            <w:tcW w:w="10031" w:type="dxa"/>
            <w:gridSpan w:val="2"/>
          </w:tcPr>
          <w:p w:rsidR="000F33D8" w:rsidRPr="00D22B2C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22B2C">
        <w:trPr>
          <w:cantSplit/>
        </w:trPr>
        <w:tc>
          <w:tcPr>
            <w:tcW w:w="10031" w:type="dxa"/>
            <w:gridSpan w:val="2"/>
          </w:tcPr>
          <w:p w:rsidR="000F33D8" w:rsidRPr="00D22B2C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22B2C">
              <w:rPr>
                <w:lang w:val="ru-RU"/>
              </w:rPr>
              <w:t>Пункт 1.3 повестки дня</w:t>
            </w:r>
          </w:p>
        </w:tc>
      </w:tr>
    </w:tbl>
    <w:bookmarkEnd w:id="8"/>
    <w:p w:rsidR="00D51940" w:rsidRPr="00D22B2C" w:rsidRDefault="002F25EF" w:rsidP="002765CD">
      <w:pPr>
        <w:pStyle w:val="Normalaftertitle"/>
      </w:pPr>
      <w:r w:rsidRPr="00D22B2C">
        <w:t>1.3</w:t>
      </w:r>
      <w:r w:rsidRPr="00D22B2C">
        <w:tab/>
      </w:r>
      <w:r w:rsidRPr="00D22B2C">
        <w:rPr>
          <w:lang w:eastAsia="nl-NL"/>
        </w:rPr>
        <w:t xml:space="preserve">рассмотреть и пересмотреть Резолюцию </w:t>
      </w:r>
      <w:r w:rsidRPr="00D22B2C">
        <w:rPr>
          <w:b/>
          <w:bCs/>
          <w:lang w:eastAsia="nl-NL"/>
        </w:rPr>
        <w:t>646 (Пересм. ВКР-12)</w:t>
      </w:r>
      <w:r w:rsidRPr="00D22B2C">
        <w:rPr>
          <w:lang w:eastAsia="nl-NL"/>
        </w:rPr>
        <w:t xml:space="preserve"> применительно к общественной безопасности и оказанию помощи при бедствиях (PPDR) с использованием широкополосной связи </w:t>
      </w:r>
      <w:r w:rsidRPr="00D22B2C">
        <w:t>в соответствии с Резолюцией</w:t>
      </w:r>
      <w:r w:rsidRPr="00D22B2C">
        <w:rPr>
          <w:lang w:eastAsia="nl-NL"/>
        </w:rPr>
        <w:t xml:space="preserve"> </w:t>
      </w:r>
      <w:r w:rsidRPr="00D22B2C">
        <w:rPr>
          <w:b/>
          <w:bCs/>
        </w:rPr>
        <w:t xml:space="preserve">648 </w:t>
      </w:r>
      <w:r w:rsidRPr="00D22B2C">
        <w:rPr>
          <w:b/>
          <w:bCs/>
          <w:lang w:eastAsia="nl-NL"/>
        </w:rPr>
        <w:t>(ВКР-12)</w:t>
      </w:r>
      <w:r w:rsidRPr="00D22B2C">
        <w:rPr>
          <w:lang w:eastAsia="nl-NL"/>
        </w:rPr>
        <w:t>;</w:t>
      </w:r>
    </w:p>
    <w:p w:rsidR="001458F0" w:rsidRPr="00D22B2C" w:rsidRDefault="001458F0" w:rsidP="002F25EF">
      <w:pPr>
        <w:pStyle w:val="Headingb"/>
        <w:rPr>
          <w:lang w:val="ru-RU" w:bidi="he-IL"/>
        </w:rPr>
      </w:pPr>
      <w:r w:rsidRPr="00D22B2C">
        <w:rPr>
          <w:lang w:val="ru-RU" w:bidi="he-IL"/>
        </w:rPr>
        <w:t>Базовая информация</w:t>
      </w:r>
    </w:p>
    <w:p w:rsidR="001458F0" w:rsidRPr="00D22B2C" w:rsidRDefault="001458F0" w:rsidP="001458F0">
      <w:pPr>
        <w:rPr>
          <w:lang w:bidi="he-IL"/>
        </w:rPr>
      </w:pPr>
      <w:r w:rsidRPr="00D22B2C">
        <w:rPr>
          <w:lang w:bidi="he-IL"/>
        </w:rPr>
        <w:t xml:space="preserve">В Резолюции 646 (Пересм. ВКР-12) "Обеспечение общественной безопасности и оказание помощи при бедствиях (PPDR)" администрациям </w:t>
      </w:r>
      <w:r w:rsidRPr="00D22B2C">
        <w:t>настоятельно рекомендуется</w:t>
      </w:r>
      <w:r w:rsidRPr="00D22B2C">
        <w:rPr>
          <w:lang w:bidi="he-IL"/>
        </w:rPr>
        <w:t xml:space="preserve">, </w:t>
      </w:r>
      <w:r w:rsidRPr="00D22B2C">
        <w:t>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</w:t>
      </w:r>
      <w:r w:rsidRPr="00D22B2C">
        <w:rPr>
          <w:lang w:bidi="he-IL"/>
        </w:rPr>
        <w:t xml:space="preserve">, </w:t>
      </w:r>
      <w:r w:rsidRPr="00D22B2C">
        <w:t>при осуществлении планирования на национальном уровне, рассматривать ряд определенных полос частот/диапазонов или их части</w:t>
      </w:r>
      <w:r w:rsidRPr="00D22B2C">
        <w:rPr>
          <w:lang w:bidi="he-IL"/>
        </w:rPr>
        <w:t>.</w:t>
      </w:r>
    </w:p>
    <w:p w:rsidR="0003535B" w:rsidRPr="00D22B2C" w:rsidRDefault="001458F0" w:rsidP="001458F0">
      <w:pPr>
        <w:rPr>
          <w:lang w:bidi="he-IL"/>
        </w:rPr>
      </w:pPr>
      <w:r w:rsidRPr="00D22B2C">
        <w:t>Преимущества, связанные с согласованием полос частот на региональном или международном уровне, подробно изложены в Резолюции, а также в ряде исследований и отчетов. Эти преимущества включают, в том числе, экономию за счет масштабов производства и расширение доступности оборудования, возможное усиление конкуренции и совершенствование управления использованием спектра и его планирования. В чрезвычайных ситуациях и при оказании помощи при бедствиях преимущества согласования также включают совершенствование трансграничного перемещения оборудования и большую возможность функциональной совместимости средств связи при получении страной помощи от других стран</w:t>
      </w:r>
      <w:r w:rsidRPr="00D22B2C">
        <w:rPr>
          <w:lang w:bidi="he-IL"/>
        </w:rPr>
        <w:t>.</w:t>
      </w:r>
    </w:p>
    <w:p w:rsidR="001458F0" w:rsidRPr="00D22B2C" w:rsidRDefault="008A1FEE" w:rsidP="001458F0">
      <w:pPr>
        <w:pStyle w:val="Headingb"/>
        <w:rPr>
          <w:lang w:val="ru-RU"/>
        </w:rPr>
      </w:pPr>
      <w:r w:rsidRPr="00D22B2C">
        <w:rPr>
          <w:lang w:val="ru-RU"/>
        </w:rPr>
        <w:t>Решает</w:t>
      </w:r>
    </w:p>
    <w:p w:rsidR="001458F0" w:rsidRPr="00D22B2C" w:rsidRDefault="001458F0" w:rsidP="008A1FEE">
      <w:r w:rsidRPr="00D22B2C">
        <w:t>1</w:t>
      </w:r>
      <w:r w:rsidRPr="00D22B2C">
        <w:tab/>
      </w:r>
      <w:r w:rsidR="008A1FEE" w:rsidRPr="00D22B2C">
        <w:t xml:space="preserve">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частот, принимая во внимание национальные и региональные </w:t>
      </w:r>
      <w:r w:rsidR="008A1FEE" w:rsidRPr="00D22B2C">
        <w:lastRenderedPageBreak/>
        <w:t>требования и любые необходимые консультации и сотрудничество с другими заинтересованными странами;</w:t>
      </w:r>
    </w:p>
    <w:p w:rsidR="008A1FEE" w:rsidRPr="00D22B2C" w:rsidRDefault="008A1FEE" w:rsidP="008A1FEE">
      <w:r w:rsidRPr="00D22B2C">
        <w:t>2</w:t>
      </w:r>
      <w:r w:rsidRPr="00D22B2C">
        <w:tab/>
        <w:t>настоятельно рекомендовать администрациям рассматривать диапазоны перестройки частоты 700/800 МГц, описываемые в последней по времени версии Рекомендации МСЭ-R M.2015, или их части для предоставления решений PPDR с целью достижения со</w:t>
      </w:r>
      <w:r w:rsidR="0092234E" w:rsidRPr="00D22B2C">
        <w:t>гласования на глобальном уровне;</w:t>
      </w:r>
    </w:p>
    <w:p w:rsidR="008A1FEE" w:rsidRPr="00D22B2C" w:rsidRDefault="008A1FEE" w:rsidP="008A1FEE">
      <w:r w:rsidRPr="00D22B2C">
        <w:t>3</w:t>
      </w:r>
      <w:r w:rsidRPr="00D22B2C">
        <w:tab/>
        <w:t>настоятельно рекомендовать администрациям рассмотреть следующие согласованные на региональном уровне диапазоны перестройки частоты или их части для своих планируемых и будущих операций PPDR:</w:t>
      </w:r>
    </w:p>
    <w:p w:rsidR="008A1FEE" w:rsidRPr="00D22B2C" w:rsidRDefault="008A1FEE" w:rsidP="008A1FEE">
      <w:pPr>
        <w:pStyle w:val="enumlev1"/>
      </w:pPr>
      <w:r w:rsidRPr="00D22B2C">
        <w:t>–</w:t>
      </w:r>
      <w:r w:rsidRPr="00D22B2C">
        <w:tab/>
        <w:t>в Районе 1: 380–470 МГц;</w:t>
      </w:r>
    </w:p>
    <w:p w:rsidR="008A1FEE" w:rsidRPr="00D22B2C" w:rsidRDefault="008A1FEE" w:rsidP="008A1FEE">
      <w:pPr>
        <w:pStyle w:val="enumlev1"/>
      </w:pPr>
      <w:r w:rsidRPr="00D22B2C">
        <w:t>–</w:t>
      </w:r>
      <w:r w:rsidRPr="00D22B2C">
        <w:tab/>
        <w:t>в Районе 2: 4940–4990 МГц;</w:t>
      </w:r>
    </w:p>
    <w:p w:rsidR="008A1FEE" w:rsidRPr="00D22B2C" w:rsidRDefault="008A1FEE" w:rsidP="008A1FEE">
      <w:pPr>
        <w:pStyle w:val="enumlev1"/>
      </w:pPr>
      <w:r w:rsidRPr="00D22B2C">
        <w:t>–</w:t>
      </w:r>
      <w:r w:rsidRPr="00D22B2C">
        <w:tab/>
        <w:t>в Районе 3: 406,1–430 МГц, 440–470 МГц, 4940–4990 МГц;</w:t>
      </w:r>
    </w:p>
    <w:p w:rsidR="001458F0" w:rsidRPr="00D22B2C" w:rsidRDefault="008A1FEE" w:rsidP="008A1FEE">
      <w:r w:rsidRPr="00D22B2C">
        <w:t>4</w:t>
      </w:r>
      <w:r w:rsidRPr="00D22B2C">
        <w:tab/>
        <w:t>что конкретная информация по планам размещения частот для общественной безопасности и оказания помощи при бедствиях в этих диапазонах, а также конкретные сведения по Районам и/или администрациям, использующим эти диапазоны, содержатся в Рекомендации МСЭ</w:t>
      </w:r>
      <w:r w:rsidRPr="00D22B2C">
        <w:noBreakHyphen/>
        <w:t>R M.2015;</w:t>
      </w:r>
    </w:p>
    <w:p w:rsidR="008A1FEE" w:rsidRPr="00D22B2C" w:rsidRDefault="008A1FEE" w:rsidP="008A1FEE">
      <w:r w:rsidRPr="00D22B2C">
        <w:t>5</w:t>
      </w:r>
      <w:r w:rsidRPr="00D22B2C">
        <w:tab/>
        <w:t>что включение частотных диапазонов для целей общественной безопасности и оказания помощи при бедствиях в настоящую Резолюцию, а также включение планов размещения частот для операций PPDR в этих частотных диапазонах, о чем говорится в последней по времени версии Рекомендации МСЭ</w:t>
      </w:r>
      <w:r w:rsidRPr="00D22B2C">
        <w:noBreakHyphen/>
        <w:t>R M.2015, не препятствует использованию этих частот любым применением в составе служб, которым распределены данные частоты, а 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радиосвязи;</w:t>
      </w:r>
    </w:p>
    <w:p w:rsidR="008A1FEE" w:rsidRPr="00D22B2C" w:rsidRDefault="008A1FEE" w:rsidP="00D22B2C">
      <w:r w:rsidRPr="00D22B2C">
        <w:rPr>
          <w:lang w:eastAsia="zh-CN"/>
        </w:rPr>
        <w:t>В контексте настоящей Резолюции термин "диапазон перестройки частоты" означает диапазон частот, в пределах которого, как предполагается, может работать радиооборудование, но который, однако, ограничен определенной</w:t>
      </w:r>
      <w:r w:rsidR="00D22B2C" w:rsidRPr="00D22B2C">
        <w:rPr>
          <w:lang w:eastAsia="zh-CN"/>
        </w:rPr>
        <w:t>(ыми)</w:t>
      </w:r>
      <w:r w:rsidRPr="00D22B2C">
        <w:rPr>
          <w:lang w:eastAsia="zh-CN"/>
        </w:rPr>
        <w:t xml:space="preserve"> полосой(ами) частот в соответствии с национальными условиями и требованиями</w:t>
      </w:r>
      <w:r w:rsidR="0092234E" w:rsidRPr="00D22B2C">
        <w:t>;</w:t>
      </w:r>
    </w:p>
    <w:p w:rsidR="008A1FEE" w:rsidRPr="00D22B2C" w:rsidRDefault="008A1FEE" w:rsidP="008A1FEE">
      <w:r w:rsidRPr="00D22B2C">
        <w:t>6</w:t>
      </w:r>
      <w:r w:rsidRPr="00D22B2C">
        <w:tab/>
        <w:t>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тем, которые обычно предоставляются по соглашениям с заинтересованными администрациями;</w:t>
      </w:r>
    </w:p>
    <w:p w:rsidR="008A1FEE" w:rsidRPr="00D22B2C" w:rsidRDefault="008A1FEE" w:rsidP="008A1FEE">
      <w:r w:rsidRPr="00D22B2C">
        <w:t>7</w:t>
      </w:r>
      <w:r w:rsidRPr="00D22B2C">
        <w:tab/>
        <w:t>что администрациям следует настоятельно рекомендовать органам и организациям PPDR в максимально возможной степени использовать как существующие, так и новые технологии, системы и решения для удовлетворения потребностей во взаимодействии и достижения целей общественной безопасности и оказания помощи при бедствиях;</w:t>
      </w:r>
    </w:p>
    <w:p w:rsidR="008A1FEE" w:rsidRPr="00D22B2C" w:rsidRDefault="008A1FEE" w:rsidP="008A1FEE">
      <w:r w:rsidRPr="00D22B2C">
        <w:t>8</w:t>
      </w:r>
      <w:r w:rsidRPr="00D22B2C">
        <w:tab/>
        <w:t>настоятельно рекомендовать администрациям содействовать трансграничному перемещению оборудования радиосвязи, предназначенного для использования в чрезвычайных ситуациях и в случаях оказания помощи при бедствиях, в рамках взаимного сотрудничества и консультаций без нарушения национального законодательства;</w:t>
      </w:r>
    </w:p>
    <w:p w:rsidR="008A1FEE" w:rsidRPr="00D22B2C" w:rsidRDefault="008A1FEE" w:rsidP="008A1FEE">
      <w:r w:rsidRPr="00D22B2C">
        <w:t>9</w:t>
      </w:r>
      <w:r w:rsidRPr="00D22B2C">
        <w:tab/>
        <w:t>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и Отчеты МСЭ-R при планировании использования спектра и внедрении технологий и систем, поддерживающих функции общественной безопасности и оказания помощи при бедствиях;</w:t>
      </w:r>
    </w:p>
    <w:p w:rsidR="008A1FEE" w:rsidRPr="00D22B2C" w:rsidRDefault="008A1FEE" w:rsidP="008A1FEE">
      <w:r w:rsidRPr="00D22B2C">
        <w:t>10</w:t>
      </w:r>
      <w:r w:rsidRPr="00D22B2C">
        <w:tab/>
        <w:t>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 дальнейшему уточнению эксплуатационных требований к деятельности по обеспечению общественной безопасности и оказанию помощи при бедствиях;</w:t>
      </w:r>
    </w:p>
    <w:p w:rsidR="001458F0" w:rsidRPr="00D22B2C" w:rsidRDefault="008A1FEE" w:rsidP="008A1FEE">
      <w:r w:rsidRPr="00D22B2C">
        <w:t>11</w:t>
      </w:r>
      <w:r w:rsidRPr="00D22B2C">
        <w:tab/>
        <w:t xml:space="preserve">что необходимо настоятельно рекомендовать производителям оборудования учитывать настоящую Резолюцию и связанные с ней Рекомендации и Отчеты </w:t>
      </w:r>
      <w:r w:rsidR="00D22B2C" w:rsidRPr="00D22B2C">
        <w:t xml:space="preserve">МСЭ-R </w:t>
      </w:r>
      <w:r w:rsidRPr="00D22B2C">
        <w:t xml:space="preserve">при дальнейшей </w:t>
      </w:r>
      <w:r w:rsidRPr="00D22B2C">
        <w:lastRenderedPageBreak/>
        <w:t>разработке оборудования, включая потребности администраций в работе в различных частях планов размещения частот, описываемых в последней по времени версии Рекомендации МСЭ-R M.2015.</w:t>
      </w:r>
    </w:p>
    <w:p w:rsidR="008A1FEE" w:rsidRPr="00D22B2C" w:rsidRDefault="002F25EF" w:rsidP="002F25EF">
      <w:pPr>
        <w:pStyle w:val="Headingb"/>
        <w:rPr>
          <w:lang w:val="ru-RU"/>
        </w:rPr>
      </w:pPr>
      <w:r w:rsidRPr="00D22B2C">
        <w:rPr>
          <w:lang w:val="ru-RU"/>
        </w:rPr>
        <w:t>Предлагает МСЭ-R</w:t>
      </w:r>
    </w:p>
    <w:p w:rsidR="002F25EF" w:rsidRPr="00D22B2C" w:rsidRDefault="002F25EF" w:rsidP="002F25EF">
      <w:r w:rsidRPr="00D22B2C">
        <w:t>1</w:t>
      </w:r>
      <w:r w:rsidRPr="00D22B2C">
        <w:tab/>
        <w:t>продолжить технические исследования и разработать рекомендации, касающиеся реализации технических и эксплуатационных требований, по мере необходимости, для усовершенствованных решений, отвечающих потребностям применений радиосвязи в области обеспечения общественной безопасности и оказания помощи при бедствиях, принимая во внимание возможности, развитие и результирующие переходные требования существующих систем, в особенности таких систем во многих развивающихся странах, для национальных и международных операций;</w:t>
      </w:r>
    </w:p>
    <w:p w:rsidR="002F25EF" w:rsidRPr="00D22B2C" w:rsidRDefault="002F25EF" w:rsidP="002F25EF">
      <w:r w:rsidRPr="00D22B2C">
        <w:t>2</w:t>
      </w:r>
      <w:r w:rsidRPr="00D22B2C">
        <w:tab/>
        <w:t>рассмотреть и, в зависимости от случая, пересмотреть Рекомендацию МСЭ-R M.2015 и другие соответствующие Рекомендации и Отчеты МСЭ-R.</w:t>
      </w:r>
    </w:p>
    <w:p w:rsidR="002F25EF" w:rsidRPr="00D22B2C" w:rsidRDefault="00DB35C8" w:rsidP="00DB35C8">
      <w:pPr>
        <w:pStyle w:val="Headingb"/>
        <w:rPr>
          <w:lang w:val="ru-RU"/>
        </w:rPr>
      </w:pPr>
      <w:r w:rsidRPr="00D22B2C">
        <w:rPr>
          <w:lang w:val="ru-RU"/>
        </w:rPr>
        <w:t>Общая позиция САДК</w:t>
      </w:r>
    </w:p>
    <w:p w:rsidR="002F25EF" w:rsidRPr="00D22B2C" w:rsidRDefault="00A012C2" w:rsidP="00BD6684">
      <w:r w:rsidRPr="00D22B2C">
        <w:t>Государства − </w:t>
      </w:r>
      <w:r w:rsidR="00DB35C8" w:rsidRPr="00D22B2C">
        <w:t xml:space="preserve">члены САДК поддерживают </w:t>
      </w:r>
      <w:r w:rsidR="00D22B2C" w:rsidRPr="00D22B2C">
        <w:t xml:space="preserve">метод </w:t>
      </w:r>
      <w:r w:rsidR="002F25EF" w:rsidRPr="00D22B2C">
        <w:t xml:space="preserve">D. </w:t>
      </w:r>
      <w:r w:rsidR="00BD6684" w:rsidRPr="00D22B2C">
        <w:t xml:space="preserve">В этом </w:t>
      </w:r>
      <w:r w:rsidR="00D22B2C" w:rsidRPr="00D22B2C">
        <w:t xml:space="preserve">методе </w:t>
      </w:r>
      <w:r w:rsidR="00BD6684" w:rsidRPr="00D22B2C">
        <w:t>предлагается</w:t>
      </w:r>
      <w:r w:rsidR="002F25EF" w:rsidRPr="00D22B2C">
        <w:t xml:space="preserve"> 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частот, принимая во внимание национальные и региональные требования и любые необходимые консультации и сотрудничество с другими заинтересованными странами.</w:t>
      </w:r>
    </w:p>
    <w:p w:rsidR="0092234E" w:rsidRPr="00D22B2C" w:rsidRDefault="0092234E" w:rsidP="0032202E">
      <w:pPr>
        <w:pStyle w:val="Reasons"/>
      </w:pPr>
    </w:p>
    <w:p w:rsidR="0092234E" w:rsidRPr="00D22B2C" w:rsidRDefault="0092234E">
      <w:pPr>
        <w:jc w:val="center"/>
      </w:pPr>
      <w:r w:rsidRPr="00D22B2C">
        <w:t>______________</w:t>
      </w:r>
    </w:p>
    <w:sectPr w:rsidR="0092234E" w:rsidRPr="00D22B2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A0" w:rsidRDefault="006F41A0">
      <w:r>
        <w:separator/>
      </w:r>
    </w:p>
  </w:endnote>
  <w:endnote w:type="continuationSeparator" w:id="0">
    <w:p w:rsidR="006F41A0" w:rsidRDefault="006F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B35C8" w:rsidRDefault="00567276">
    <w:pPr>
      <w:ind w:right="360"/>
      <w:rPr>
        <w:lang w:val="en-US"/>
      </w:rPr>
    </w:pPr>
    <w:r>
      <w:fldChar w:fldCharType="begin"/>
    </w:r>
    <w:r w:rsidRPr="00DB35C8">
      <w:rPr>
        <w:lang w:val="en-US"/>
      </w:rPr>
      <w:instrText xml:space="preserve"> FILENAME \p  \* MERGEFORMAT </w:instrText>
    </w:r>
    <w:r>
      <w:fldChar w:fldCharType="separate"/>
    </w:r>
    <w:r w:rsidR="00730AB2">
      <w:rPr>
        <w:noProof/>
        <w:lang w:val="en-US"/>
      </w:rPr>
      <w:t>P:\RUS\ITU-R\CONF-R\CMR15\100\130ADD03R.docx</w:t>
    </w:r>
    <w:r>
      <w:fldChar w:fldCharType="end"/>
    </w:r>
    <w:r w:rsidRPr="00DB35C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0AB2">
      <w:rPr>
        <w:noProof/>
      </w:rPr>
      <w:t>01.11.15</w:t>
    </w:r>
    <w:r>
      <w:fldChar w:fldCharType="end"/>
    </w:r>
    <w:r w:rsidRPr="00DB35C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0AB2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F0" w:rsidRPr="00DB35C8" w:rsidRDefault="001458F0" w:rsidP="001458F0">
    <w:pPr>
      <w:pStyle w:val="Footer"/>
      <w:rPr>
        <w:lang w:val="en-US"/>
      </w:rPr>
    </w:pPr>
    <w:r>
      <w:fldChar w:fldCharType="begin"/>
    </w:r>
    <w:r w:rsidRPr="00DB35C8">
      <w:rPr>
        <w:lang w:val="en-US"/>
      </w:rPr>
      <w:instrText xml:space="preserve"> FILENAME \p  \* MERGEFORMAT </w:instrText>
    </w:r>
    <w:r>
      <w:fldChar w:fldCharType="separate"/>
    </w:r>
    <w:r w:rsidR="00730AB2">
      <w:rPr>
        <w:lang w:val="en-US"/>
      </w:rPr>
      <w:t>P:\RUS\ITU-R\CONF-R\CMR15\100\130ADD03R.docx</w:t>
    </w:r>
    <w:r>
      <w:fldChar w:fldCharType="end"/>
    </w:r>
    <w:r>
      <w:t xml:space="preserve"> (389000)</w:t>
    </w:r>
    <w:r w:rsidRPr="00DB35C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0AB2">
      <w:t>01.11.15</w:t>
    </w:r>
    <w:r>
      <w:fldChar w:fldCharType="end"/>
    </w:r>
    <w:r w:rsidRPr="00DB35C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0AB2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B35C8" w:rsidRDefault="00567276" w:rsidP="00DE2EBA">
    <w:pPr>
      <w:pStyle w:val="Footer"/>
      <w:rPr>
        <w:lang w:val="en-US"/>
      </w:rPr>
    </w:pPr>
    <w:r>
      <w:fldChar w:fldCharType="begin"/>
    </w:r>
    <w:r w:rsidRPr="00DB35C8">
      <w:rPr>
        <w:lang w:val="en-US"/>
      </w:rPr>
      <w:instrText xml:space="preserve"> FILENAME \p  \* MERGEFORMAT </w:instrText>
    </w:r>
    <w:r>
      <w:fldChar w:fldCharType="separate"/>
    </w:r>
    <w:r w:rsidR="00730AB2">
      <w:rPr>
        <w:lang w:val="en-US"/>
      </w:rPr>
      <w:t>P:\RUS\ITU-R\CONF-R\CMR15\100\130ADD03R.docx</w:t>
    </w:r>
    <w:r>
      <w:fldChar w:fldCharType="end"/>
    </w:r>
    <w:r w:rsidR="001458F0">
      <w:t xml:space="preserve"> (389000)</w:t>
    </w:r>
    <w:r w:rsidRPr="00DB35C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0AB2">
      <w:t>01.11.15</w:t>
    </w:r>
    <w:r>
      <w:fldChar w:fldCharType="end"/>
    </w:r>
    <w:r w:rsidRPr="00DB35C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0AB2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A0" w:rsidRDefault="006F41A0">
      <w:r>
        <w:rPr>
          <w:b/>
        </w:rPr>
        <w:t>_______________</w:t>
      </w:r>
    </w:p>
  </w:footnote>
  <w:footnote w:type="continuationSeparator" w:id="0">
    <w:p w:rsidR="006F41A0" w:rsidRDefault="006F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0AB2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58F0"/>
    <w:rsid w:val="001521AE"/>
    <w:rsid w:val="001A5585"/>
    <w:rsid w:val="001E5FB4"/>
    <w:rsid w:val="00202CA0"/>
    <w:rsid w:val="00230582"/>
    <w:rsid w:val="002449AA"/>
    <w:rsid w:val="00245A1F"/>
    <w:rsid w:val="002765CD"/>
    <w:rsid w:val="00290C74"/>
    <w:rsid w:val="002A2D3F"/>
    <w:rsid w:val="002F25E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41A0"/>
    <w:rsid w:val="00730AB2"/>
    <w:rsid w:val="00763F4F"/>
    <w:rsid w:val="00775720"/>
    <w:rsid w:val="007917AE"/>
    <w:rsid w:val="007A08B5"/>
    <w:rsid w:val="007B4858"/>
    <w:rsid w:val="00811633"/>
    <w:rsid w:val="00812452"/>
    <w:rsid w:val="00815749"/>
    <w:rsid w:val="00872FC8"/>
    <w:rsid w:val="008A1FEE"/>
    <w:rsid w:val="008B43F2"/>
    <w:rsid w:val="008C3257"/>
    <w:rsid w:val="009119CC"/>
    <w:rsid w:val="00917C0A"/>
    <w:rsid w:val="0092234E"/>
    <w:rsid w:val="00941A02"/>
    <w:rsid w:val="009B5CC2"/>
    <w:rsid w:val="009E5FC8"/>
    <w:rsid w:val="00A012C2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CCB"/>
    <w:rsid w:val="00AC66E6"/>
    <w:rsid w:val="00B468A6"/>
    <w:rsid w:val="00B75113"/>
    <w:rsid w:val="00BA13A4"/>
    <w:rsid w:val="00BA1AA1"/>
    <w:rsid w:val="00BA35DC"/>
    <w:rsid w:val="00BC5313"/>
    <w:rsid w:val="00BD6684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63AB"/>
    <w:rsid w:val="00D22B2C"/>
    <w:rsid w:val="00D53715"/>
    <w:rsid w:val="00DB35C8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2CFACF-3304-44A7-8700-85F8DD0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5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41982-7F8E-493B-A4D9-C80468DCE4E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852</Words>
  <Characters>6313</Characters>
  <Application>Microsoft Office Word</Application>
  <DocSecurity>0</DocSecurity>
  <Lines>115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R15-WRC15-C-0130!A3!MSW-R</vt:lpstr>
    </vt:vector>
  </TitlesOfParts>
  <Manager>General Secretariat - Pool</Manager>
  <Company>International Telecommunication Union (ITU)</Company>
  <LinksUpToDate>false</LinksUpToDate>
  <CharactersWithSpaces>7127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R15-WRC15-C-0130!A3!MSW-R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5</cp:revision>
  <cp:lastPrinted>2015-11-01T15:38:00Z</cp:lastPrinted>
  <dcterms:created xsi:type="dcterms:W3CDTF">2015-10-31T19:38:00Z</dcterms:created>
  <dcterms:modified xsi:type="dcterms:W3CDTF">2015-11-01T15:38:00Z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