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896F5B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Addéndum 8 al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Documento 130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16 de octubre de 2015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896F5B" w:rsidRDefault="000A5B9A" w:rsidP="008B3DE2">
            <w:pPr>
              <w:pStyle w:val="Source"/>
            </w:pPr>
            <w:bookmarkStart w:id="2" w:name="dsource" w:colFirst="0" w:colLast="0"/>
            <w:r w:rsidRPr="00896F5B">
              <w:t>Angola (República de)/Botswana (República de)/Lesotho (Reino de)/Madagascar (República de)/Malawi/Mauricio (República de)/Mozambique (República de)/Namibia (República de)/República Democrática del Congo/Seychelles (República de)/Sudafricana (República)/Swazilandia (Reino de)/Tanzanía (República Unida de)/Zambia (República de)/Zimbabwe (República de)</w:t>
            </w:r>
          </w:p>
        </w:tc>
      </w:tr>
      <w:tr w:rsidR="000A5B9A" w:rsidRPr="00896F5B" w:rsidTr="0050008E">
        <w:trPr>
          <w:cantSplit/>
        </w:trPr>
        <w:tc>
          <w:tcPr>
            <w:tcW w:w="10031" w:type="dxa"/>
            <w:gridSpan w:val="2"/>
          </w:tcPr>
          <w:p w:rsidR="000A5B9A" w:rsidRPr="00896F5B" w:rsidRDefault="00896F5B" w:rsidP="008B3DE2">
            <w:pPr>
              <w:pStyle w:val="Title1"/>
            </w:pPr>
            <w:bookmarkStart w:id="3" w:name="dtitle1" w:colFirst="0" w:colLast="0"/>
            <w:bookmarkEnd w:id="2"/>
            <w:r w:rsidRPr="00896F5B">
              <w:t>propuestas para los trabajos de la conferencia</w:t>
            </w:r>
          </w:p>
        </w:tc>
      </w:tr>
      <w:tr w:rsidR="000A5B9A" w:rsidRPr="00896F5B" w:rsidTr="0050008E">
        <w:trPr>
          <w:cantSplit/>
        </w:trPr>
        <w:tc>
          <w:tcPr>
            <w:tcW w:w="10031" w:type="dxa"/>
            <w:gridSpan w:val="2"/>
          </w:tcPr>
          <w:p w:rsidR="000A5B9A" w:rsidRPr="00896F5B" w:rsidRDefault="000A5B9A" w:rsidP="008B3DE2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8B3DE2">
            <w:pPr>
              <w:pStyle w:val="Agendaitem"/>
            </w:pPr>
            <w:bookmarkStart w:id="5" w:name="dtitle3" w:colFirst="0" w:colLast="0"/>
            <w:bookmarkEnd w:id="4"/>
            <w:r w:rsidRPr="00AE658F">
              <w:t>Punto 1.8 del orden del día</w:t>
            </w:r>
          </w:p>
        </w:tc>
      </w:tr>
    </w:tbl>
    <w:bookmarkEnd w:id="5"/>
    <w:p w:rsidR="001C0E40" w:rsidRPr="0025081F" w:rsidRDefault="000150D1" w:rsidP="008B3DE2">
      <w:r w:rsidRPr="00211854">
        <w:t>1.8</w:t>
      </w:r>
      <w:r w:rsidRPr="00211854">
        <w:tab/>
        <w:t xml:space="preserve">examinar las disposiciones relativas a las estaciones terrenas situadas a bordo de barcos (ETB), basándose en los estudios realizados de conformidad con la Resolución </w:t>
      </w:r>
      <w:r w:rsidRPr="00211854">
        <w:rPr>
          <w:b/>
          <w:bCs/>
        </w:rPr>
        <w:t>909 (CMR-12)</w:t>
      </w:r>
      <w:r w:rsidRPr="00211854">
        <w:t>;</w:t>
      </w:r>
    </w:p>
    <w:p w:rsidR="00896F5B" w:rsidRPr="001E5692" w:rsidRDefault="00896F5B" w:rsidP="008B3DE2">
      <w:pPr>
        <w:pStyle w:val="Headingb"/>
      </w:pPr>
      <w:r w:rsidRPr="001E5692">
        <w:t>Introduc</w:t>
      </w:r>
      <w:r w:rsidR="001E5692">
        <w:t>ción</w:t>
      </w:r>
    </w:p>
    <w:p w:rsidR="00896F5B" w:rsidRDefault="00896F5B" w:rsidP="00DF3340">
      <w:r w:rsidRPr="00405901">
        <w:t>E</w:t>
      </w:r>
      <w:r w:rsidR="00A02C81">
        <w:t>n e</w:t>
      </w:r>
      <w:r w:rsidRPr="00405901">
        <w:t>l punto 1.8 del orden del día de la CMR-15</w:t>
      </w:r>
      <w:r w:rsidR="00A02C81">
        <w:t xml:space="preserve"> se</w:t>
      </w:r>
      <w:r w:rsidRPr="00405901">
        <w:t xml:space="preserve"> solicita examinar las disposiciones actuales relativas a las estaciones terrenas a bordo de barcos (ETB) basándose en los estudios realizados de conformidad con la Resolución </w:t>
      </w:r>
      <w:r w:rsidRPr="00896F5B">
        <w:t>909 (CMR-12)</w:t>
      </w:r>
      <w:r w:rsidR="00987581" w:rsidRPr="00405901">
        <w:t xml:space="preserve">. En particular, </w:t>
      </w:r>
      <w:r w:rsidR="00A02C81">
        <w:t xml:space="preserve">se </w:t>
      </w:r>
      <w:r w:rsidR="00987581" w:rsidRPr="00405901">
        <w:t xml:space="preserve">considera la necesidad de examinar y, posiblemente, revisar la Resolución </w:t>
      </w:r>
      <w:r w:rsidR="00987581" w:rsidRPr="00987581">
        <w:t>902 (CMR-03)</w:t>
      </w:r>
      <w:r w:rsidR="00987581" w:rsidRPr="00405901">
        <w:t xml:space="preserve"> para reflejar las actuales tecnologías y características técnicas de las ETB utilizadas o que está previsto utilizar, asegurando al mismo tiempo la continua protección de otros servicios a los que están atribuidas las bandas de frecuencia 5 925-6 425 MHz y 14-14,5 GHz.</w:t>
      </w:r>
    </w:p>
    <w:p w:rsidR="00896F5B" w:rsidRPr="00BF6301" w:rsidRDefault="00A02C81" w:rsidP="00DF3340">
      <w:r>
        <w:rPr>
          <w:rStyle w:val="hps"/>
          <w:lang w:val="es-ES"/>
        </w:rPr>
        <w:t>Las gamas de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frecuencias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5 925-6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425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MHz y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14-14,5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GHz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se utilizan fundamentalmente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para la prestación de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servicios fijos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en los Estados Miembros de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 xml:space="preserve">la </w:t>
      </w:r>
      <w:r>
        <w:t>Comunidad de Desarrollo del África Meridional</w:t>
      </w:r>
      <w:r>
        <w:rPr>
          <w:rStyle w:val="hps"/>
          <w:lang w:val="es-ES"/>
        </w:rPr>
        <w:t xml:space="preserve"> (SADC</w:t>
      </w:r>
      <w:r>
        <w:rPr>
          <w:lang w:val="es-ES"/>
        </w:rPr>
        <w:t>)</w:t>
      </w:r>
      <w:r>
        <w:rPr>
          <w:rStyle w:val="hps"/>
          <w:lang w:val="es-ES"/>
        </w:rPr>
        <w:t>.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En particular,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las gamas de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frecuencias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antes mencionadas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se utilizan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para aplicaciones</w:t>
      </w:r>
      <w:r>
        <w:rPr>
          <w:lang w:val="es-ES"/>
        </w:rPr>
        <w:t xml:space="preserve"> </w:t>
      </w:r>
      <w:r w:rsidR="00F959C1">
        <w:rPr>
          <w:lang w:val="es-ES"/>
        </w:rPr>
        <w:t>dorsa</w:t>
      </w:r>
      <w:r>
        <w:rPr>
          <w:lang w:val="es-ES"/>
        </w:rPr>
        <w:t>les, co</w:t>
      </w:r>
      <w:r>
        <w:rPr>
          <w:rStyle w:val="hps"/>
          <w:lang w:val="es-ES"/>
        </w:rPr>
        <w:t>mo parte de la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infraestructura terrenal</w:t>
      </w:r>
      <w:r>
        <w:rPr>
          <w:lang w:val="es-ES"/>
        </w:rPr>
        <w:t xml:space="preserve">. </w:t>
      </w:r>
      <w:r>
        <w:rPr>
          <w:rStyle w:val="hps"/>
          <w:lang w:val="es-ES"/>
        </w:rPr>
        <w:t>Es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importante que los servicios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terrenales actuales y futuros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estén protegidos</w:t>
      </w:r>
      <w:r>
        <w:rPr>
          <w:lang w:val="es-ES"/>
        </w:rPr>
        <w:t xml:space="preserve">, especialmente, </w:t>
      </w:r>
      <w:r>
        <w:rPr>
          <w:rStyle w:val="hps"/>
          <w:lang w:val="es-ES"/>
        </w:rPr>
        <w:t>en los países costeros</w:t>
      </w:r>
      <w:r>
        <w:rPr>
          <w:lang w:val="es-ES"/>
        </w:rPr>
        <w:t>.</w:t>
      </w:r>
      <w:r w:rsidR="00896F5B" w:rsidRPr="00BF6301">
        <w:t xml:space="preserve"> </w:t>
      </w:r>
    </w:p>
    <w:p w:rsidR="00896F5B" w:rsidRPr="00DF3340" w:rsidRDefault="000768DC" w:rsidP="008B3DE2">
      <w:pPr>
        <w:pStyle w:val="Headingb"/>
      </w:pPr>
      <w:r>
        <w:t>Propuesta</w:t>
      </w:r>
    </w:p>
    <w:p w:rsidR="00BF6301" w:rsidRPr="00BF6301" w:rsidRDefault="00BF6301" w:rsidP="00DF3340">
      <w:r>
        <w:rPr>
          <w:rStyle w:val="hps"/>
          <w:lang w:val="es-ES"/>
        </w:rPr>
        <w:t>Los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Estados Miembros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de la SADC</w:t>
      </w:r>
      <w:r>
        <w:rPr>
          <w:lang w:val="es-ES"/>
        </w:rPr>
        <w:t xml:space="preserve"> son partidarios d</w:t>
      </w:r>
      <w:r>
        <w:rPr>
          <w:rStyle w:val="hps"/>
          <w:lang w:val="es-ES"/>
        </w:rPr>
        <w:t>el Método A del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Informe de la RPC</w:t>
      </w:r>
      <w:r>
        <w:rPr>
          <w:lang w:val="es-ES"/>
        </w:rPr>
        <w:t xml:space="preserve">, </w:t>
      </w:r>
      <w:r>
        <w:t>que consiste en no introducir</w:t>
      </w:r>
      <w:r w:rsidR="00B87A33">
        <w:t xml:space="preserve"> ningún</w:t>
      </w:r>
      <w:r>
        <w:t xml:space="preserve"> </w:t>
      </w:r>
      <w:r w:rsidR="00B87A33">
        <w:t>cambio</w:t>
      </w:r>
      <w:r>
        <w:t xml:space="preserve"> en e</w:t>
      </w:r>
      <w:r>
        <w:rPr>
          <w:rStyle w:val="hps"/>
          <w:lang w:val="es-ES"/>
        </w:rPr>
        <w:t>l Reglamento de Radiocomunicaciones</w:t>
      </w:r>
      <w:r>
        <w:rPr>
          <w:lang w:val="es-ES"/>
        </w:rPr>
        <w:t xml:space="preserve">. </w:t>
      </w:r>
      <w:r>
        <w:rPr>
          <w:rStyle w:val="hps"/>
          <w:lang w:val="es-ES"/>
        </w:rPr>
        <w:t>Por otra parte</w:t>
      </w:r>
      <w:r>
        <w:rPr>
          <w:lang w:val="es-ES"/>
        </w:rPr>
        <w:t xml:space="preserve">, los Estados Miembros </w:t>
      </w:r>
      <w:r>
        <w:rPr>
          <w:rStyle w:val="hps"/>
          <w:lang w:val="es-ES"/>
        </w:rPr>
        <w:t>de la SADC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proponen la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supresión de la Resolución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909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(CMR-</w:t>
      </w:r>
      <w:r>
        <w:rPr>
          <w:lang w:val="es-ES"/>
        </w:rPr>
        <w:t>12).</w:t>
      </w:r>
    </w:p>
    <w:p w:rsidR="00896F5B" w:rsidRPr="00B87A33" w:rsidRDefault="00BF6301" w:rsidP="00DF3340">
      <w:pPr>
        <w:pStyle w:val="Reasons"/>
      </w:pPr>
      <w:r>
        <w:rPr>
          <w:b/>
        </w:rPr>
        <w:t>Motivo</w:t>
      </w:r>
      <w:r w:rsidR="00896F5B" w:rsidRPr="00BF6301">
        <w:rPr>
          <w:b/>
        </w:rPr>
        <w:t>s</w:t>
      </w:r>
      <w:r w:rsidR="00896F5B" w:rsidRPr="00BF6301">
        <w:t>:</w:t>
      </w:r>
      <w:r w:rsidR="00987581" w:rsidRPr="00BF6301">
        <w:tab/>
      </w:r>
      <w:r w:rsidR="008B3DE2" w:rsidRPr="008E70D1">
        <w:t>Las ETB no han causado interferencia perjudicial a lo</w:t>
      </w:r>
      <w:r w:rsidRPr="008E70D1">
        <w:t>s servicios terrenales en las gamas de frecuencias 5 925-6 425 MHz y 14-14,5 GHz</w:t>
      </w:r>
      <w:r w:rsidR="008B3DE2" w:rsidRPr="008E70D1">
        <w:t xml:space="preserve">, </w:t>
      </w:r>
      <w:r w:rsidRPr="008E70D1">
        <w:t xml:space="preserve">debido a las disposiciones reglamentarias y </w:t>
      </w:r>
      <w:r w:rsidR="00F959C1" w:rsidRPr="008E70D1">
        <w:t xml:space="preserve">a las </w:t>
      </w:r>
      <w:r w:rsidR="00B87A33" w:rsidRPr="008E70D1">
        <w:t>restriccion</w:t>
      </w:r>
      <w:r w:rsidRPr="008E70D1">
        <w:t xml:space="preserve">es técnicas </w:t>
      </w:r>
      <w:r w:rsidR="008B3DE2" w:rsidRPr="008E70D1">
        <w:t xml:space="preserve">que se </w:t>
      </w:r>
      <w:r w:rsidRPr="008E70D1">
        <w:t>estableci</w:t>
      </w:r>
      <w:r w:rsidR="008B3DE2" w:rsidRPr="008E70D1">
        <w:t>eron</w:t>
      </w:r>
      <w:r w:rsidRPr="008E70D1">
        <w:t xml:space="preserve"> en la Conferencia Mundial de Radiocomunicaciones de </w:t>
      </w:r>
      <w:r w:rsidRPr="008E70D1">
        <w:lastRenderedPageBreak/>
        <w:t xml:space="preserve">2003 (CMR-03). El hecho de que la tecnología </w:t>
      </w:r>
      <w:r w:rsidR="008B3DE2" w:rsidRPr="008E70D1">
        <w:t>de ETB haya</w:t>
      </w:r>
      <w:r w:rsidRPr="008E70D1">
        <w:t xml:space="preserve"> evolucionado no implica necesariamente que todos los</w:t>
      </w:r>
      <w:r w:rsidR="008B3DE2" w:rsidRPr="008E70D1">
        <w:t xml:space="preserve"> barcos</w:t>
      </w:r>
      <w:r w:rsidRPr="008E70D1">
        <w:t xml:space="preserve"> nuevos est</w:t>
      </w:r>
      <w:r w:rsidR="008B3DE2" w:rsidRPr="008E70D1">
        <w:t>é</w:t>
      </w:r>
      <w:r w:rsidRPr="008E70D1">
        <w:t>n equipados con</w:t>
      </w:r>
      <w:r w:rsidR="008B3DE2" w:rsidRPr="008E70D1">
        <w:t xml:space="preserve"> las últimas novedades</w:t>
      </w:r>
      <w:r w:rsidRPr="008E70D1">
        <w:t xml:space="preserve">. </w:t>
      </w:r>
      <w:r w:rsidR="008B3DE2" w:rsidRPr="008E70D1">
        <w:t>Por</w:t>
      </w:r>
      <w:r w:rsidRPr="008E70D1">
        <w:t xml:space="preserve"> tanto,</w:t>
      </w:r>
      <w:r w:rsidR="008B3DE2" w:rsidRPr="008E70D1">
        <w:t xml:space="preserve"> los Estados Miembros de l</w:t>
      </w:r>
      <w:r w:rsidRPr="008E70D1">
        <w:t xml:space="preserve">a SADC </w:t>
      </w:r>
      <w:r w:rsidR="008B3DE2" w:rsidRPr="008E70D1">
        <w:t>no son partidarios de ningún tipo de r</w:t>
      </w:r>
      <w:r w:rsidRPr="008E70D1">
        <w:t xml:space="preserve">educción del </w:t>
      </w:r>
      <w:r w:rsidR="008B3DE2" w:rsidRPr="008E70D1">
        <w:t>t</w:t>
      </w:r>
      <w:r w:rsidRPr="008E70D1">
        <w:t xml:space="preserve">amaño de la antena </w:t>
      </w:r>
      <w:r w:rsidR="008B3DE2" w:rsidRPr="008E70D1">
        <w:t>o</w:t>
      </w:r>
      <w:r w:rsidRPr="008E70D1">
        <w:t xml:space="preserve"> de la distancia </w:t>
      </w:r>
      <w:r w:rsidR="008B3DE2" w:rsidRPr="008E70D1">
        <w:t>e</w:t>
      </w:r>
      <w:r w:rsidRPr="008E70D1">
        <w:t xml:space="preserve">ntre los </w:t>
      </w:r>
      <w:r w:rsidR="008B3DE2" w:rsidRPr="008E70D1">
        <w:t>barco</w:t>
      </w:r>
      <w:r w:rsidRPr="008E70D1">
        <w:t>s y la costa</w:t>
      </w:r>
      <w:r w:rsidR="008B3DE2" w:rsidRPr="008E70D1">
        <w:t>, puesto que estas medidas</w:t>
      </w:r>
      <w:r w:rsidRPr="008E70D1">
        <w:t xml:space="preserve"> </w:t>
      </w:r>
      <w:r w:rsidR="00B87A33" w:rsidRPr="008E70D1">
        <w:t>repercutirían de forma negativa en</w:t>
      </w:r>
      <w:r w:rsidRPr="008E70D1">
        <w:t xml:space="preserve"> la</w:t>
      </w:r>
      <w:r w:rsidR="008B3DE2" w:rsidRPr="008E70D1">
        <w:t xml:space="preserve"> i</w:t>
      </w:r>
      <w:r w:rsidRPr="008E70D1">
        <w:t xml:space="preserve">mplantación </w:t>
      </w:r>
      <w:r w:rsidR="008B3DE2" w:rsidRPr="008E70D1">
        <w:t>de los s</w:t>
      </w:r>
      <w:r w:rsidRPr="008E70D1">
        <w:t xml:space="preserve">ervicios terrenales. Por otra parte, los Estados </w:t>
      </w:r>
      <w:r w:rsidR="008B3DE2" w:rsidRPr="008E70D1">
        <w:t>M</w:t>
      </w:r>
      <w:r w:rsidRPr="008E70D1">
        <w:t xml:space="preserve">iembros de la SADC </w:t>
      </w:r>
      <w:r w:rsidR="008B3DE2" w:rsidRPr="008E70D1">
        <w:t>consideran</w:t>
      </w:r>
      <w:r w:rsidRPr="008E70D1">
        <w:t xml:space="preserve"> que el seguimiento de los di</w:t>
      </w:r>
      <w:r w:rsidR="008B3DE2" w:rsidRPr="008E70D1">
        <w:t>stintos</w:t>
      </w:r>
      <w:r w:rsidRPr="008E70D1">
        <w:t xml:space="preserve"> valores de p</w:t>
      </w:r>
      <w:r w:rsidR="008B3DE2" w:rsidRPr="008E70D1">
        <w:t>.</w:t>
      </w:r>
      <w:r w:rsidRPr="008E70D1">
        <w:t>i</w:t>
      </w:r>
      <w:r w:rsidR="008B3DE2" w:rsidRPr="008E70D1">
        <w:t>.</w:t>
      </w:r>
      <w:r w:rsidRPr="008E70D1">
        <w:t>r</w:t>
      </w:r>
      <w:r w:rsidR="008B3DE2" w:rsidRPr="008E70D1">
        <w:t>.</w:t>
      </w:r>
      <w:r w:rsidRPr="008E70D1">
        <w:t>e</w:t>
      </w:r>
      <w:r w:rsidR="008B3DE2" w:rsidRPr="008E70D1">
        <w:t>.</w:t>
      </w:r>
      <w:r w:rsidR="00B87A33" w:rsidRPr="008E70D1">
        <w:t xml:space="preserve"> impondr</w:t>
      </w:r>
      <w:r w:rsidR="008B3DE2" w:rsidRPr="008E70D1">
        <w:t>á una carga administrativa innecesaria a</w:t>
      </w:r>
      <w:r w:rsidRPr="008E70D1">
        <w:t xml:space="preserve"> las entidades costeras</w:t>
      </w:r>
      <w:r w:rsidR="00B87A33" w:rsidRPr="008E70D1">
        <w:t xml:space="preserve"> competentes</w:t>
      </w:r>
      <w:r w:rsidRPr="008E70D1">
        <w:t>.</w:t>
      </w:r>
    </w:p>
    <w:p w:rsidR="00896F5B" w:rsidRPr="00DF3340" w:rsidRDefault="00896F5B" w:rsidP="008B3DE2">
      <w:pPr>
        <w:pStyle w:val="Proposal"/>
      </w:pPr>
      <w:r w:rsidRPr="00DF3340">
        <w:t>SUP</w:t>
      </w:r>
      <w:r w:rsidRPr="00DF3340">
        <w:tab/>
        <w:t>AGL/BOT/LSO/MDG/MWI/MAU/MOZ/NMB/COD/SEY/AFS/SWZ/TZA/ZMB/</w:t>
      </w:r>
      <w:r w:rsidRPr="00DF3340">
        <w:tab/>
        <w:t>ZWE/130A8/1</w:t>
      </w:r>
    </w:p>
    <w:p w:rsidR="00E622F1" w:rsidRPr="00D14182" w:rsidRDefault="000150D1" w:rsidP="00E622F1">
      <w:pPr>
        <w:pStyle w:val="ResNo"/>
      </w:pPr>
      <w:bookmarkStart w:id="6" w:name="_Toc328141515"/>
      <w:r w:rsidRPr="00D14182">
        <w:rPr>
          <w:caps w:val="0"/>
        </w:rPr>
        <w:t xml:space="preserve">RESOLUCIÓN </w:t>
      </w:r>
      <w:r w:rsidRPr="00D14182">
        <w:rPr>
          <w:rStyle w:val="href"/>
        </w:rPr>
        <w:t>909</w:t>
      </w:r>
      <w:r>
        <w:rPr>
          <w:caps w:val="0"/>
        </w:rPr>
        <w:t xml:space="preserve"> </w:t>
      </w:r>
      <w:r w:rsidRPr="00D14182">
        <w:rPr>
          <w:caps w:val="0"/>
        </w:rPr>
        <w:t>(CMR-12)</w:t>
      </w:r>
      <w:bookmarkEnd w:id="6"/>
    </w:p>
    <w:p w:rsidR="00E622F1" w:rsidRPr="00D14182" w:rsidRDefault="000150D1" w:rsidP="00E622F1">
      <w:pPr>
        <w:pStyle w:val="Restitle"/>
      </w:pPr>
      <w:bookmarkStart w:id="7" w:name="_Toc328141516"/>
      <w:r w:rsidRPr="00D14182">
        <w:t xml:space="preserve">Disposiciones relativas a estaciones terrenas a bordo de barcos </w:t>
      </w:r>
      <w:r w:rsidRPr="00D14182">
        <w:br/>
        <w:t>que funcionan en las redes del servicio fijo por satélite en las bandas</w:t>
      </w:r>
      <w:r w:rsidRPr="00D14182">
        <w:br/>
        <w:t>de enlace ascendente 5 925-6 425 MHz y 14-14,5 GHz</w:t>
      </w:r>
      <w:bookmarkEnd w:id="7"/>
    </w:p>
    <w:p w:rsidR="00896F5B" w:rsidRDefault="00896F5B" w:rsidP="0032202E">
      <w:pPr>
        <w:pStyle w:val="Reasons"/>
      </w:pPr>
      <w:bookmarkStart w:id="8" w:name="_GoBack"/>
      <w:bookmarkEnd w:id="8"/>
    </w:p>
    <w:p w:rsidR="00896F5B" w:rsidRDefault="00896F5B">
      <w:pPr>
        <w:jc w:val="center"/>
      </w:pPr>
      <w:r>
        <w:t>______________</w:t>
      </w:r>
    </w:p>
    <w:p w:rsidR="00432BAF" w:rsidRDefault="00432BAF">
      <w:pPr>
        <w:pStyle w:val="Reasons"/>
      </w:pPr>
    </w:p>
    <w:sectPr w:rsidR="00432BAF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0768DC" w:rsidRDefault="0077084A">
    <w:pPr>
      <w:ind w:right="360"/>
    </w:pPr>
    <w:r>
      <w:fldChar w:fldCharType="begin"/>
    </w:r>
    <w:r w:rsidRPr="000768DC">
      <w:instrText xml:space="preserve"> FILENAME \p  \* MERGEFORMAT </w:instrText>
    </w:r>
    <w:r>
      <w:fldChar w:fldCharType="separate"/>
    </w:r>
    <w:r w:rsidR="000768DC">
      <w:rPr>
        <w:noProof/>
      </w:rPr>
      <w:t>P:\ESP\ITU-R\CONF-R\CMR15\100\130ADD08S.docx</w:t>
    </w:r>
    <w:r>
      <w:fldChar w:fldCharType="end"/>
    </w:r>
    <w:r w:rsidRPr="000768DC">
      <w:tab/>
    </w:r>
    <w:r>
      <w:fldChar w:fldCharType="begin"/>
    </w:r>
    <w:r>
      <w:instrText xml:space="preserve"> SAVEDATE \@ DD.MM.YY </w:instrText>
    </w:r>
    <w:r>
      <w:fldChar w:fldCharType="separate"/>
    </w:r>
    <w:r w:rsidR="007A503B">
      <w:rPr>
        <w:noProof/>
      </w:rPr>
      <w:t>29.10.15</w:t>
    </w:r>
    <w:r>
      <w:fldChar w:fldCharType="end"/>
    </w:r>
    <w:r w:rsidRPr="000768DC">
      <w:tab/>
    </w:r>
    <w:r>
      <w:fldChar w:fldCharType="begin"/>
    </w:r>
    <w:r>
      <w:instrText xml:space="preserve"> PRINTDATE \@ DD.MM.YY </w:instrText>
    </w:r>
    <w:r>
      <w:fldChar w:fldCharType="separate"/>
    </w:r>
    <w:r w:rsidR="000768DC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76D" w:rsidRDefault="00C5676D" w:rsidP="00C5676D">
    <w:pPr>
      <w:pStyle w:val="Footer"/>
    </w:pPr>
    <w:fldSimple w:instr=" FILENAME \p  \* MERGEFORMAT ">
      <w:r w:rsidR="000768DC">
        <w:t>P:\ESP\ITU-R\CONF-R\CMR15\100\130ADD08S.docx</w:t>
      </w:r>
    </w:fldSimple>
    <w:r>
      <w:t xml:space="preserve"> (389015)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7A503B">
      <w:t>29.10.15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0768DC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76D" w:rsidRDefault="008E70D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0768DC">
      <w:t>P:\ESP\ITU-R\CONF-R\CMR15\100\130ADD08S.docx</w:t>
    </w:r>
    <w:r>
      <w:fldChar w:fldCharType="end"/>
    </w:r>
    <w:r w:rsidR="00C5676D">
      <w:t xml:space="preserve"> (389015)</w:t>
    </w:r>
    <w:r w:rsidR="00C5676D">
      <w:tab/>
    </w:r>
    <w:r w:rsidR="00C5676D">
      <w:fldChar w:fldCharType="begin"/>
    </w:r>
    <w:r w:rsidR="00C5676D">
      <w:instrText xml:space="preserve"> SAVEDATE \@ DD.MM.YY </w:instrText>
    </w:r>
    <w:r w:rsidR="00C5676D">
      <w:fldChar w:fldCharType="separate"/>
    </w:r>
    <w:r w:rsidR="007A503B">
      <w:t>29.10.15</w:t>
    </w:r>
    <w:r w:rsidR="00C5676D">
      <w:fldChar w:fldCharType="end"/>
    </w:r>
    <w:r w:rsidR="00C5676D">
      <w:tab/>
    </w:r>
    <w:r w:rsidR="00C5676D">
      <w:fldChar w:fldCharType="begin"/>
    </w:r>
    <w:r w:rsidR="00C5676D">
      <w:instrText xml:space="preserve"> PRINTDATE \@ DD.MM.YY </w:instrText>
    </w:r>
    <w:r w:rsidR="00C5676D">
      <w:fldChar w:fldCharType="separate"/>
    </w:r>
    <w:r w:rsidR="000768DC">
      <w:t>29.10.15</w:t>
    </w:r>
    <w:r w:rsidR="00C5676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E70D1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130(Add.8)-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150D1"/>
    <w:rsid w:val="0002785D"/>
    <w:rsid w:val="000768DC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1E5692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32BAF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A503B"/>
    <w:rsid w:val="007C0B95"/>
    <w:rsid w:val="007C2317"/>
    <w:rsid w:val="007D330A"/>
    <w:rsid w:val="00866AE6"/>
    <w:rsid w:val="008750A8"/>
    <w:rsid w:val="00896F5B"/>
    <w:rsid w:val="008B3DE2"/>
    <w:rsid w:val="008E5AF2"/>
    <w:rsid w:val="008E70D1"/>
    <w:rsid w:val="0090121B"/>
    <w:rsid w:val="009144C9"/>
    <w:rsid w:val="0094091F"/>
    <w:rsid w:val="00973754"/>
    <w:rsid w:val="00987581"/>
    <w:rsid w:val="009C0BED"/>
    <w:rsid w:val="009E11EC"/>
    <w:rsid w:val="00A02C81"/>
    <w:rsid w:val="00A118DB"/>
    <w:rsid w:val="00A4450C"/>
    <w:rsid w:val="00AA5E6C"/>
    <w:rsid w:val="00AE5677"/>
    <w:rsid w:val="00AE658F"/>
    <w:rsid w:val="00AE7737"/>
    <w:rsid w:val="00AF2F78"/>
    <w:rsid w:val="00B239FA"/>
    <w:rsid w:val="00B52D55"/>
    <w:rsid w:val="00B8288C"/>
    <w:rsid w:val="00B87A33"/>
    <w:rsid w:val="00BE2E80"/>
    <w:rsid w:val="00BE5EDD"/>
    <w:rsid w:val="00BE6A1F"/>
    <w:rsid w:val="00BF6301"/>
    <w:rsid w:val="00C126C4"/>
    <w:rsid w:val="00C5676D"/>
    <w:rsid w:val="00C63EB5"/>
    <w:rsid w:val="00CC01E0"/>
    <w:rsid w:val="00CD5FEE"/>
    <w:rsid w:val="00CE60D2"/>
    <w:rsid w:val="00CE7431"/>
    <w:rsid w:val="00D0288A"/>
    <w:rsid w:val="00D1335A"/>
    <w:rsid w:val="00D72A5D"/>
    <w:rsid w:val="00D93718"/>
    <w:rsid w:val="00DC629B"/>
    <w:rsid w:val="00DF3340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959C1"/>
    <w:rsid w:val="00FE4574"/>
    <w:rsid w:val="00FF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2517EA07-3548-4AD3-9483-CA088267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5F56"/>
  </w:style>
  <w:style w:type="character" w:customStyle="1" w:styleId="hps">
    <w:name w:val="hps"/>
    <w:basedOn w:val="DefaultParagraphFont"/>
    <w:rsid w:val="00A02C81"/>
  </w:style>
  <w:style w:type="paragraph" w:styleId="BalloonText">
    <w:name w:val="Balloon Text"/>
    <w:basedOn w:val="Normal"/>
    <w:link w:val="BalloonTextChar"/>
    <w:semiHidden/>
    <w:unhideWhenUsed/>
    <w:rsid w:val="00B87A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87A33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R15-WRC15-C-0130!A8!MSW-S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0B290C-3E8E-431E-85CB-287B3F603D2F}">
  <ds:schemaRefs>
    <ds:schemaRef ds:uri="http://purl.org/dc/elements/1.1/"/>
    <ds:schemaRef ds:uri="http://schemas.microsoft.com/office/2006/documentManagement/types"/>
    <ds:schemaRef ds:uri="996b2e75-67fd-4955-a3b0-5ab9934cb50b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32a1a8c5-2265-4ebc-b7a0-2071e2c5c9b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518779C-22B9-4AAD-B03D-13B44B40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495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R15-WRC15-C-0130!A8!MSW-S</vt:lpstr>
    </vt:vector>
  </TitlesOfParts>
  <Manager>Secretaría General - Pool</Manager>
  <Company>Unión Internacional de Telecomunicaciones (UIT)</Company>
  <LinksUpToDate>false</LinksUpToDate>
  <CharactersWithSpaces>3438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R15-WRC15-C-0130!A8!MSW-S</dc:title>
  <dc:subject>Conferencia Mundial de Radiocomunicaciones - 2015</dc:subject>
  <dc:creator>Documents Proposals Manager (DPM)</dc:creator>
  <cp:keywords>DPM_v5.2015.10.230_prod</cp:keywords>
  <dc:description/>
  <cp:lastModifiedBy>Spanish</cp:lastModifiedBy>
  <cp:revision>7</cp:revision>
  <cp:lastPrinted>2015-10-29T10:38:00Z</cp:lastPrinted>
  <dcterms:created xsi:type="dcterms:W3CDTF">2015-10-29T10:36:00Z</dcterms:created>
  <dcterms:modified xsi:type="dcterms:W3CDTF">2015-10-30T09:03:00Z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