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BE76CF" w:rsidRDefault="005D46FB" w:rsidP="00CD1101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D1101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CD110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CD110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CD110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CD110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CD11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BE76CF" w:rsidRDefault="00AE658F" w:rsidP="00CD1101">
            <w:pPr>
              <w:spacing w:before="0"/>
              <w:rPr>
                <w:rFonts w:ascii="Verdana" w:hAnsi="Verdana"/>
                <w:sz w:val="20"/>
              </w:rPr>
            </w:pPr>
            <w:r w:rsidRPr="00BE76CF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BE76CF">
              <w:rPr>
                <w:rFonts w:ascii="Verdana" w:eastAsia="SimSun" w:hAnsi="Verdana" w:cs="Traditional Arabic"/>
                <w:b/>
                <w:sz w:val="20"/>
              </w:rPr>
              <w:br/>
              <w:t>Documento 130(Add.9)</w:t>
            </w:r>
            <w:r w:rsidR="0090121B" w:rsidRPr="00BE76CF">
              <w:rPr>
                <w:rFonts w:ascii="Verdana" w:hAnsi="Verdana"/>
                <w:b/>
                <w:sz w:val="20"/>
              </w:rPr>
              <w:t>-</w:t>
            </w:r>
            <w:r w:rsidRPr="00BE76C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BE76CF" w:rsidRDefault="000A5B9A" w:rsidP="00CD110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CD11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CD110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CD11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CD11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E76CF" w:rsidRDefault="000A5B9A" w:rsidP="00CD1101">
            <w:pPr>
              <w:pStyle w:val="Source"/>
            </w:pPr>
            <w:bookmarkStart w:id="2" w:name="dsource" w:colFirst="0" w:colLast="0"/>
            <w:r w:rsidRPr="00BE76CF">
              <w:t>Angola (República de)/Botswana (República de)/Lesotho (Reino de)/</w:t>
            </w:r>
            <w:r w:rsidR="00156333">
              <w:br/>
            </w:r>
            <w:r w:rsidRPr="00BE76CF">
              <w:t>Madagascar (República de)/Malawi/Mauricio (República de)/</w:t>
            </w:r>
            <w:r w:rsidR="00156333">
              <w:br/>
            </w:r>
            <w:r w:rsidRPr="00BE76CF">
              <w:t>Mozambique (República de)/Namibia (República de)/República Democrática del Congo/Seychelles (República de)/Sudafricana (República)/</w:t>
            </w:r>
            <w:r w:rsidR="00F17AC4">
              <w:br/>
            </w:r>
            <w:r w:rsidRPr="00BE76CF">
              <w:t>Swazilandia (Reino de)/Tanzanía (República Unida de)/</w:t>
            </w:r>
            <w:r w:rsidR="00BF36FF">
              <w:br/>
            </w:r>
            <w:r w:rsidRPr="00BE76CF">
              <w:t>Zambia (República de)/Zimbabwe (República de)</w:t>
            </w:r>
          </w:p>
        </w:tc>
      </w:tr>
      <w:tr w:rsidR="000A5B9A" w:rsidRPr="00874A05" w:rsidTr="0050008E">
        <w:trPr>
          <w:cantSplit/>
        </w:trPr>
        <w:tc>
          <w:tcPr>
            <w:tcW w:w="10031" w:type="dxa"/>
            <w:gridSpan w:val="2"/>
          </w:tcPr>
          <w:p w:rsidR="000A5B9A" w:rsidRPr="00CD1101" w:rsidRDefault="000A5B9A" w:rsidP="00CD1101">
            <w:pPr>
              <w:pStyle w:val="Title1"/>
            </w:pPr>
            <w:bookmarkStart w:id="3" w:name="dtitle1" w:colFirst="0" w:colLast="0"/>
            <w:bookmarkEnd w:id="2"/>
            <w:r w:rsidRPr="00CD1101">
              <w:t>Prop</w:t>
            </w:r>
            <w:r w:rsidR="0058455E" w:rsidRPr="00CD1101">
              <w:t>uestas para los trabajos de la conferencia</w:t>
            </w:r>
          </w:p>
        </w:tc>
      </w:tr>
      <w:tr w:rsidR="000A5B9A" w:rsidRPr="00874A05" w:rsidTr="0050008E">
        <w:trPr>
          <w:cantSplit/>
        </w:trPr>
        <w:tc>
          <w:tcPr>
            <w:tcW w:w="10031" w:type="dxa"/>
            <w:gridSpan w:val="2"/>
          </w:tcPr>
          <w:p w:rsidR="000A5B9A" w:rsidRPr="00CD1101" w:rsidRDefault="000A5B9A" w:rsidP="00CD110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CD1101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1.9.1 del orden del día</w:t>
            </w:r>
          </w:p>
        </w:tc>
      </w:tr>
    </w:tbl>
    <w:bookmarkEnd w:id="5"/>
    <w:p w:rsidR="001C0E40" w:rsidRPr="00827E98" w:rsidRDefault="00843401" w:rsidP="00CD1101">
      <w:r w:rsidRPr="00211854">
        <w:t>1.9</w:t>
      </w:r>
      <w:r w:rsidRPr="00211854">
        <w:tab/>
        <w:t>considerar, con</w:t>
      </w:r>
      <w:r w:rsidR="00CD1101">
        <w:t xml:space="preserve"> arreglo a la Resolución </w:t>
      </w:r>
      <w:r w:rsidRPr="00211854">
        <w:rPr>
          <w:b/>
          <w:bCs/>
        </w:rPr>
        <w:t>758 (CMR-12)</w:t>
      </w:r>
      <w:r w:rsidRPr="00211854">
        <w:t>:</w:t>
      </w:r>
    </w:p>
    <w:p w:rsidR="001C0E40" w:rsidRPr="006B2798" w:rsidRDefault="00843401" w:rsidP="00CD1101">
      <w:r w:rsidRPr="00211854">
        <w:t>1.9.1</w:t>
      </w:r>
      <w:r w:rsidRPr="00211854">
        <w:tab/>
        <w:t>posibles nuevas atribuciones al servicio fijo por satélite, en las bandas de frecuencias 7 150</w:t>
      </w:r>
      <w:r w:rsidRPr="00211854">
        <w:noBreakHyphen/>
        <w:t>7 250</w:t>
      </w:r>
      <w:r w:rsidR="00CD1101">
        <w:t> </w:t>
      </w:r>
      <w:r w:rsidRPr="00211854">
        <w:t>MHz</w:t>
      </w:r>
      <w:r w:rsidR="00CD1101">
        <w:t xml:space="preserve"> (espacio-Tierra) y 8 400-8 500 </w:t>
      </w:r>
      <w:r w:rsidRPr="00211854">
        <w:t>MHz (Tierra-espacio), sujetas a las condiciones de compartición pertinentes;</w:t>
      </w:r>
    </w:p>
    <w:p w:rsidR="00BE76CF" w:rsidRDefault="0046098D" w:rsidP="00CD1101">
      <w:pPr>
        <w:rPr>
          <w:rFonts w:asciiTheme="majorBidi" w:eastAsia="TimesNewRoman,Bold" w:hAnsiTheme="majorBidi" w:cstheme="majorBidi"/>
          <w:lang w:eastAsia="zh-CN"/>
        </w:rPr>
      </w:pPr>
      <w:r w:rsidRPr="00CD1101">
        <w:rPr>
          <w:b/>
        </w:rPr>
        <w:t>Resolución</w:t>
      </w:r>
      <w:r w:rsidR="00CD1101">
        <w:rPr>
          <w:b/>
        </w:rPr>
        <w:t> </w:t>
      </w:r>
      <w:r w:rsidR="00BE76CF" w:rsidRPr="00CD1101">
        <w:rPr>
          <w:b/>
        </w:rPr>
        <w:t>758 (</w:t>
      </w:r>
      <w:r w:rsidRPr="00CD1101">
        <w:rPr>
          <w:b/>
        </w:rPr>
        <w:t>CMR</w:t>
      </w:r>
      <w:r w:rsidR="00BE76CF" w:rsidRPr="00CD1101">
        <w:rPr>
          <w:b/>
        </w:rPr>
        <w:t>-12):</w:t>
      </w:r>
      <w:r w:rsidR="00BE76CF" w:rsidRPr="00BE76CF">
        <w:t xml:space="preserve"> </w:t>
      </w:r>
      <w:r w:rsidR="00BE76CF" w:rsidRPr="00F67390">
        <w:rPr>
          <w:rFonts w:asciiTheme="majorBidi" w:eastAsia="TimesNewRoman,Bold" w:hAnsiTheme="majorBidi" w:cstheme="majorBidi"/>
          <w:lang w:eastAsia="zh-CN"/>
        </w:rPr>
        <w:t>Atribución al servicio fijo por satélite y al servicio móvil marít</w:t>
      </w:r>
      <w:r w:rsidR="00CD1101">
        <w:rPr>
          <w:rFonts w:asciiTheme="majorBidi" w:eastAsia="TimesNewRoman,Bold" w:hAnsiTheme="majorBidi" w:cstheme="majorBidi"/>
          <w:lang w:eastAsia="zh-CN"/>
        </w:rPr>
        <w:t>imo por satélite en la gama 7/8 </w:t>
      </w:r>
      <w:r w:rsidR="00BE76CF" w:rsidRPr="00F67390">
        <w:rPr>
          <w:rFonts w:asciiTheme="majorBidi" w:eastAsia="TimesNewRoman,Bold" w:hAnsiTheme="majorBidi" w:cstheme="majorBidi"/>
          <w:lang w:eastAsia="zh-CN"/>
        </w:rPr>
        <w:t>GHz</w:t>
      </w:r>
    </w:p>
    <w:p w:rsidR="001B2682" w:rsidRDefault="001B2682" w:rsidP="00CD1101">
      <w:pPr>
        <w:rPr>
          <w:rFonts w:asciiTheme="majorBidi" w:eastAsia="TimesNewRoman,Bold" w:hAnsiTheme="majorBidi" w:cstheme="majorBidi"/>
          <w:lang w:eastAsia="zh-CN"/>
        </w:rPr>
      </w:pPr>
    </w:p>
    <w:p w:rsidR="00BE76CF" w:rsidRDefault="0046098D" w:rsidP="00CD1101">
      <w:pPr>
        <w:pStyle w:val="Headingb"/>
      </w:pPr>
      <w:r>
        <w:t>Introducción</w:t>
      </w:r>
    </w:p>
    <w:p w:rsidR="00BE76CF" w:rsidRDefault="00BE76CF" w:rsidP="00CD1101">
      <w:r w:rsidRPr="002F6FDE">
        <w:t>Actualmente, hay una atribución a escala</w:t>
      </w:r>
      <w:r w:rsidR="00CD1101">
        <w:t xml:space="preserve"> mundial al SFS en las bandas 7 250-7 750 </w:t>
      </w:r>
      <w:r w:rsidRPr="002F6FDE">
        <w:t>MHz (espacio</w:t>
      </w:r>
      <w:r w:rsidRPr="002F6FDE">
        <w:noBreakHyphen/>
        <w:t xml:space="preserve">Tierra) </w:t>
      </w:r>
      <w:r w:rsidR="00CD1101">
        <w:t>y 7 900-8 400 MHz (Tierra-espacio) y el punto </w:t>
      </w:r>
      <w:r w:rsidRPr="00BE76CF">
        <w:t>1.9.1 del orden del día de la CMR</w:t>
      </w:r>
      <w:r w:rsidRPr="00BE76CF">
        <w:noBreakHyphen/>
        <w:t>15 aborda la posibilidad de ampliar las actuales bandas para el SFS d</w:t>
      </w:r>
      <w:r w:rsidR="00CD1101">
        <w:t>e conformidad con la Resolución 758 (CMR-12) a las bandas 7 150-7 </w:t>
      </w:r>
      <w:r w:rsidRPr="00BE76CF">
        <w:t>250</w:t>
      </w:r>
      <w:r w:rsidR="00CD1101">
        <w:t> MHz (espacio-Tierra) y 8 400-8 500 </w:t>
      </w:r>
      <w:r w:rsidRPr="00BE76CF">
        <w:t>MHz (Tierra</w:t>
      </w:r>
      <w:r w:rsidRPr="00BE76CF">
        <w:noBreakHyphen/>
        <w:t>espacio).</w:t>
      </w:r>
    </w:p>
    <w:p w:rsidR="00BE76CF" w:rsidRPr="002F6FDE" w:rsidRDefault="00CD1101" w:rsidP="00CD1101">
      <w:r>
        <w:t>Ahora, la banda 7 150-7 235 </w:t>
      </w:r>
      <w:r w:rsidR="00BE76CF" w:rsidRPr="00CD1101">
        <w:t xml:space="preserve">MHz está atribuida a título primario al servicio fijo (SF), al servicio móvil (SM), al </w:t>
      </w:r>
      <w:r w:rsidR="0046098D" w:rsidRPr="00CD1101">
        <w:t>servicio de operaciones espaciales (SOE)</w:t>
      </w:r>
      <w:r w:rsidR="00BE76CF" w:rsidRPr="00CD1101">
        <w:t xml:space="preserve"> (Tierra-espacio) y al </w:t>
      </w:r>
      <w:r w:rsidR="0046098D" w:rsidRPr="00CD1101">
        <w:t>servicio de investigación espacial (SIE)</w:t>
      </w:r>
      <w:r w:rsidR="00BE76CF" w:rsidRPr="00CD1101">
        <w:t xml:space="preserve"> (Tierra-espacio), mientras que la banda 7 235</w:t>
      </w:r>
      <w:r w:rsidR="00BE76CF" w:rsidRPr="00CD1101">
        <w:noBreakHyphen/>
        <w:t>7 250 MHz está atribuida a título primario al SF y al SM únicamente. De forma similar, la banda 8 400</w:t>
      </w:r>
      <w:r w:rsidR="00BE76CF" w:rsidRPr="00CD1101">
        <w:noBreakHyphen/>
        <w:t>8 500 MHz está atribuida a título primario al SF, al SM (salvo aeronáutico) y al SIE (espacio-Tierra).</w:t>
      </w:r>
    </w:p>
    <w:p w:rsidR="00BE76CF" w:rsidRPr="002F6FDE" w:rsidRDefault="00CD1101" w:rsidP="00CD1101">
      <w:r>
        <w:t>Adicionalmente, el punto </w:t>
      </w:r>
      <w:r w:rsidR="00BE76CF" w:rsidRPr="002F6FDE">
        <w:t>1.11 del orden del día de la CMR-15 invita al UIT-R a llevar a cabo estudios de compatibilidad entre el servicio de exploración de la Tierra por satélite (SETS) (Tierra</w:t>
      </w:r>
      <w:r w:rsidR="00BE76CF" w:rsidRPr="002F6FDE">
        <w:noBreakHyphen/>
        <w:t>espacio) y los serv</w:t>
      </w:r>
      <w:r>
        <w:t>icios existentes en la gama 7-8 </w:t>
      </w:r>
      <w:r w:rsidR="00BE76CF" w:rsidRPr="002F6FDE">
        <w:t xml:space="preserve">GHz, dando prioridad a la </w:t>
      </w:r>
      <w:r w:rsidR="00BE76CF" w:rsidRPr="002F6FDE">
        <w:lastRenderedPageBreak/>
        <w:t>banda 7 145</w:t>
      </w:r>
      <w:r w:rsidR="00BE76CF" w:rsidRPr="002F6FDE">
        <w:noBreakHyphen/>
        <w:t>7 235</w:t>
      </w:r>
      <w:r>
        <w:t> </w:t>
      </w:r>
      <w:r w:rsidR="00BE76CF" w:rsidRPr="002F6FDE">
        <w:t xml:space="preserve">MHz con objeto de obtener una atribución </w:t>
      </w:r>
      <w:r w:rsidR="0046098D">
        <w:t>a título primario</w:t>
      </w:r>
      <w:r w:rsidR="00BE76CF" w:rsidRPr="002F6FDE">
        <w:t xml:space="preserve"> al SETS (Tierra-espacio) a fin de complementar las operaciones de telemedida del SETS (espacio-</w:t>
      </w:r>
      <w:r>
        <w:t>Tierra) en la banda 8 025</w:t>
      </w:r>
      <w:r>
        <w:noBreakHyphen/>
        <w:t>8 400 </w:t>
      </w:r>
      <w:r w:rsidR="00BE76CF" w:rsidRPr="002F6FDE">
        <w:t>MHz.</w:t>
      </w:r>
    </w:p>
    <w:p w:rsidR="00BE76CF" w:rsidRPr="00CD1101" w:rsidRDefault="00956EE1" w:rsidP="00CD1101">
      <w:pPr>
        <w:pStyle w:val="Headingb"/>
      </w:pPr>
      <w:r w:rsidRPr="00CD1101">
        <w:t xml:space="preserve">Resumen de las Propuestas de la </w:t>
      </w:r>
      <w:r w:rsidR="00BE76CF" w:rsidRPr="00CD1101">
        <w:t xml:space="preserve">SADC </w:t>
      </w:r>
    </w:p>
    <w:p w:rsidR="00BE76CF" w:rsidRPr="00CD1101" w:rsidRDefault="00956EE1" w:rsidP="00CD1101">
      <w:pPr>
        <w:rPr>
          <w:szCs w:val="24"/>
        </w:rPr>
      </w:pPr>
      <w:r w:rsidRPr="00CD1101">
        <w:rPr>
          <w:szCs w:val="24"/>
        </w:rPr>
        <w:t xml:space="preserve">Los Estados miembros de la Comunidad de Desarrollo del África Meridional (SADC) antes mencionados no apoyan las nuevas atribuciones al SFS en la banda </w:t>
      </w:r>
      <w:r w:rsidR="00BE76CF" w:rsidRPr="00CD1101">
        <w:rPr>
          <w:szCs w:val="24"/>
        </w:rPr>
        <w:t>7</w:t>
      </w:r>
      <w:r w:rsidR="00CD1101">
        <w:rPr>
          <w:szCs w:val="24"/>
        </w:rPr>
        <w:t> </w:t>
      </w:r>
      <w:r w:rsidR="00BE76CF" w:rsidRPr="00CD1101">
        <w:rPr>
          <w:szCs w:val="24"/>
        </w:rPr>
        <w:t>150-7</w:t>
      </w:r>
      <w:r w:rsidR="00CD1101">
        <w:rPr>
          <w:szCs w:val="24"/>
        </w:rPr>
        <w:t> </w:t>
      </w:r>
      <w:r w:rsidR="00BE76CF" w:rsidRPr="00CD1101">
        <w:rPr>
          <w:szCs w:val="24"/>
        </w:rPr>
        <w:t>250</w:t>
      </w:r>
      <w:r w:rsidR="00CD1101">
        <w:rPr>
          <w:szCs w:val="24"/>
        </w:rPr>
        <w:t> </w:t>
      </w:r>
      <w:r w:rsidR="00BE76CF" w:rsidRPr="00CD1101">
        <w:rPr>
          <w:szCs w:val="24"/>
        </w:rPr>
        <w:t>MHz</w:t>
      </w:r>
      <w:r w:rsidRPr="00CD1101">
        <w:rPr>
          <w:szCs w:val="24"/>
        </w:rPr>
        <w:t xml:space="preserve"> </w:t>
      </w:r>
      <w:r w:rsidR="00BE76CF" w:rsidRPr="00CD1101">
        <w:rPr>
          <w:szCs w:val="24"/>
        </w:rPr>
        <w:t>(</w:t>
      </w:r>
      <w:r w:rsidRPr="00CD1101">
        <w:rPr>
          <w:szCs w:val="24"/>
        </w:rPr>
        <w:t>espaci</w:t>
      </w:r>
      <w:r w:rsidR="00BE76CF" w:rsidRPr="00CD1101">
        <w:rPr>
          <w:szCs w:val="24"/>
        </w:rPr>
        <w:t>o-</w:t>
      </w:r>
      <w:r w:rsidRPr="00CD1101">
        <w:rPr>
          <w:szCs w:val="24"/>
        </w:rPr>
        <w:t>Tierra</w:t>
      </w:r>
      <w:r w:rsidR="00BE76CF" w:rsidRPr="00CD1101">
        <w:rPr>
          <w:szCs w:val="24"/>
        </w:rPr>
        <w:t xml:space="preserve">) </w:t>
      </w:r>
      <w:r w:rsidRPr="00CD1101">
        <w:rPr>
          <w:szCs w:val="24"/>
        </w:rPr>
        <w:t xml:space="preserve">ni en la banda </w:t>
      </w:r>
      <w:r w:rsidR="00CD1101">
        <w:rPr>
          <w:szCs w:val="24"/>
        </w:rPr>
        <w:t>8 </w:t>
      </w:r>
      <w:r w:rsidR="00BE76CF" w:rsidRPr="00CD1101">
        <w:rPr>
          <w:szCs w:val="24"/>
        </w:rPr>
        <w:t>400-8</w:t>
      </w:r>
      <w:r w:rsidR="00CD1101">
        <w:rPr>
          <w:szCs w:val="24"/>
        </w:rPr>
        <w:t> 500 </w:t>
      </w:r>
      <w:r w:rsidR="00BE76CF" w:rsidRPr="00CD1101">
        <w:rPr>
          <w:szCs w:val="24"/>
        </w:rPr>
        <w:t>MHz</w:t>
      </w:r>
      <w:r w:rsidRPr="00CD1101">
        <w:rPr>
          <w:szCs w:val="24"/>
        </w:rPr>
        <w:t xml:space="preserve"> </w:t>
      </w:r>
      <w:r w:rsidR="00BE76CF" w:rsidRPr="00CD1101">
        <w:rPr>
          <w:szCs w:val="24"/>
        </w:rPr>
        <w:t>(</w:t>
      </w:r>
      <w:r w:rsidRPr="00CD1101">
        <w:rPr>
          <w:szCs w:val="24"/>
        </w:rPr>
        <w:t>Tierra</w:t>
      </w:r>
      <w:r w:rsidR="00BE76CF" w:rsidRPr="00CD1101">
        <w:rPr>
          <w:szCs w:val="24"/>
        </w:rPr>
        <w:t>-</w:t>
      </w:r>
      <w:r w:rsidRPr="00CD1101">
        <w:rPr>
          <w:szCs w:val="24"/>
        </w:rPr>
        <w:t>e</w:t>
      </w:r>
      <w:r w:rsidR="00BE76CF" w:rsidRPr="00CD1101">
        <w:rPr>
          <w:szCs w:val="24"/>
        </w:rPr>
        <w:t>spac</w:t>
      </w:r>
      <w:r w:rsidRPr="00CD1101">
        <w:rPr>
          <w:szCs w:val="24"/>
        </w:rPr>
        <w:t>io</w:t>
      </w:r>
      <w:r w:rsidR="00BE76CF" w:rsidRPr="00CD1101">
        <w:rPr>
          <w:szCs w:val="24"/>
        </w:rPr>
        <w:t>).</w:t>
      </w:r>
    </w:p>
    <w:p w:rsidR="00BE76CF" w:rsidRPr="00CD1101" w:rsidRDefault="00956EE1" w:rsidP="00CD1101">
      <w:pPr>
        <w:pStyle w:val="Reasons"/>
      </w:pPr>
      <w:r w:rsidRPr="00CD1101">
        <w:rPr>
          <w:b/>
          <w:bCs/>
        </w:rPr>
        <w:t>Motivos</w:t>
      </w:r>
      <w:r w:rsidR="00BE76CF" w:rsidRPr="00CD1101">
        <w:rPr>
          <w:b/>
          <w:bCs/>
        </w:rPr>
        <w:t>:</w:t>
      </w:r>
      <w:r w:rsidR="00BE76CF" w:rsidRPr="00CD1101">
        <w:tab/>
      </w:r>
      <w:r w:rsidR="00852996" w:rsidRPr="00CD1101">
        <w:t xml:space="preserve">La banda </w:t>
      </w:r>
      <w:r w:rsidR="00BE76CF" w:rsidRPr="00CD1101">
        <w:t>7</w:t>
      </w:r>
      <w:r w:rsidR="001A015E">
        <w:t>/</w:t>
      </w:r>
      <w:r w:rsidR="00BE76CF" w:rsidRPr="00CD1101">
        <w:t>8</w:t>
      </w:r>
      <w:r w:rsidR="00CD1101">
        <w:t> </w:t>
      </w:r>
      <w:r w:rsidR="00BE76CF" w:rsidRPr="00CD1101">
        <w:t xml:space="preserve">GHz </w:t>
      </w:r>
      <w:r w:rsidR="00852996" w:rsidRPr="00CD1101">
        <w:t>se utiliza mucho para los enlaces de microondas de retroceso y troncales</w:t>
      </w:r>
      <w:r w:rsidR="00BE76CF" w:rsidRPr="00CD1101">
        <w:t xml:space="preserve">. </w:t>
      </w:r>
      <w:r w:rsidR="00852996" w:rsidRPr="00CD1101">
        <w:t>Se debe proteger la inversión en la tierra</w:t>
      </w:r>
      <w:r w:rsidR="00BE76CF" w:rsidRPr="00CD1101">
        <w:t>.</w:t>
      </w:r>
      <w:r w:rsidR="00852996" w:rsidRPr="00CD1101">
        <w:t xml:space="preserve"> Las redes móviles deben protegerse contra posibles fuentes de interferencia causadas por o a las atribuciones propuestas</w:t>
      </w:r>
      <w:r w:rsidR="00BE76CF" w:rsidRPr="00CD1101">
        <w:t xml:space="preserve">. </w:t>
      </w:r>
      <w:r w:rsidR="00852996" w:rsidRPr="00CD1101">
        <w:t xml:space="preserve">Los Estados miembros de la </w:t>
      </w:r>
      <w:r w:rsidR="00BE76CF" w:rsidRPr="00CD1101">
        <w:t xml:space="preserve">SADC </w:t>
      </w:r>
      <w:r w:rsidR="00852996" w:rsidRPr="00CD1101">
        <w:t>proponen no introducir cambios en el Reglamento de Radiocomunicaciones</w:t>
      </w:r>
      <w:r w:rsidR="00BE76CF" w:rsidRPr="00CD1101">
        <w:t>.</w:t>
      </w:r>
    </w:p>
    <w:p w:rsidR="00CD1101" w:rsidRDefault="00393E72" w:rsidP="00CD1101">
      <w:pPr>
        <w:pStyle w:val="Headingb"/>
        <w:tabs>
          <w:tab w:val="clear" w:pos="1871"/>
          <w:tab w:val="clear" w:pos="2268"/>
          <w:tab w:val="left" w:pos="5601"/>
        </w:tabs>
      </w:pPr>
      <w:r w:rsidRPr="00CD1101">
        <w:t>Propuesta</w:t>
      </w:r>
    </w:p>
    <w:p w:rsidR="00D37861" w:rsidRPr="0088114E" w:rsidRDefault="00843401" w:rsidP="00CD1101">
      <w:pPr>
        <w:pStyle w:val="Proposal"/>
      </w:pPr>
      <w:bookmarkStart w:id="6" w:name="_GoBack"/>
      <w:bookmarkEnd w:id="6"/>
      <w:r w:rsidRPr="0088114E">
        <w:t>SUP</w:t>
      </w:r>
      <w:r w:rsidRPr="0088114E">
        <w:tab/>
        <w:t>AGL/BOT/LSO/MDG/MWI/MAU/MOZ/NMB/COD/SEY/AFS/SWZ/TZA/ZMB/</w:t>
      </w:r>
      <w:r w:rsidR="00CD513B" w:rsidRPr="0088114E">
        <w:br/>
      </w:r>
      <w:r w:rsidR="00AD5585" w:rsidRPr="0088114E">
        <w:tab/>
      </w:r>
      <w:r w:rsidRPr="0088114E">
        <w:t>ZWE/130A9A1/1</w:t>
      </w:r>
    </w:p>
    <w:p w:rsidR="001B5C7C" w:rsidRPr="00D14182" w:rsidRDefault="00843401" w:rsidP="00CD1101">
      <w:pPr>
        <w:pStyle w:val="ResNo"/>
      </w:pPr>
      <w:bookmarkStart w:id="7" w:name="_Toc328141488"/>
      <w:r w:rsidRPr="00D14182">
        <w:t xml:space="preserve">RESOLUCIÓN </w:t>
      </w:r>
      <w:r w:rsidRPr="00D14182">
        <w:rPr>
          <w:rStyle w:val="href"/>
        </w:rPr>
        <w:t>758</w:t>
      </w:r>
      <w:r w:rsidRPr="00D14182">
        <w:t xml:space="preserve"> (CMR-12)</w:t>
      </w:r>
      <w:bookmarkEnd w:id="7"/>
    </w:p>
    <w:p w:rsidR="001B5C7C" w:rsidRPr="00D14182" w:rsidRDefault="00843401" w:rsidP="00CD1101">
      <w:pPr>
        <w:pStyle w:val="Restitle"/>
      </w:pPr>
      <w:bookmarkStart w:id="8" w:name="_Toc328141489"/>
      <w:r w:rsidRPr="00D14182">
        <w:t>Atribución al servicio fijo por satélite y al servicio móvil marítimo</w:t>
      </w:r>
      <w:r w:rsidRPr="00D14182">
        <w:br/>
        <w:t>por satélite en la gama 7/8 GHz</w:t>
      </w:r>
      <w:bookmarkEnd w:id="8"/>
    </w:p>
    <w:p w:rsidR="00D37861" w:rsidRDefault="00D37861" w:rsidP="00CD1101">
      <w:pPr>
        <w:pStyle w:val="Reasons"/>
      </w:pPr>
    </w:p>
    <w:p w:rsidR="00843401" w:rsidRDefault="00843401" w:rsidP="00CD1101">
      <w:pPr>
        <w:pStyle w:val="Reasons"/>
      </w:pPr>
    </w:p>
    <w:p w:rsidR="00843401" w:rsidRDefault="00843401" w:rsidP="00CD1101">
      <w:pPr>
        <w:jc w:val="center"/>
      </w:pPr>
      <w:r>
        <w:t>______________</w:t>
      </w:r>
    </w:p>
    <w:p w:rsidR="00843401" w:rsidRDefault="00843401" w:rsidP="00CD1101">
      <w:pPr>
        <w:pStyle w:val="Reasons"/>
      </w:pPr>
    </w:p>
    <w:sectPr w:rsidR="0084340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6333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8A" w:rsidRDefault="007C218A" w:rsidP="007C218A">
    <w:pPr>
      <w:pStyle w:val="Footer"/>
    </w:pPr>
    <w:fldSimple w:instr=" FILENAME \p  \* MERGEFORMAT ">
      <w:r>
        <w:t>P:\ESP\ITU-R\CONF-R\CMR15\100\130ADD09ADD01S.docx</w:t>
      </w:r>
    </w:fldSimple>
    <w:r>
      <w:t xml:space="preserve"> (389020)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56333">
      <w:t>31.10.15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88" w:rsidRDefault="009E3C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20F88">
      <w:t>P:\ESP\ITU-R\CONF-R\CMR15\100\130ADD09ADD01S.docx</w:t>
    </w:r>
    <w:r>
      <w:fldChar w:fldCharType="end"/>
    </w:r>
    <w:r w:rsidR="00720F88">
      <w:t xml:space="preserve"> (</w:t>
    </w:r>
    <w:r w:rsidR="007C218A">
      <w:t>389020</w:t>
    </w:r>
    <w:r w:rsidR="00720F88">
      <w:t>)</w:t>
    </w:r>
    <w:r w:rsidR="00720F88">
      <w:tab/>
    </w:r>
    <w:r w:rsidR="00720F88">
      <w:fldChar w:fldCharType="begin"/>
    </w:r>
    <w:r w:rsidR="00720F88">
      <w:instrText xml:space="preserve"> SAVEDATE \@ DD.MM.YY </w:instrText>
    </w:r>
    <w:r w:rsidR="00720F88">
      <w:fldChar w:fldCharType="separate"/>
    </w:r>
    <w:r w:rsidR="00156333">
      <w:t>31.10.15</w:t>
    </w:r>
    <w:r w:rsidR="00720F88">
      <w:fldChar w:fldCharType="end"/>
    </w:r>
    <w:r w:rsidR="00720F88">
      <w:tab/>
    </w:r>
    <w:r w:rsidR="00720F88">
      <w:fldChar w:fldCharType="begin"/>
    </w:r>
    <w:r w:rsidR="00720F88">
      <w:instrText xml:space="preserve"> PRINTDATE \@ DD.MM.YY </w:instrText>
    </w:r>
    <w:r w:rsidR="00720F88">
      <w:fldChar w:fldCharType="separate"/>
    </w:r>
    <w:r w:rsidR="00720F88">
      <w:t>19.02.03</w:t>
    </w:r>
    <w:r w:rsidR="00720F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3CC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130(Add.9)(Add.1)-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17CF"/>
    <w:rsid w:val="00021BC6"/>
    <w:rsid w:val="0002785D"/>
    <w:rsid w:val="00064120"/>
    <w:rsid w:val="00087AE8"/>
    <w:rsid w:val="0009646F"/>
    <w:rsid w:val="000A5B9A"/>
    <w:rsid w:val="000E5BF9"/>
    <w:rsid w:val="000F0E6D"/>
    <w:rsid w:val="00121170"/>
    <w:rsid w:val="00123CC5"/>
    <w:rsid w:val="00141DB4"/>
    <w:rsid w:val="0015142D"/>
    <w:rsid w:val="00156333"/>
    <w:rsid w:val="001616DC"/>
    <w:rsid w:val="00163962"/>
    <w:rsid w:val="00191A97"/>
    <w:rsid w:val="001A015E"/>
    <w:rsid w:val="001A083F"/>
    <w:rsid w:val="001B2682"/>
    <w:rsid w:val="001C41FA"/>
    <w:rsid w:val="001E2B52"/>
    <w:rsid w:val="001E3F27"/>
    <w:rsid w:val="00236D2A"/>
    <w:rsid w:val="00255F12"/>
    <w:rsid w:val="00260E2E"/>
    <w:rsid w:val="00262C09"/>
    <w:rsid w:val="002A791F"/>
    <w:rsid w:val="002C1B26"/>
    <w:rsid w:val="002C5D6C"/>
    <w:rsid w:val="002E701F"/>
    <w:rsid w:val="003061A0"/>
    <w:rsid w:val="003248A9"/>
    <w:rsid w:val="00324FFA"/>
    <w:rsid w:val="0032680B"/>
    <w:rsid w:val="00363A65"/>
    <w:rsid w:val="00393E72"/>
    <w:rsid w:val="003B1E8C"/>
    <w:rsid w:val="003C2508"/>
    <w:rsid w:val="003D0AA3"/>
    <w:rsid w:val="00440B3A"/>
    <w:rsid w:val="0045384C"/>
    <w:rsid w:val="00454553"/>
    <w:rsid w:val="0046098D"/>
    <w:rsid w:val="00485750"/>
    <w:rsid w:val="004B124A"/>
    <w:rsid w:val="004D5C1F"/>
    <w:rsid w:val="005133B5"/>
    <w:rsid w:val="00532097"/>
    <w:rsid w:val="0058350F"/>
    <w:rsid w:val="00583C7E"/>
    <w:rsid w:val="0058455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20F88"/>
    <w:rsid w:val="007354E9"/>
    <w:rsid w:val="00765578"/>
    <w:rsid w:val="0077084A"/>
    <w:rsid w:val="007952C7"/>
    <w:rsid w:val="007C0B95"/>
    <w:rsid w:val="007C218A"/>
    <w:rsid w:val="007C2317"/>
    <w:rsid w:val="007D330A"/>
    <w:rsid w:val="00843401"/>
    <w:rsid w:val="00852996"/>
    <w:rsid w:val="00866AE6"/>
    <w:rsid w:val="00874A05"/>
    <w:rsid w:val="008750A8"/>
    <w:rsid w:val="0088114E"/>
    <w:rsid w:val="008E5AF2"/>
    <w:rsid w:val="0090121B"/>
    <w:rsid w:val="009144C9"/>
    <w:rsid w:val="0094091F"/>
    <w:rsid w:val="00956EE1"/>
    <w:rsid w:val="00973754"/>
    <w:rsid w:val="009C0BED"/>
    <w:rsid w:val="009E11EC"/>
    <w:rsid w:val="009E3CCA"/>
    <w:rsid w:val="00A118DB"/>
    <w:rsid w:val="00A4450C"/>
    <w:rsid w:val="00A97804"/>
    <w:rsid w:val="00AA5E6C"/>
    <w:rsid w:val="00AD5585"/>
    <w:rsid w:val="00AE5677"/>
    <w:rsid w:val="00AE658F"/>
    <w:rsid w:val="00AF2F78"/>
    <w:rsid w:val="00B239FA"/>
    <w:rsid w:val="00B52D55"/>
    <w:rsid w:val="00B60441"/>
    <w:rsid w:val="00B8288C"/>
    <w:rsid w:val="00BE2E80"/>
    <w:rsid w:val="00BE5EDD"/>
    <w:rsid w:val="00BE6A1F"/>
    <w:rsid w:val="00BE76CF"/>
    <w:rsid w:val="00BF36FF"/>
    <w:rsid w:val="00C126C4"/>
    <w:rsid w:val="00C63EB5"/>
    <w:rsid w:val="00CC01E0"/>
    <w:rsid w:val="00CD1101"/>
    <w:rsid w:val="00CD513B"/>
    <w:rsid w:val="00CD5FEE"/>
    <w:rsid w:val="00CE60D2"/>
    <w:rsid w:val="00CE7431"/>
    <w:rsid w:val="00D0288A"/>
    <w:rsid w:val="00D37861"/>
    <w:rsid w:val="00D72A5D"/>
    <w:rsid w:val="00DC629B"/>
    <w:rsid w:val="00E05BFF"/>
    <w:rsid w:val="00E262F1"/>
    <w:rsid w:val="00E3176A"/>
    <w:rsid w:val="00E54754"/>
    <w:rsid w:val="00E56BD3"/>
    <w:rsid w:val="00E71D14"/>
    <w:rsid w:val="00F17AC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F0176FF-8694-4182-B1DA-C618E89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,o,fr,FR,Style 17,Appel note de bas de p + 11 pt,Italic,Appel note de bas de p1,Appel note de bas de p2,Style 3,Footnote,R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BE76C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R15-WRC15-C-0130!A9-A1!MSW-S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62CE0-C520-4B81-B700-3AD054B2BE7E}">
  <ds:schemaRefs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BF35D9-9FF6-4A53-86E9-9CC9C1B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R15-WRC15-C-0130!A9-A1!MSW-S</vt:lpstr>
    </vt:vector>
  </TitlesOfParts>
  <Manager>Secretaría General - Pool</Manager>
  <Company>Unión Internacional de Telecomunicaciones (UIT)</Company>
  <LinksUpToDate>false</LinksUpToDate>
  <CharactersWithSpaces>3286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R15-WRC15-C-0130!A9-A1!MSW-S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14</cp:revision>
  <cp:lastPrinted>2003-02-19T20:20:00Z</cp:lastPrinted>
  <dcterms:created xsi:type="dcterms:W3CDTF">2015-10-30T23:46:00Z</dcterms:created>
  <dcterms:modified xsi:type="dcterms:W3CDTF">2015-11-01T14:08:00Z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