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RPr="00C033A7" w:rsidTr="003E1608">
        <w:trPr>
          <w:cantSplit/>
        </w:trPr>
        <w:tc>
          <w:tcPr>
            <w:tcW w:w="6619" w:type="dxa"/>
            <w:shd w:val="clear" w:color="auto" w:fill="auto"/>
          </w:tcPr>
          <w:p w:rsidR="003E1608" w:rsidRPr="00C033A7" w:rsidRDefault="00E165ED" w:rsidP="00C033A7">
            <w:pPr>
              <w:pStyle w:val="Committee"/>
              <w:framePr w:hSpace="0" w:wrap="auto" w:hAnchor="text" w:yAlign="inline"/>
              <w:tabs>
                <w:tab w:val="clear" w:pos="2268"/>
                <w:tab w:val="left" w:pos="2448"/>
              </w:tabs>
              <w:bidi/>
              <w:rPr>
                <w:rFonts w:ascii="Verdana Bold" w:hAnsi="Verdana Bold" w:cs="Traditional Arabic"/>
                <w:sz w:val="30"/>
                <w:szCs w:val="30"/>
                <w:rtl/>
              </w:rPr>
            </w:pPr>
            <w:r w:rsidRPr="00C033A7">
              <w:rPr>
                <w:rFonts w:ascii="Verdana Bold" w:hAnsi="Verdana Bold" w:cs="Traditional Arabic"/>
                <w:bCs/>
                <w:sz w:val="19"/>
                <w:szCs w:val="30"/>
                <w:rtl/>
                <w:lang w:val="en-US" w:bidi="ar-EG"/>
              </w:rPr>
              <w:t xml:space="preserve">اللجنة </w:t>
            </w:r>
            <w:r w:rsidR="00C033A7">
              <w:rPr>
                <w:rFonts w:ascii="Verdana Bold" w:hAnsi="Verdana Bold" w:cs="Traditional Arabic"/>
                <w:bCs/>
                <w:sz w:val="19"/>
                <w:szCs w:val="30"/>
                <w:lang w:val="en-US" w:bidi="ar-EG"/>
              </w:rPr>
              <w:t>5</w:t>
            </w:r>
          </w:p>
        </w:tc>
        <w:tc>
          <w:tcPr>
            <w:tcW w:w="3053" w:type="dxa"/>
            <w:shd w:val="clear" w:color="auto" w:fill="auto"/>
            <w:vAlign w:val="center"/>
          </w:tcPr>
          <w:p w:rsidR="003E1608" w:rsidRPr="00C033A7" w:rsidRDefault="003E1608" w:rsidP="00C033A7">
            <w:pPr>
              <w:pStyle w:val="Adress"/>
              <w:framePr w:hSpace="0" w:wrap="auto" w:xAlign="left" w:yAlign="inline"/>
              <w:rPr>
                <w:rtl/>
              </w:rPr>
            </w:pPr>
            <w:r w:rsidRPr="00C033A7">
              <w:rPr>
                <w:rtl/>
              </w:rPr>
              <w:t xml:space="preserve">المراجعة </w:t>
            </w:r>
            <w:r w:rsidRPr="00C033A7">
              <w:t>1</w:t>
            </w:r>
            <w:r w:rsidRPr="00C033A7">
              <w:br/>
            </w:r>
            <w:r w:rsidRPr="00C033A7">
              <w:rPr>
                <w:rtl/>
              </w:rPr>
              <w:t xml:space="preserve">للوثيقة </w:t>
            </w:r>
            <w:r w:rsidR="00C033A7">
              <w:rPr>
                <w:rFonts w:ascii="Verdana" w:hAnsi="Verdana"/>
                <w:szCs w:val="19"/>
              </w:rPr>
              <w:t>134-A</w:t>
            </w:r>
          </w:p>
        </w:tc>
      </w:tr>
      <w:tr w:rsidR="00764079" w:rsidRPr="00C033A7" w:rsidTr="003E1608">
        <w:trPr>
          <w:cantSplit/>
        </w:trPr>
        <w:tc>
          <w:tcPr>
            <w:tcW w:w="6619" w:type="dxa"/>
            <w:shd w:val="clear" w:color="auto" w:fill="auto"/>
          </w:tcPr>
          <w:p w:rsidR="00764079" w:rsidRPr="00C033A7" w:rsidRDefault="00764079" w:rsidP="00D44350">
            <w:pPr>
              <w:pStyle w:val="Adress"/>
              <w:framePr w:hSpace="0" w:wrap="auto" w:xAlign="left" w:yAlign="inline"/>
              <w:rPr>
                <w:rtl/>
              </w:rPr>
            </w:pPr>
          </w:p>
        </w:tc>
        <w:tc>
          <w:tcPr>
            <w:tcW w:w="3053" w:type="dxa"/>
            <w:shd w:val="clear" w:color="auto" w:fill="auto"/>
            <w:vAlign w:val="center"/>
          </w:tcPr>
          <w:p w:rsidR="00764079" w:rsidRPr="00C033A7" w:rsidRDefault="00764079" w:rsidP="00D44350">
            <w:pPr>
              <w:pStyle w:val="Adress"/>
              <w:framePr w:hSpace="0" w:wrap="auto" w:xAlign="left" w:yAlign="inline"/>
              <w:rPr>
                <w:rtl/>
              </w:rPr>
            </w:pPr>
            <w:r w:rsidRPr="00C033A7">
              <w:rPr>
                <w:rFonts w:eastAsia="SimSun"/>
              </w:rPr>
              <w:t>6</w:t>
            </w:r>
            <w:r w:rsidRPr="00C033A7">
              <w:rPr>
                <w:rFonts w:eastAsia="SimSun"/>
                <w:rtl/>
              </w:rPr>
              <w:t xml:space="preserve"> نوفمبر </w:t>
            </w:r>
            <w:r w:rsidRPr="00C033A7">
              <w:rPr>
                <w:rFonts w:eastAsia="SimSun"/>
              </w:rPr>
              <w:t>2015</w:t>
            </w:r>
          </w:p>
        </w:tc>
      </w:tr>
      <w:tr w:rsidR="00764079" w:rsidRPr="00C033A7" w:rsidTr="003E1608">
        <w:trPr>
          <w:cantSplit/>
        </w:trPr>
        <w:tc>
          <w:tcPr>
            <w:tcW w:w="6619" w:type="dxa"/>
          </w:tcPr>
          <w:p w:rsidR="00764079" w:rsidRPr="00C033A7" w:rsidRDefault="00764079" w:rsidP="00D44350">
            <w:pPr>
              <w:pStyle w:val="Adress"/>
              <w:framePr w:hSpace="0" w:wrap="auto" w:xAlign="left" w:yAlign="inline"/>
              <w:rPr>
                <w:rFonts w:eastAsia="SimSun" w:hint="eastAsia"/>
                <w:rtl/>
              </w:rPr>
            </w:pPr>
          </w:p>
        </w:tc>
        <w:tc>
          <w:tcPr>
            <w:tcW w:w="3053" w:type="dxa"/>
            <w:vAlign w:val="center"/>
          </w:tcPr>
          <w:p w:rsidR="00764079" w:rsidRPr="00C033A7" w:rsidRDefault="00764079" w:rsidP="00D44350">
            <w:pPr>
              <w:pStyle w:val="Adress"/>
              <w:framePr w:hSpace="0" w:wrap="auto" w:xAlign="left" w:yAlign="inline"/>
              <w:rPr>
                <w:rFonts w:eastAsia="SimSun" w:hint="eastAsia"/>
              </w:rPr>
            </w:pPr>
            <w:r w:rsidRPr="00C033A7">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إيطاليا/جمهورية لاتفيا/مملكة هولندا/المملكة المتحدة لبريطانيا العظمى وأيرلندا الشمالية</w:t>
            </w:r>
          </w:p>
        </w:tc>
      </w:tr>
      <w:tr w:rsidR="00764079" w:rsidTr="003E1608">
        <w:trPr>
          <w:cantSplit/>
        </w:trPr>
        <w:tc>
          <w:tcPr>
            <w:tcW w:w="9672" w:type="dxa"/>
            <w:gridSpan w:val="2"/>
          </w:tcPr>
          <w:p w:rsidR="00764079" w:rsidRPr="00BD6EF3" w:rsidRDefault="00C033A7"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0F5F53">
            <w:pPr>
              <w:pStyle w:val="Agendaitem"/>
              <w:spacing w:before="240" w:line="192" w:lineRule="auto"/>
            </w:pPr>
            <w:r w:rsidRPr="008204AC">
              <w:rPr>
                <w:rtl/>
              </w:rPr>
              <w:t xml:space="preserve">البنـد </w:t>
            </w:r>
            <w:r w:rsidR="000F5F53">
              <w:t>8.1</w:t>
            </w:r>
            <w:r w:rsidRPr="008204AC">
              <w:rPr>
                <w:rtl/>
              </w:rPr>
              <w:t xml:space="preserve"> من جدول الأعمال</w:t>
            </w:r>
          </w:p>
        </w:tc>
      </w:tr>
    </w:tbl>
    <w:p w:rsidR="001D597A" w:rsidRPr="00431196" w:rsidRDefault="00827721" w:rsidP="000F5F53">
      <w:pPr>
        <w:pStyle w:val="Normalaftertitle"/>
        <w:rPr>
          <w:rFonts w:eastAsia="SimSun"/>
          <w:rtl/>
        </w:rPr>
      </w:pPr>
      <w:r w:rsidRPr="00431196">
        <w:rPr>
          <w:rFonts w:eastAsia="SimSun"/>
        </w:rPr>
        <w:t>8.1</w:t>
      </w:r>
      <w:r w:rsidRPr="00431196">
        <w:rPr>
          <w:rFonts w:eastAsia="SimSun" w:hint="cs"/>
          <w:rtl/>
        </w:rPr>
        <w:tab/>
        <w:t>استعراض الأحكام المتعلقة بالمحطات الأرضية المقامة على متن السفن </w:t>
      </w:r>
      <w:r w:rsidRPr="00431196">
        <w:rPr>
          <w:rFonts w:eastAsia="SimSun"/>
        </w:rPr>
        <w:t>(ESV)</w:t>
      </w:r>
      <w:r w:rsidRPr="00431196">
        <w:rPr>
          <w:rFonts w:eastAsia="SimSun" w:hint="cs"/>
          <w:rtl/>
        </w:rPr>
        <w:t xml:space="preserve">، استناداً إلى الدراسات التي أُجريت وفقاً للقرار </w:t>
      </w:r>
      <w:r w:rsidRPr="00431196">
        <w:rPr>
          <w:rFonts w:eastAsia="SimSun"/>
          <w:b/>
          <w:bCs/>
        </w:rPr>
        <w:t>909 (WRC</w:t>
      </w:r>
      <w:r w:rsidRPr="00431196">
        <w:rPr>
          <w:rFonts w:eastAsia="SimSun"/>
          <w:b/>
          <w:bCs/>
        </w:rPr>
        <w:sym w:font="Symbol" w:char="F02D"/>
      </w:r>
      <w:r w:rsidRPr="00431196">
        <w:rPr>
          <w:rFonts w:eastAsia="SimSun"/>
          <w:b/>
          <w:bCs/>
        </w:rPr>
        <w:t>12)</w:t>
      </w:r>
      <w:r w:rsidRPr="00431196">
        <w:rPr>
          <w:rFonts w:eastAsia="SimSun" w:hint="cs"/>
          <w:rtl/>
        </w:rPr>
        <w:t>؛</w:t>
      </w:r>
    </w:p>
    <w:p w:rsidR="00841A68" w:rsidRPr="00841A68" w:rsidRDefault="00841A68" w:rsidP="00841A68">
      <w:pPr>
        <w:pStyle w:val="Headingb"/>
        <w:rPr>
          <w:rtl/>
        </w:rPr>
      </w:pPr>
      <w:r w:rsidRPr="00841A68">
        <w:rPr>
          <w:rFonts w:hint="cs"/>
          <w:rtl/>
        </w:rPr>
        <w:t>مقدمة</w:t>
      </w:r>
    </w:p>
    <w:p w:rsidR="00841A68" w:rsidRPr="00841A68" w:rsidRDefault="00841A68" w:rsidP="00E95E25">
      <w:pPr>
        <w:rPr>
          <w:rtl/>
          <w:lang w:bidi="ar-EG"/>
        </w:rPr>
      </w:pPr>
      <w:r w:rsidRPr="00841A68">
        <w:rPr>
          <w:rFonts w:hint="cs"/>
          <w:rtl/>
          <w:lang w:bidi="ar-EG"/>
        </w:rPr>
        <w:t xml:space="preserve">اعتمد المؤتمر </w:t>
      </w:r>
      <w:r w:rsidRPr="00841A68">
        <w:rPr>
          <w:lang w:bidi="ar-EG"/>
        </w:rPr>
        <w:t>WRC-03</w:t>
      </w:r>
      <w:r w:rsidRPr="00841A68">
        <w:rPr>
          <w:rFonts w:hint="cs"/>
          <w:rtl/>
          <w:lang w:bidi="ar-EG"/>
        </w:rPr>
        <w:t xml:space="preserve"> القرار </w:t>
      </w:r>
      <w:r w:rsidRPr="00841A68">
        <w:rPr>
          <w:rFonts w:eastAsia="Calibri"/>
          <w:bCs/>
        </w:rPr>
        <w:t>902 (WRC-03)</w:t>
      </w:r>
      <w:r w:rsidRPr="00841A68">
        <w:rPr>
          <w:rFonts w:eastAsia="Calibri" w:hint="cs"/>
          <w:b/>
          <w:rtl/>
          <w:lang w:bidi="ar-EG"/>
        </w:rPr>
        <w:t xml:space="preserve"> فيما يخص استخدام </w:t>
      </w:r>
      <w:r w:rsidRPr="00841A68">
        <w:rPr>
          <w:rFonts w:hint="cs"/>
          <w:color w:val="000000"/>
          <w:rtl/>
        </w:rPr>
        <w:t>ا</w:t>
      </w:r>
      <w:r w:rsidRPr="00841A68">
        <w:rPr>
          <w:color w:val="000000"/>
          <w:rtl/>
        </w:rPr>
        <w:t xml:space="preserve">لمحطات الأرضية المقامة على متن </w:t>
      </w:r>
      <w:r w:rsidRPr="00841A68">
        <w:rPr>
          <w:rFonts w:hint="cs"/>
          <w:color w:val="000000"/>
          <w:rtl/>
        </w:rPr>
        <w:t>السفن</w:t>
      </w:r>
      <w:r w:rsidR="00E95E25">
        <w:rPr>
          <w:rFonts w:hint="eastAsia"/>
          <w:color w:val="000000"/>
          <w:rtl/>
        </w:rPr>
        <w:t> </w:t>
      </w:r>
      <w:r w:rsidRPr="00841A68">
        <w:rPr>
          <w:color w:val="000000"/>
        </w:rPr>
        <w:t>(ESVs)</w:t>
      </w:r>
      <w:r w:rsidRPr="00841A68">
        <w:rPr>
          <w:rFonts w:hint="cs"/>
          <w:color w:val="000000"/>
          <w:rtl/>
        </w:rPr>
        <w:t xml:space="preserve"> </w:t>
      </w:r>
      <w:r w:rsidRPr="00841A68">
        <w:rPr>
          <w:rFonts w:hint="cs"/>
          <w:rtl/>
          <w:lang w:bidi="ar-EG"/>
        </w:rPr>
        <w:t>في</w:t>
      </w:r>
      <w:r w:rsidRPr="00841A68">
        <w:rPr>
          <w:rFonts w:hint="eastAsia"/>
          <w:rtl/>
          <w:lang w:bidi="ar-EG"/>
        </w:rPr>
        <w:t> </w:t>
      </w:r>
      <w:r w:rsidRPr="00841A68">
        <w:rPr>
          <w:rFonts w:hint="cs"/>
          <w:rtl/>
          <w:lang w:bidi="ar-EG"/>
        </w:rPr>
        <w:t>النطاقين</w:t>
      </w:r>
      <w:r w:rsidRPr="00841A68">
        <w:rPr>
          <w:rFonts w:hint="eastAsia"/>
          <w:rtl/>
          <w:lang w:bidi="ar-EG"/>
        </w:rPr>
        <w:t> </w:t>
      </w:r>
      <w:r w:rsidRPr="00841A68">
        <w:rPr>
          <w:lang w:bidi="ar-EG"/>
        </w:rPr>
        <w:t>MHz 6 425-5 925</w:t>
      </w:r>
      <w:r w:rsidRPr="00841A68">
        <w:rPr>
          <w:rFonts w:hint="cs"/>
          <w:rtl/>
          <w:lang w:bidi="ar-EG"/>
        </w:rPr>
        <w:t xml:space="preserve"> و</w:t>
      </w:r>
      <w:r w:rsidRPr="00841A68">
        <w:rPr>
          <w:lang w:bidi="ar-EG"/>
        </w:rPr>
        <w:t>GHz 14,5-14</w:t>
      </w:r>
      <w:r w:rsidRPr="00841A68">
        <w:rPr>
          <w:rFonts w:hint="cs"/>
          <w:rtl/>
          <w:lang w:bidi="ar-EG"/>
        </w:rPr>
        <w:t>، ويتضمن هذا القرار أحكاماً لحماية خدمات الأرض في النطاقات ذاتها. ووضع المؤتمر</w:t>
      </w:r>
      <w:r w:rsidRPr="00841A68">
        <w:rPr>
          <w:rFonts w:hint="eastAsia"/>
          <w:rtl/>
          <w:lang w:bidi="ar-EG"/>
        </w:rPr>
        <w:t> </w:t>
      </w:r>
      <w:r w:rsidRPr="00841A68">
        <w:rPr>
          <w:lang w:bidi="ar-EG"/>
        </w:rPr>
        <w:t>WRC-12</w:t>
      </w:r>
      <w:r w:rsidRPr="00841A68">
        <w:rPr>
          <w:rFonts w:hint="cs"/>
          <w:rtl/>
          <w:lang w:bidi="ar-EG"/>
        </w:rPr>
        <w:t xml:space="preserve"> البند </w:t>
      </w:r>
      <w:r w:rsidRPr="00841A68">
        <w:rPr>
          <w:lang w:bidi="ar-EG"/>
        </w:rPr>
        <w:t>8.1</w:t>
      </w:r>
      <w:r w:rsidRPr="00841A68">
        <w:rPr>
          <w:rFonts w:hint="cs"/>
          <w:rtl/>
          <w:lang w:bidi="ar-EG"/>
        </w:rPr>
        <w:t xml:space="preserve"> من جدول الأعمال بهدف تحديد ما إذا كان من الممكن استعراض أحكام القرار</w:t>
      </w:r>
      <w:r w:rsidRPr="00841A68">
        <w:rPr>
          <w:rFonts w:hint="eastAsia"/>
          <w:rtl/>
          <w:lang w:bidi="ar-EG"/>
        </w:rPr>
        <w:t> </w:t>
      </w:r>
      <w:r w:rsidRPr="00841A68">
        <w:rPr>
          <w:rFonts w:eastAsia="Calibri"/>
          <w:bCs/>
        </w:rPr>
        <w:t>902 (WRC-03)</w:t>
      </w:r>
      <w:r w:rsidRPr="00841A68">
        <w:rPr>
          <w:rFonts w:hint="cs"/>
          <w:rtl/>
          <w:lang w:bidi="ar-EG"/>
        </w:rPr>
        <w:t xml:space="preserve"> في</w:t>
      </w:r>
      <w:r w:rsidRPr="00841A68">
        <w:rPr>
          <w:rFonts w:hint="eastAsia"/>
          <w:rtl/>
          <w:lang w:bidi="ar-EG"/>
        </w:rPr>
        <w:t> </w:t>
      </w:r>
      <w:r w:rsidRPr="00841A68">
        <w:rPr>
          <w:rFonts w:hint="cs"/>
          <w:rtl/>
          <w:lang w:bidi="ar-EG"/>
        </w:rPr>
        <w:t>ضوء المعلومات المحدثة بشأن التكنولوجيات والخصائص التقنية للمحطات الأرضية المقامة على متن السفن مع مراعاة المتطلبات الحالية والمقبلة للخدمات الأخرى القائمة في هذه النطاقات.</w:t>
      </w:r>
    </w:p>
    <w:p w:rsidR="00841A68" w:rsidRPr="00841A68" w:rsidRDefault="00841A68" w:rsidP="00841A68">
      <w:pPr>
        <w:pStyle w:val="Headingb"/>
      </w:pPr>
      <w:r w:rsidRPr="00841A68">
        <w:rPr>
          <w:rFonts w:hint="cs"/>
          <w:rtl/>
        </w:rPr>
        <w:t>المناقشة والمقترحات</w:t>
      </w:r>
    </w:p>
    <w:p w:rsidR="00841A68" w:rsidRPr="00841A68" w:rsidRDefault="00841A68" w:rsidP="00841A68">
      <w:pPr>
        <w:rPr>
          <w:rtl/>
          <w:lang w:bidi="ar-EG"/>
        </w:rPr>
      </w:pPr>
      <w:r w:rsidRPr="00841A68">
        <w:rPr>
          <w:rFonts w:hint="cs"/>
          <w:rtl/>
        </w:rPr>
        <w:t xml:space="preserve">استعرضت هذه الإدارات الدراسات التي أجريت في إطار قطاع الاتصالات الراديوية تحت هذا البند من جدول الأعمال </w:t>
      </w:r>
      <w:r w:rsidRPr="00841A68">
        <w:rPr>
          <w:rFonts w:hint="cs"/>
          <w:rtl/>
          <w:lang w:bidi="ar-EG"/>
        </w:rPr>
        <w:t xml:space="preserve">والملخصة في تقرير الاجتماع التحضيري للمؤتمر المقدم إلى المؤتمر </w:t>
      </w:r>
      <w:r w:rsidRPr="00841A68">
        <w:rPr>
          <w:lang w:bidi="ar-EG"/>
        </w:rPr>
        <w:t>WRC-15</w:t>
      </w:r>
      <w:r w:rsidRPr="00841A68">
        <w:rPr>
          <w:rFonts w:hint="cs"/>
          <w:rtl/>
          <w:lang w:bidi="ar-EG"/>
        </w:rPr>
        <w:t>. وكما أشار تقرير الاجتماع التحضيري للمؤتمر وفرقتا العمل</w:t>
      </w:r>
      <w:r w:rsidRPr="00841A68">
        <w:rPr>
          <w:rFonts w:hint="eastAsia"/>
          <w:rtl/>
          <w:lang w:bidi="ar-EG"/>
        </w:rPr>
        <w:t> </w:t>
      </w:r>
      <w:r w:rsidRPr="00841A68">
        <w:rPr>
          <w:lang w:bidi="ar-EG"/>
        </w:rPr>
        <w:t>4A</w:t>
      </w:r>
      <w:r w:rsidRPr="00841A68">
        <w:rPr>
          <w:rFonts w:hint="cs"/>
          <w:rtl/>
          <w:lang w:bidi="ar-EG"/>
        </w:rPr>
        <w:t xml:space="preserve"> و</w:t>
      </w:r>
      <w:r w:rsidRPr="00841A68">
        <w:rPr>
          <w:lang w:bidi="ar-EG"/>
        </w:rPr>
        <w:t>5C</w:t>
      </w:r>
      <w:r w:rsidRPr="00841A68">
        <w:rPr>
          <w:rFonts w:hint="cs"/>
          <w:rtl/>
          <w:lang w:bidi="ar-EG"/>
        </w:rPr>
        <w:t xml:space="preserve"> لقطاع الاتصالات الراديوية لدى النظر في الدراسات التقنية، لا يزال هناك عدد من المسائل المفتوحة التي لم تعالج خاصة في</w:t>
      </w:r>
      <w:r w:rsidRPr="00841A68">
        <w:rPr>
          <w:rFonts w:hint="eastAsia"/>
          <w:rtl/>
          <w:lang w:bidi="ar-EG"/>
        </w:rPr>
        <w:t> </w:t>
      </w:r>
      <w:r w:rsidRPr="00841A68">
        <w:rPr>
          <w:rFonts w:hint="cs"/>
          <w:rtl/>
          <w:lang w:bidi="ar-EG"/>
        </w:rPr>
        <w:t xml:space="preserve">إطار الأسلوبين </w:t>
      </w:r>
      <w:r w:rsidRPr="00841A68">
        <w:rPr>
          <w:lang w:bidi="ar-EG"/>
        </w:rPr>
        <w:t>C</w:t>
      </w:r>
      <w:r w:rsidRPr="00841A68">
        <w:rPr>
          <w:rFonts w:hint="cs"/>
          <w:rtl/>
          <w:lang w:bidi="ar-EG"/>
        </w:rPr>
        <w:t xml:space="preserve"> و</w:t>
      </w:r>
      <w:r w:rsidRPr="00841A68">
        <w:rPr>
          <w:lang w:bidi="ar-EG"/>
        </w:rPr>
        <w:t>D</w:t>
      </w:r>
      <w:r w:rsidRPr="00841A68">
        <w:rPr>
          <w:rFonts w:hint="cs"/>
          <w:rtl/>
          <w:lang w:bidi="ar-EG"/>
        </w:rPr>
        <w:t xml:space="preserve"> من تقرير الاجتماع التحضيري للمؤتمر المقدم إلى المؤتمر </w:t>
      </w:r>
      <w:r w:rsidRPr="00841A68">
        <w:rPr>
          <w:lang w:bidi="ar-EG"/>
        </w:rPr>
        <w:t>WRC-15</w:t>
      </w:r>
      <w:r w:rsidRPr="00841A68">
        <w:rPr>
          <w:rFonts w:hint="cs"/>
          <w:rtl/>
          <w:lang w:bidi="ar-EG"/>
        </w:rPr>
        <w:t xml:space="preserve">. وتشمل حماية خدمات الأرض على منصات بحرية (مثل منصات البترول والغاز الواقعة على بعد عدة مئات الكيلومترات في البحر) وكيفية تنفيذ نهج جديد مقترح يقوم على مسافات دنيا متعددة </w:t>
      </w:r>
      <w:r w:rsidRPr="00841A68">
        <w:rPr>
          <w:rFonts w:hint="cs"/>
          <w:color w:val="000000"/>
          <w:rtl/>
        </w:rPr>
        <w:t>بالنسبة إلى</w:t>
      </w:r>
      <w:r w:rsidRPr="00841A68">
        <w:rPr>
          <w:color w:val="000000"/>
          <w:rtl/>
        </w:rPr>
        <w:t xml:space="preserve"> علامة الـجَزْر</w:t>
      </w:r>
      <w:r w:rsidRPr="00841A68">
        <w:rPr>
          <w:rFonts w:hint="cs"/>
          <w:color w:val="000000"/>
          <w:rtl/>
          <w:lang w:bidi="ar-EG"/>
        </w:rPr>
        <w:t xml:space="preserve"> وإنفاذه عملياً.</w:t>
      </w:r>
    </w:p>
    <w:p w:rsidR="00841A68" w:rsidRPr="00841A68" w:rsidRDefault="00841A68" w:rsidP="00841A68">
      <w:pPr>
        <w:rPr>
          <w:rtl/>
          <w:lang w:bidi="ar-EG"/>
        </w:rPr>
      </w:pPr>
      <w:r w:rsidRPr="00841A68">
        <w:rPr>
          <w:rFonts w:hint="cs"/>
          <w:rtl/>
        </w:rPr>
        <w:lastRenderedPageBreak/>
        <w:t xml:space="preserve">وتلاحظ هذه الإدارات كذلك أن التغييرات المقترحة في إطار الأسلوبين </w:t>
      </w:r>
      <w:r w:rsidRPr="00841A68">
        <w:t>C</w:t>
      </w:r>
      <w:r w:rsidRPr="00841A68">
        <w:rPr>
          <w:rFonts w:hint="cs"/>
          <w:rtl/>
          <w:lang w:bidi="ar-EG"/>
        </w:rPr>
        <w:t xml:space="preserve"> و</w:t>
      </w:r>
      <w:r w:rsidRPr="00841A68">
        <w:rPr>
          <w:lang w:bidi="ar-EG"/>
        </w:rPr>
        <w:t>D</w:t>
      </w:r>
      <w:r w:rsidRPr="00841A68">
        <w:rPr>
          <w:rFonts w:hint="cs"/>
          <w:rtl/>
          <w:lang w:bidi="ar-EG"/>
        </w:rPr>
        <w:t xml:space="preserve"> من تقرير الاجتماع التحضيري المقدم إلى المؤتمر</w:t>
      </w:r>
      <w:r w:rsidRPr="00841A68">
        <w:rPr>
          <w:rFonts w:hint="eastAsia"/>
          <w:rtl/>
          <w:lang w:bidi="ar-EG"/>
        </w:rPr>
        <w:t> </w:t>
      </w:r>
      <w:r w:rsidRPr="00841A68">
        <w:rPr>
          <w:lang w:bidi="ar-EG"/>
        </w:rPr>
        <w:t>WRC-15</w:t>
      </w:r>
      <w:r w:rsidRPr="00841A68">
        <w:rPr>
          <w:rFonts w:hint="cs"/>
          <w:rtl/>
          <w:lang w:bidi="ar-EG"/>
        </w:rPr>
        <w:t xml:space="preserve"> (أي تخفيض مسافات الحماية المقيسة بالنسبة إلى علامة الجزْر) ستؤدي إلى زيادة كبيرة في احتمال حدوث تداخل ضار في خدمات الأرض على المنصات البحرية التي لا يأخذها هذان الأسلوبان في الاعتبار. وفي إطار هذين الأسلوبين، يُسمح للمحطات الأرضية المقامة على متن السفن الاقتراب كثيراً من محطات الأرض المقامة على متن السفن بدون أي تنظيم ملائم وفي</w:t>
      </w:r>
      <w:r w:rsidRPr="00841A68">
        <w:rPr>
          <w:rFonts w:hint="eastAsia"/>
          <w:lang w:bidi="ar-EG"/>
        </w:rPr>
        <w:t> </w:t>
      </w:r>
      <w:r w:rsidRPr="00841A68">
        <w:rPr>
          <w:rFonts w:hint="cs"/>
          <w:rtl/>
          <w:lang w:bidi="ar-EG"/>
        </w:rPr>
        <w:t>ظل هذه الظروف، يمكن لخدمات الأرض أن تتعرض إلى مستويات عالية من التداخل الضار.</w:t>
      </w:r>
    </w:p>
    <w:p w:rsidR="00841A68" w:rsidRPr="00841A68" w:rsidRDefault="00841A68" w:rsidP="00841A68">
      <w:pPr>
        <w:rPr>
          <w:lang w:bidi="ar-EG"/>
        </w:rPr>
      </w:pPr>
      <w:r w:rsidRPr="00841A68">
        <w:rPr>
          <w:rFonts w:hint="cs"/>
          <w:rtl/>
          <w:lang w:bidi="ar-EG"/>
        </w:rPr>
        <w:t>ونظراً إلى أن المسائل المذكورة أعلاه لم تعالج على نحو تام، تقترح هذه الإدارات ألا يدخل أي تعديل على القرار </w:t>
      </w:r>
      <w:r w:rsidRPr="00841A68">
        <w:rPr>
          <w:lang w:bidi="ar-EG"/>
        </w:rPr>
        <w:t>902 (WRC-03)</w:t>
      </w:r>
      <w:r w:rsidRPr="00841A68">
        <w:rPr>
          <w:rFonts w:hint="cs"/>
          <w:rtl/>
          <w:lang w:bidi="ar-EG"/>
        </w:rPr>
        <w:t xml:space="preserve"> وأن يُلغى القرار </w:t>
      </w:r>
      <w:r w:rsidRPr="00841A68">
        <w:rPr>
          <w:lang w:bidi="ar-EG"/>
        </w:rPr>
        <w:t>909 (WRC-12)</w:t>
      </w:r>
      <w:r w:rsidRPr="00841A68">
        <w:rPr>
          <w:rFonts w:hint="cs"/>
          <w:rtl/>
          <w:lang w:bidi="ar-EG"/>
        </w:rPr>
        <w:t>.</w:t>
      </w:r>
    </w:p>
    <w:p w:rsidR="00F16602" w:rsidRPr="00841A68" w:rsidRDefault="00841A68" w:rsidP="00841A68">
      <w:pPr>
        <w:pStyle w:val="Headingb"/>
      </w:pPr>
      <w:r>
        <w:rPr>
          <w:rFonts w:hint="cs"/>
          <w:rtl/>
        </w:rPr>
        <w:t>المقترحات</w:t>
      </w:r>
    </w:p>
    <w:p w:rsidR="000A04E9" w:rsidRDefault="00827721">
      <w:pPr>
        <w:pStyle w:val="Proposal"/>
      </w:pPr>
      <w:r>
        <w:rPr>
          <w:u w:val="single"/>
        </w:rPr>
        <w:t>NOC</w:t>
      </w:r>
      <w:r>
        <w:tab/>
        <w:t>I/LVA/HOL/G/134/1</w:t>
      </w:r>
    </w:p>
    <w:p w:rsidR="007E381E" w:rsidRDefault="00827721" w:rsidP="007E381E">
      <w:pPr>
        <w:pStyle w:val="ResNo"/>
      </w:pPr>
      <w:bookmarkStart w:id="1" w:name="_Toc327956797"/>
      <w:r>
        <w:rPr>
          <w:rFonts w:hint="cs"/>
          <w:rtl/>
          <w:lang w:val="en-GB"/>
        </w:rPr>
        <w:t xml:space="preserve">القـرار </w:t>
      </w:r>
      <w:r w:rsidRPr="002625A2">
        <w:t>902</w:t>
      </w:r>
      <w:r>
        <w:t xml:space="preserve"> (WRC-03)</w:t>
      </w:r>
      <w:bookmarkEnd w:id="1"/>
    </w:p>
    <w:p w:rsidR="007E381E" w:rsidRDefault="00827721" w:rsidP="007E381E">
      <w:pPr>
        <w:pStyle w:val="Restitle"/>
      </w:pPr>
      <w:bookmarkStart w:id="2" w:name="_Toc327956798"/>
      <w:r>
        <w:rPr>
          <w:rFonts w:hint="cs"/>
          <w:rtl/>
        </w:rPr>
        <w:t>أحكام تنطبق على المحطات الأرضية المقامة على متن السفن المشغلة في شبكات</w:t>
      </w:r>
      <w:r>
        <w:rPr>
          <w:rFonts w:hint="cs"/>
          <w:rtl/>
        </w:rPr>
        <w:br/>
        <w:t xml:space="preserve">الخدمة الثابتة الساتلية </w:t>
      </w:r>
      <w:r w:rsidRPr="00AA101A">
        <w:rPr>
          <w:rFonts w:hint="cs"/>
          <w:rtl/>
        </w:rPr>
        <w:t>العاملة</w:t>
      </w:r>
      <w:r>
        <w:rPr>
          <w:rFonts w:hint="cs"/>
          <w:rtl/>
        </w:rPr>
        <w:t xml:space="preserve"> في نطاقي الوصلات الصاعدة</w:t>
      </w:r>
      <w:r>
        <w:rPr>
          <w:rtl/>
        </w:rPr>
        <w:br/>
      </w:r>
      <w:r>
        <w:t>MHz 6 425-5 925</w:t>
      </w:r>
      <w:r>
        <w:rPr>
          <w:rFonts w:hint="cs"/>
          <w:rtl/>
        </w:rPr>
        <w:t xml:space="preserve"> و</w:t>
      </w:r>
      <w:r>
        <w:t>GH</w:t>
      </w:r>
      <w:r>
        <w:t>z 14,5-14</w:t>
      </w:r>
      <w:bookmarkEnd w:id="2"/>
    </w:p>
    <w:p w:rsidR="00215B10" w:rsidRDefault="00215B10" w:rsidP="00215B10">
      <w:pPr>
        <w:pStyle w:val="Reasons"/>
        <w:rPr>
          <w:b w:val="0"/>
          <w:bCs w:val="0"/>
          <w:rtl/>
          <w:lang w:bidi="ar"/>
        </w:rPr>
      </w:pPr>
      <w:r>
        <w:rPr>
          <w:rtl/>
        </w:rPr>
        <w:t>الأسباب:</w:t>
      </w:r>
      <w:r>
        <w:tab/>
      </w:r>
      <w:r w:rsidRPr="003935E6">
        <w:rPr>
          <w:rFonts w:hint="cs"/>
          <w:b w:val="0"/>
          <w:bCs w:val="0"/>
          <w:rtl/>
          <w:lang w:bidi="ar"/>
        </w:rPr>
        <w:t xml:space="preserve">يمكن لأي </w:t>
      </w:r>
      <w:r w:rsidRPr="003935E6">
        <w:rPr>
          <w:b w:val="0"/>
          <w:bCs w:val="0"/>
          <w:rtl/>
          <w:lang w:bidi="ar"/>
        </w:rPr>
        <w:t xml:space="preserve">تقصير للمسافة بين </w:t>
      </w:r>
      <w:r>
        <w:rPr>
          <w:rFonts w:hint="cs"/>
          <w:b w:val="0"/>
          <w:bCs w:val="0"/>
          <w:rtl/>
          <w:lang w:bidi="ar"/>
        </w:rPr>
        <w:t>المحطات الأرضية المقامة على متن السفن</w:t>
      </w:r>
      <w:r w:rsidRPr="003935E6">
        <w:rPr>
          <w:b w:val="0"/>
          <w:bCs w:val="0"/>
          <w:rtl/>
          <w:lang w:bidi="ar"/>
        </w:rPr>
        <w:t xml:space="preserve"> </w:t>
      </w:r>
      <w:r>
        <w:rPr>
          <w:rFonts w:hint="cs"/>
          <w:b w:val="0"/>
          <w:bCs w:val="0"/>
          <w:rtl/>
          <w:lang w:bidi="ar"/>
        </w:rPr>
        <w:t xml:space="preserve">وعلامة الجزر </w:t>
      </w:r>
      <w:r w:rsidRPr="003935E6">
        <w:rPr>
          <w:rFonts w:hint="cs"/>
          <w:b w:val="0"/>
          <w:bCs w:val="0"/>
          <w:rtl/>
          <w:lang w:bidi="ar"/>
        </w:rPr>
        <w:t>أن يؤثر تأثيراً</w:t>
      </w:r>
      <w:r w:rsidRPr="003935E6">
        <w:rPr>
          <w:b w:val="0"/>
          <w:bCs w:val="0"/>
          <w:rtl/>
          <w:lang w:bidi="ar"/>
        </w:rPr>
        <w:t xml:space="preserve"> سلب</w:t>
      </w:r>
      <w:r w:rsidRPr="003935E6">
        <w:rPr>
          <w:rFonts w:hint="cs"/>
          <w:b w:val="0"/>
          <w:bCs w:val="0"/>
          <w:rtl/>
          <w:lang w:bidi="ar"/>
        </w:rPr>
        <w:t>ي</w:t>
      </w:r>
      <w:r w:rsidRPr="003935E6">
        <w:rPr>
          <w:b w:val="0"/>
          <w:bCs w:val="0"/>
          <w:rtl/>
          <w:lang w:bidi="ar"/>
        </w:rPr>
        <w:t xml:space="preserve">اً على نشر </w:t>
      </w:r>
      <w:r w:rsidRPr="003935E6">
        <w:rPr>
          <w:rFonts w:hint="cs"/>
          <w:b w:val="0"/>
          <w:bCs w:val="0"/>
          <w:rtl/>
          <w:lang w:bidi="ar"/>
        </w:rPr>
        <w:t>ال</w:t>
      </w:r>
      <w:r w:rsidRPr="003935E6">
        <w:rPr>
          <w:b w:val="0"/>
          <w:bCs w:val="0"/>
          <w:rtl/>
          <w:lang w:bidi="ar"/>
        </w:rPr>
        <w:t xml:space="preserve">خدمات </w:t>
      </w:r>
      <w:r w:rsidRPr="003935E6">
        <w:rPr>
          <w:rFonts w:hint="cs"/>
          <w:b w:val="0"/>
          <w:bCs w:val="0"/>
          <w:rtl/>
          <w:lang w:bidi="ar"/>
        </w:rPr>
        <w:t>الثابتة والمتنقلة للأرض</w:t>
      </w:r>
      <w:r w:rsidRPr="003935E6">
        <w:rPr>
          <w:b w:val="0"/>
          <w:bCs w:val="0"/>
          <w:rtl/>
          <w:lang w:bidi="ar"/>
        </w:rPr>
        <w:t>.</w:t>
      </w:r>
    </w:p>
    <w:p w:rsidR="000A04E9" w:rsidRDefault="00827721">
      <w:pPr>
        <w:pStyle w:val="Proposal"/>
      </w:pPr>
      <w:r>
        <w:t>SUP</w:t>
      </w:r>
      <w:r>
        <w:tab/>
        <w:t>I/LVA/HOL/G/134/2</w:t>
      </w:r>
    </w:p>
    <w:p w:rsidR="0090043D" w:rsidRPr="003175A3" w:rsidRDefault="00827721" w:rsidP="0090043D">
      <w:pPr>
        <w:pStyle w:val="ResNo"/>
        <w:rPr>
          <w:b/>
          <w:bCs/>
          <w:rtl/>
        </w:rPr>
      </w:pPr>
      <w:bookmarkStart w:id="3" w:name="_Toc327956809"/>
      <w:r w:rsidRPr="003175A3">
        <w:rPr>
          <w:rtl/>
        </w:rPr>
        <w:t xml:space="preserve">القـرار </w:t>
      </w:r>
      <w:r w:rsidRPr="0090043D">
        <w:t>909</w:t>
      </w:r>
      <w:r>
        <w:t> </w:t>
      </w:r>
      <w:r w:rsidRPr="003175A3">
        <w:t>(WRC-12)</w:t>
      </w:r>
      <w:bookmarkEnd w:id="3"/>
    </w:p>
    <w:p w:rsidR="0090043D" w:rsidRDefault="00827721" w:rsidP="0090043D">
      <w:pPr>
        <w:pStyle w:val="Restitle"/>
        <w:rPr>
          <w:rFonts w:hint="cs"/>
          <w:rtl/>
          <w:lang w:bidi="ar-EG"/>
        </w:rPr>
      </w:pPr>
      <w:bookmarkStart w:id="4" w:name="_Toc327956810"/>
      <w:r>
        <w:rPr>
          <w:rFonts w:hint="cs"/>
          <w:rtl/>
        </w:rPr>
        <w:t>أحكام متعلقة بالمحطات الأرضية المقامة على متن السفن</w:t>
      </w:r>
      <w:r>
        <w:rPr>
          <w:rFonts w:hint="cs"/>
          <w:rtl/>
        </w:rPr>
        <w:t xml:space="preserve"> </w:t>
      </w:r>
      <w:r>
        <w:rPr>
          <w:rtl/>
        </w:rPr>
        <w:br/>
      </w:r>
      <w:r>
        <w:rPr>
          <w:rFonts w:hint="cs"/>
          <w:rtl/>
        </w:rPr>
        <w:t xml:space="preserve">المشغلة في شبكات الخدمة الثابتة الساتلية في نطاقي </w:t>
      </w:r>
      <w:r>
        <w:rPr>
          <w:rtl/>
        </w:rPr>
        <w:br/>
      </w:r>
      <w:r>
        <w:rPr>
          <w:rFonts w:hint="cs"/>
          <w:rtl/>
        </w:rPr>
        <w:t>الوصلة</w:t>
      </w:r>
      <w:r>
        <w:rPr>
          <w:rFonts w:hint="eastAsia"/>
          <w:rtl/>
        </w:rPr>
        <w:t> </w:t>
      </w:r>
      <w:r>
        <w:rPr>
          <w:rFonts w:hint="cs"/>
          <w:rtl/>
        </w:rPr>
        <w:t>الصاعدة</w:t>
      </w:r>
      <w:r>
        <w:rPr>
          <w:rFonts w:hint="eastAsia"/>
          <w:rtl/>
        </w:rPr>
        <w:t> </w:t>
      </w:r>
      <w:r>
        <w:t>MHz 6 425</w:t>
      </w:r>
      <w:r>
        <w:sym w:font="Symbol" w:char="F02D"/>
      </w:r>
      <w:r>
        <w:t>5 925</w:t>
      </w:r>
      <w:r>
        <w:rPr>
          <w:rFonts w:hint="cs"/>
          <w:rtl/>
        </w:rPr>
        <w:t xml:space="preserve"> و</w:t>
      </w:r>
      <w:r>
        <w:t>GHz 14,5</w:t>
      </w:r>
      <w:r>
        <w:sym w:font="Symbol" w:char="F02D"/>
      </w:r>
      <w:r>
        <w:t>14</w:t>
      </w:r>
      <w:bookmarkStart w:id="5" w:name="_GoBack"/>
      <w:bookmarkEnd w:id="4"/>
      <w:bookmarkEnd w:id="5"/>
    </w:p>
    <w:p w:rsidR="00215B10" w:rsidRDefault="00215B10" w:rsidP="00215B10">
      <w:pPr>
        <w:pStyle w:val="Reasons"/>
        <w:rPr>
          <w:b w:val="0"/>
          <w:bCs w:val="0"/>
          <w:rtl/>
        </w:rPr>
      </w:pPr>
      <w:r>
        <w:rPr>
          <w:rtl/>
        </w:rPr>
        <w:t>الأسباب:</w:t>
      </w:r>
      <w:r>
        <w:tab/>
      </w:r>
      <w:r w:rsidRPr="00573D2F">
        <w:rPr>
          <w:rFonts w:hint="cs"/>
          <w:b w:val="0"/>
          <w:bCs w:val="0"/>
          <w:rtl/>
        </w:rPr>
        <w:t>لم يعد القرار</w:t>
      </w:r>
      <w:r>
        <w:rPr>
          <w:rFonts w:hint="cs"/>
          <w:b w:val="0"/>
          <w:bCs w:val="0"/>
          <w:rtl/>
        </w:rPr>
        <w:t xml:space="preserve"> </w:t>
      </w:r>
      <w:r w:rsidRPr="00444230">
        <w:rPr>
          <w:b w:val="0"/>
          <w:bCs w:val="0"/>
          <w:lang w:eastAsia="zh-CN"/>
        </w:rPr>
        <w:t>909 (WRC-12)</w:t>
      </w:r>
      <w:r w:rsidRPr="00573D2F">
        <w:rPr>
          <w:rFonts w:hint="cs"/>
          <w:b w:val="0"/>
          <w:bCs w:val="0"/>
          <w:rtl/>
        </w:rPr>
        <w:t xml:space="preserve"> مطلوباً.</w:t>
      </w:r>
    </w:p>
    <w:p w:rsidR="00215B10" w:rsidRPr="008C2469" w:rsidRDefault="00215B10" w:rsidP="00215B10">
      <w:pPr>
        <w:spacing w:before="600"/>
        <w:jc w:val="center"/>
        <w:rPr>
          <w:rtl/>
          <w:lang w:bidi="ar-EG"/>
        </w:rPr>
      </w:pPr>
      <w:r>
        <w:rPr>
          <w:rFonts w:hint="cs"/>
          <w:rtl/>
          <w:lang w:bidi="ar-EG"/>
        </w:rPr>
        <w:t>___________</w:t>
      </w:r>
    </w:p>
    <w:sectPr w:rsidR="00215B10" w:rsidRPr="008C2469">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0F5F53">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0F5F53">
      <w:rPr>
        <w:noProof/>
        <w:lang w:val="es-ES"/>
      </w:rPr>
      <w:t>P:\ARA\ITU-R\CONF-R\CMR15\100\134REV1A.docx</w:t>
    </w:r>
    <w:r w:rsidRPr="00CB4300">
      <w:fldChar w:fldCharType="end"/>
    </w:r>
    <w:r w:rsidRPr="00CB4300">
      <w:rPr>
        <w:lang w:val="es-ES"/>
      </w:rPr>
      <w:t xml:space="preserve">  (</w:t>
    </w:r>
    <w:r w:rsidR="000F5F53">
      <w:rPr>
        <w:lang w:val="es-ES"/>
      </w:rPr>
      <w:t>389796</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0F5F53">
      <w:rPr>
        <w:noProof/>
      </w:rPr>
      <w:t>06.11.15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0F5F53">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0F5F53">
    <w:pPr>
      <w:pStyle w:val="Footer"/>
      <w:rPr>
        <w:lang w:val="es-ES"/>
      </w:rPr>
    </w:pPr>
    <w:r>
      <w:fldChar w:fldCharType="begin"/>
    </w:r>
    <w:r w:rsidRPr="00CB4300">
      <w:rPr>
        <w:lang w:val="es-ES"/>
      </w:rPr>
      <w:instrText xml:space="preserve"> FILENAME \p \* MERGEFORMAT </w:instrText>
    </w:r>
    <w:r>
      <w:fldChar w:fldCharType="separate"/>
    </w:r>
    <w:r w:rsidR="000F5F53">
      <w:rPr>
        <w:noProof/>
        <w:lang w:val="es-ES"/>
      </w:rPr>
      <w:t>P:\ARA\ITU-R\CONF-R\CMR15\100\134REV1A.docx</w:t>
    </w:r>
    <w:r>
      <w:fldChar w:fldCharType="end"/>
    </w:r>
    <w:r w:rsidRPr="00CB4300">
      <w:rPr>
        <w:lang w:val="es-ES"/>
      </w:rPr>
      <w:t xml:space="preserve">   (</w:t>
    </w:r>
    <w:r w:rsidR="000F5F53">
      <w:rPr>
        <w:lang w:val="es-ES"/>
      </w:rPr>
      <w:t>389796</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0F5F53">
      <w:rPr>
        <w:noProof/>
      </w:rPr>
      <w:t>06.11.15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0F5F53">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27721">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134(Rev.1)-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04E9"/>
    <w:rsid w:val="000A1B16"/>
    <w:rsid w:val="000B5404"/>
    <w:rsid w:val="000D1708"/>
    <w:rsid w:val="000E2AFC"/>
    <w:rsid w:val="000E6D30"/>
    <w:rsid w:val="000F05F5"/>
    <w:rsid w:val="000F28EA"/>
    <w:rsid w:val="000F518F"/>
    <w:rsid w:val="000F5F53"/>
    <w:rsid w:val="0010081C"/>
    <w:rsid w:val="001013E3"/>
    <w:rsid w:val="0010363F"/>
    <w:rsid w:val="001464F2"/>
    <w:rsid w:val="001629EC"/>
    <w:rsid w:val="00167364"/>
    <w:rsid w:val="001903B2"/>
    <w:rsid w:val="001E190C"/>
    <w:rsid w:val="001E54F6"/>
    <w:rsid w:val="001E5A8C"/>
    <w:rsid w:val="00201A0A"/>
    <w:rsid w:val="002075D4"/>
    <w:rsid w:val="00211B2A"/>
    <w:rsid w:val="00215B10"/>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687"/>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27721"/>
    <w:rsid w:val="00830D96"/>
    <w:rsid w:val="00841A68"/>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15EEC"/>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8C8"/>
    <w:rsid w:val="00B81CB5"/>
    <w:rsid w:val="00B8351F"/>
    <w:rsid w:val="00B86C44"/>
    <w:rsid w:val="00B9727C"/>
    <w:rsid w:val="00BA610A"/>
    <w:rsid w:val="00BA7D44"/>
    <w:rsid w:val="00BD6EF3"/>
    <w:rsid w:val="00BE69C3"/>
    <w:rsid w:val="00C033A7"/>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1FC3"/>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95E25"/>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5AA204-CFFB-4CD8-85FD-9A34D460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R15-WRC15-C-0134!R1!MSW-A</DPM_x0020_File_x0020_name>
    <DPM_x0020_Author xmlns="32a1a8c5-2265-4ebc-b7a0-2071e2c5c9bb" xsi:nil="false">Documents Proposals Manager (DPM)</DPM_x0020_Author>
    <DPM_x0020_Version xmlns="32a1a8c5-2265-4ebc-b7a0-2071e2c5c9bb" xsi:nil="false">DPM_v5.2015.11.60_prod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248523CD-04B9-4A47-812B-A5FF9EA67818}">
  <ds:schemaRefs>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infopath/2007/PartnerControls"/>
    <ds:schemaRef ds:uri="32a1a8c5-2265-4ebc-b7a0-2071e2c5c9bb"/>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F889C6C6-8701-4EB9-B1A6-0BC88DE1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457</Words>
  <Characters>2475</Characters>
  <Application>Microsoft Office Word</Application>
  <DocSecurity>0</DocSecurity>
  <Lines>68</Lines>
  <Paragraphs>41</Paragraphs>
  <ScaleCrop>false</ScaleCrop>
  <HeadingPairs>
    <vt:vector size="2" baseType="variant">
      <vt:variant>
        <vt:lpstr>Title</vt:lpstr>
      </vt:variant>
      <vt:variant>
        <vt:i4>1</vt:i4>
      </vt:variant>
    </vt:vector>
  </HeadingPairs>
  <TitlesOfParts>
    <vt:vector size="1" baseType="lpstr">
      <vt:lpstr>R15-WRC15-C-0134!R1!MSW-A</vt:lpstr>
    </vt:vector>
  </TitlesOfParts>
  <Manager>General Secretariat - Pool</Manager>
  <Company>International Telecommunication Union (ITU)</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R15-WRC15-C-0134!R1!MSW-A</dc:title>
  <dc:creator>Documents Proposals Manager (DPM)</dc:creator>
  <cp:keywords>DPM_v5.2015.11.60_prod</cp:keywords>
  <cp:lastModifiedBy>Awad, Samy</cp:lastModifiedBy>
  <cp:revision>11</cp:revision>
  <cp:lastPrinted>2011-11-07T13:53:00Z</cp:lastPrinted>
  <dcterms:created xsi:type="dcterms:W3CDTF">2015-11-06T13:15:00Z</dcterms:created>
  <dcterms:modified xsi:type="dcterms:W3CDTF">2015-11-06T13:22:00Z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