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13C49" w:rsidTr="0050008E">
        <w:trPr>
          <w:cantSplit/>
        </w:trPr>
        <w:tc>
          <w:tcPr>
            <w:tcW w:w="6911" w:type="dxa"/>
          </w:tcPr>
          <w:p w:rsidR="0090121B" w:rsidRPr="00F13C49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13C4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F13C4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F13C4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F13C49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13C49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13C49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F13C49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F13C49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F13C49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F13C49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F13C49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F13C49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F13C49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F13C49" w:rsidRDefault="00AE658F" w:rsidP="00956A58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F13C49">
              <w:rPr>
                <w:lang w:val="es-ES_tradnl"/>
              </w:rPr>
              <w:t>C</w:t>
            </w:r>
            <w:r w:rsidR="00956A58" w:rsidRPr="00F13C49">
              <w:rPr>
                <w:lang w:val="es-ES_tradnl"/>
              </w:rPr>
              <w:t>OMISIÓN</w:t>
            </w:r>
            <w:r w:rsidRPr="00F13C49">
              <w:rPr>
                <w:lang w:val="es-ES_tradnl"/>
              </w:rPr>
              <w:t xml:space="preserve"> 5</w:t>
            </w:r>
          </w:p>
        </w:tc>
        <w:tc>
          <w:tcPr>
            <w:tcW w:w="3120" w:type="dxa"/>
            <w:shd w:val="clear" w:color="auto" w:fill="auto"/>
          </w:tcPr>
          <w:p w:rsidR="0090121B" w:rsidRPr="00F13C49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F13C49">
              <w:rPr>
                <w:rFonts w:ascii="Verdana" w:eastAsia="SimSun" w:hAnsi="Verdana" w:cs="Traditional Arabic"/>
                <w:b/>
                <w:sz w:val="20"/>
              </w:rPr>
              <w:t>Revisión 1 al</w:t>
            </w:r>
            <w:r w:rsidRPr="00F13C49">
              <w:rPr>
                <w:rFonts w:ascii="Verdana" w:eastAsia="SimSun" w:hAnsi="Verdana" w:cs="Traditional Arabic"/>
                <w:b/>
                <w:sz w:val="20"/>
              </w:rPr>
              <w:br/>
              <w:t>Documento 134</w:t>
            </w:r>
            <w:r w:rsidR="0090121B" w:rsidRPr="00F13C49">
              <w:rPr>
                <w:rFonts w:ascii="Verdana" w:hAnsi="Verdana"/>
                <w:b/>
                <w:sz w:val="20"/>
              </w:rPr>
              <w:t>-</w:t>
            </w:r>
            <w:r w:rsidRPr="00F13C49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F13C49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F13C4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F13C49" w:rsidRDefault="00FF6039" w:rsidP="00FF6039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</w:t>
            </w:r>
            <w:r w:rsidR="000A5B9A" w:rsidRPr="00F13C49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noviembre</w:t>
            </w:r>
            <w:r w:rsidR="000A5B9A" w:rsidRPr="00F13C49">
              <w:rPr>
                <w:rFonts w:ascii="Verdana" w:hAnsi="Verdana"/>
                <w:b/>
                <w:sz w:val="20"/>
              </w:rPr>
              <w:t xml:space="preserve"> de 2015</w:t>
            </w:r>
          </w:p>
        </w:tc>
      </w:tr>
      <w:tr w:rsidR="000A5B9A" w:rsidRPr="00F13C49" w:rsidTr="0090121B">
        <w:trPr>
          <w:cantSplit/>
        </w:trPr>
        <w:tc>
          <w:tcPr>
            <w:tcW w:w="6911" w:type="dxa"/>
          </w:tcPr>
          <w:p w:rsidR="000A5B9A" w:rsidRPr="00F13C49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F13C4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13C4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F13C49" w:rsidTr="006744FC">
        <w:trPr>
          <w:cantSplit/>
        </w:trPr>
        <w:tc>
          <w:tcPr>
            <w:tcW w:w="10031" w:type="dxa"/>
            <w:gridSpan w:val="2"/>
          </w:tcPr>
          <w:p w:rsidR="000A5B9A" w:rsidRPr="00F13C49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F13C49" w:rsidTr="0050008E">
        <w:trPr>
          <w:cantSplit/>
        </w:trPr>
        <w:tc>
          <w:tcPr>
            <w:tcW w:w="10031" w:type="dxa"/>
            <w:gridSpan w:val="2"/>
          </w:tcPr>
          <w:p w:rsidR="000A5B9A" w:rsidRPr="00F13C49" w:rsidRDefault="000A5B9A" w:rsidP="000A5B9A">
            <w:pPr>
              <w:pStyle w:val="Source"/>
            </w:pPr>
            <w:bookmarkStart w:id="2" w:name="dsource" w:colFirst="0" w:colLast="0"/>
            <w:r w:rsidRPr="00F13C49">
              <w:t>Italia/Letonia (República de)/Países Bajos (Reino de los)/Reino Unido de Gran Bretaña e Irlanda del Norte</w:t>
            </w:r>
          </w:p>
        </w:tc>
      </w:tr>
      <w:tr w:rsidR="000A5B9A" w:rsidRPr="00F13C49" w:rsidTr="0050008E">
        <w:trPr>
          <w:cantSplit/>
        </w:trPr>
        <w:tc>
          <w:tcPr>
            <w:tcW w:w="10031" w:type="dxa"/>
            <w:gridSpan w:val="2"/>
          </w:tcPr>
          <w:p w:rsidR="000A5B9A" w:rsidRPr="00F13C49" w:rsidRDefault="00956A58" w:rsidP="000A5B9A">
            <w:pPr>
              <w:pStyle w:val="Title1"/>
            </w:pPr>
            <w:bookmarkStart w:id="3" w:name="dtitle1" w:colFirst="0" w:colLast="0"/>
            <w:bookmarkEnd w:id="2"/>
            <w:r w:rsidRPr="00F13C49">
              <w:t>PROPUESTAS PARA LOS TRABAJOS DE LA CONFERENCIA</w:t>
            </w:r>
          </w:p>
        </w:tc>
      </w:tr>
      <w:tr w:rsidR="000A5B9A" w:rsidRPr="00F13C49" w:rsidTr="0050008E">
        <w:trPr>
          <w:cantSplit/>
        </w:trPr>
        <w:tc>
          <w:tcPr>
            <w:tcW w:w="10031" w:type="dxa"/>
            <w:gridSpan w:val="2"/>
          </w:tcPr>
          <w:p w:rsidR="000A5B9A" w:rsidRPr="00F13C49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F13C49" w:rsidTr="0050008E">
        <w:trPr>
          <w:cantSplit/>
        </w:trPr>
        <w:tc>
          <w:tcPr>
            <w:tcW w:w="10031" w:type="dxa"/>
            <w:gridSpan w:val="2"/>
          </w:tcPr>
          <w:p w:rsidR="000A5B9A" w:rsidRPr="00F13C49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F13C49">
              <w:t>Punto 1.8 del orden del día</w:t>
            </w:r>
          </w:p>
        </w:tc>
      </w:tr>
    </w:tbl>
    <w:bookmarkEnd w:id="5"/>
    <w:p w:rsidR="001C0E40" w:rsidRPr="00F13C49" w:rsidRDefault="00C07AD2" w:rsidP="0025081F">
      <w:r w:rsidRPr="00F13C49">
        <w:t>1.8</w:t>
      </w:r>
      <w:r w:rsidRPr="00F13C49">
        <w:tab/>
        <w:t xml:space="preserve">examinar las disposiciones relativas a las estaciones terrenas situadas a bordo de barcos (ETB), basándose en los estudios realizados de conformidad con la Resolución </w:t>
      </w:r>
      <w:r w:rsidRPr="00F13C49">
        <w:rPr>
          <w:b/>
          <w:bCs/>
        </w:rPr>
        <w:t>909 (CMR-12)</w:t>
      </w:r>
      <w:r w:rsidRPr="00F13C49">
        <w:t>;</w:t>
      </w:r>
    </w:p>
    <w:p w:rsidR="00C56747" w:rsidRDefault="00C56747" w:rsidP="00C56747"/>
    <w:p w:rsidR="00956A58" w:rsidRPr="00F13C49" w:rsidRDefault="00956A58" w:rsidP="00956A58">
      <w:pPr>
        <w:pStyle w:val="Headingb"/>
      </w:pPr>
      <w:r w:rsidRPr="00F13C49">
        <w:t>Introducción</w:t>
      </w:r>
    </w:p>
    <w:p w:rsidR="00956A58" w:rsidRPr="00F13C49" w:rsidRDefault="00956A58" w:rsidP="00956A58">
      <w:pPr>
        <w:rPr>
          <w:rFonts w:eastAsia="SimSun"/>
          <w:lang w:eastAsia="zh-CN"/>
        </w:rPr>
      </w:pPr>
      <w:r w:rsidRPr="00F13C49">
        <w:rPr>
          <w:rFonts w:eastAsia="Calibri"/>
        </w:rPr>
        <w:t>La CMR-03 acordó la Resolución 902 (CMR-03) para la utilización de ETB en las bandas de 5 925</w:t>
      </w:r>
      <w:r w:rsidRPr="00F13C49">
        <w:rPr>
          <w:rFonts w:eastAsia="Calibri"/>
        </w:rPr>
        <w:noBreakHyphen/>
        <w:t>6 425 MHz y 14-14,5 GHz, que comprende disposiciones para proteger servicios terrenales en las mismas bandas. La CMR-12 estableció el punto 1.8 del orden del día con miras a determinar si se podía revisar la Resolución 902 (CMR-03) sobre la base de información actualizada sobre tecnologías y características técnicas de las ETB, teniendo en cuenta las necesidades actuales y futuras de otros servicios existentes en esas bandas.</w:t>
      </w:r>
    </w:p>
    <w:p w:rsidR="00956A58" w:rsidRPr="00F13C49" w:rsidRDefault="00956A58" w:rsidP="00956A58">
      <w:pPr>
        <w:pStyle w:val="Headingb"/>
      </w:pPr>
      <w:r w:rsidRPr="00F13C49">
        <w:t>Consideraciones generales y propuestas</w:t>
      </w:r>
    </w:p>
    <w:p w:rsidR="00956A58" w:rsidRPr="00F13C49" w:rsidRDefault="00956A58" w:rsidP="00956A58">
      <w:r w:rsidRPr="00F13C49">
        <w:rPr>
          <w:rFonts w:eastAsia="Calibri"/>
        </w:rPr>
        <w:t>Esas administraciones han examinado los estudios realizados por el UIT-R en el marco de este punto del orden del día, resumidos en el informe de la RPC a la CMR-15. Como lo señala la RPC en su Informe a la CMR-15, y los Grupos de Trabajo 4A y 5C del UIT-R en los cuales se examinaron esos estudios técnicos, quedan varias cuestiones pendientes que no se han abordado, en particular en los Métodos C y D del Informe de la RPC a la CMR-15. Se trata, entre otras cosas, de la protección de servicios terrenales en plataformas marinas (por ejemplo, plataformas petrolíferas y de extracción de gas a varios centenares de kilómetros mar adentro), y de cómo se podría implementar y aplicar en la práctica un nuevo planteamiento propuesto de múltiples distancias mínimas con respecto a la marca de bajamar</w:t>
      </w:r>
      <w:r w:rsidRPr="00F13C49">
        <w:t>.</w:t>
      </w:r>
    </w:p>
    <w:p w:rsidR="00956A58" w:rsidRPr="00F13C49" w:rsidRDefault="00956A58" w:rsidP="00956A58">
      <w:pPr>
        <w:rPr>
          <w:rFonts w:eastAsia="Calibri"/>
        </w:rPr>
      </w:pPr>
      <w:r w:rsidRPr="00F13C49">
        <w:t xml:space="preserve">Esas administraciones señalan además que los cambios propuestos en los Métodos C y D del Informe de la RPC a la CMR-15 (es decir, distancias de protección reducidas con respecto a la marca de bajamar), aumentarían considerablemente el riesgo potencial de interferencia perjudicial a servicios terrenales en plataformas marinas, que no se tienen en cuenta en esos dos métodos. Según esos dos métodos, se permitiría que ETB se aproximaran mucho a estaciones terrenales en </w:t>
      </w:r>
      <w:r w:rsidRPr="00F13C49">
        <w:lastRenderedPageBreak/>
        <w:t>plataformas marinas sin ninguna reglamentación adecuada y, en esas circunstancias, los servicios terrenales podrían experimentar altos niveles de interferencia perjudicial</w:t>
      </w:r>
      <w:r w:rsidRPr="00F13C49">
        <w:rPr>
          <w:rFonts w:eastAsia="Calibri"/>
        </w:rPr>
        <w:t>.</w:t>
      </w:r>
    </w:p>
    <w:p w:rsidR="00956A58" w:rsidRPr="00F13C49" w:rsidRDefault="00956A58" w:rsidP="00956A5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</w:rPr>
      </w:pPr>
      <w:r w:rsidRPr="00F13C49">
        <w:rPr>
          <w:rFonts w:eastAsia="Calibri"/>
        </w:rPr>
        <w:t>Habida cuenta de que estos asuntos no se tratan de manera adecuada, esas administraciones proponen que no se cambie la Resolución 902 (CMR-03) y que se suprima la Resolución 909 (CMR-12).</w:t>
      </w:r>
    </w:p>
    <w:p w:rsidR="00956A58" w:rsidRPr="00F13C49" w:rsidRDefault="00956A58" w:rsidP="00956A58">
      <w:pPr>
        <w:pStyle w:val="Headingb"/>
        <w:rPr>
          <w:rFonts w:eastAsia="Calibri"/>
        </w:rPr>
      </w:pPr>
      <w:r w:rsidRPr="00F13C49">
        <w:rPr>
          <w:rFonts w:eastAsia="Calibri"/>
        </w:rPr>
        <w:t>Propuestas</w:t>
      </w:r>
    </w:p>
    <w:p w:rsidR="00A90F11" w:rsidRPr="00697F8E" w:rsidRDefault="00C07AD2">
      <w:pPr>
        <w:pStyle w:val="Proposal"/>
        <w:rPr>
          <w:lang w:val="en-GB"/>
        </w:rPr>
      </w:pPr>
      <w:r w:rsidRPr="00697F8E">
        <w:rPr>
          <w:u w:val="single"/>
          <w:lang w:val="en-GB"/>
        </w:rPr>
        <w:t>NOC</w:t>
      </w:r>
      <w:r w:rsidRPr="00697F8E">
        <w:rPr>
          <w:lang w:val="en-GB"/>
        </w:rPr>
        <w:tab/>
        <w:t>I/LVA/HOL/G/134/1</w:t>
      </w:r>
    </w:p>
    <w:p w:rsidR="00DA115E" w:rsidRPr="00F13C49" w:rsidRDefault="00C07AD2" w:rsidP="0091747C">
      <w:pPr>
        <w:pStyle w:val="ResNo"/>
      </w:pPr>
      <w:r w:rsidRPr="00F13C49">
        <w:t xml:space="preserve">RESOLUCIÓN </w:t>
      </w:r>
      <w:r w:rsidRPr="00F13C49">
        <w:rPr>
          <w:rStyle w:val="href"/>
        </w:rPr>
        <w:t>902</w:t>
      </w:r>
      <w:r w:rsidRPr="00F13C49">
        <w:t xml:space="preserve"> (CMR-03)</w:t>
      </w:r>
    </w:p>
    <w:p w:rsidR="00DA115E" w:rsidRPr="00F13C49" w:rsidRDefault="00C07AD2" w:rsidP="00DA115E">
      <w:pPr>
        <w:pStyle w:val="Restitle"/>
        <w:rPr>
          <w:lang w:eastAsia="fr-FR"/>
        </w:rPr>
      </w:pPr>
      <w:r w:rsidRPr="00F13C49">
        <w:t>Disposiciones relativas a estaciones terrenas a bordo de barcos que</w:t>
      </w:r>
      <w:r w:rsidRPr="00F13C49">
        <w:br/>
        <w:t>funcionan en las redes del servicio fijo por satélite en las bandas</w:t>
      </w:r>
      <w:r w:rsidRPr="00F13C49">
        <w:br/>
        <w:t>del enlace ascendente 5</w:t>
      </w:r>
      <w:r w:rsidRPr="00F13C49">
        <w:rPr>
          <w:rFonts w:ascii="Tms Rmn" w:hAnsi="Tms Rmn"/>
          <w:sz w:val="12"/>
        </w:rPr>
        <w:t> </w:t>
      </w:r>
      <w:r w:rsidRPr="00F13C49">
        <w:t>925-6</w:t>
      </w:r>
      <w:r w:rsidRPr="00F13C49">
        <w:rPr>
          <w:rFonts w:ascii="Tms Rmn" w:hAnsi="Tms Rmn"/>
          <w:sz w:val="12"/>
        </w:rPr>
        <w:t> </w:t>
      </w:r>
      <w:r w:rsidRPr="00F13C49">
        <w:t>425 MHz y 14-14,5 GHz</w:t>
      </w:r>
    </w:p>
    <w:p w:rsidR="00A90F11" w:rsidRPr="00F13C49" w:rsidRDefault="00C07AD2">
      <w:pPr>
        <w:pStyle w:val="Reasons"/>
      </w:pPr>
      <w:r w:rsidRPr="00F13C49">
        <w:rPr>
          <w:b/>
        </w:rPr>
        <w:t>Motivos:</w:t>
      </w:r>
      <w:r w:rsidRPr="00F13C49">
        <w:tab/>
      </w:r>
      <w:r w:rsidR="00956A58" w:rsidRPr="00F13C49">
        <w:t>Es probable que la reducción de la distancia de protección entre ETB y la marca de bajamar afecte negativamente a la implantación de servicios terrenales fijos y móviles.</w:t>
      </w:r>
    </w:p>
    <w:p w:rsidR="00A90F11" w:rsidRPr="00C56747" w:rsidRDefault="00C07AD2">
      <w:pPr>
        <w:pStyle w:val="Proposal"/>
        <w:rPr>
          <w:lang w:val="en-GB"/>
        </w:rPr>
      </w:pPr>
      <w:r w:rsidRPr="00C56747">
        <w:rPr>
          <w:lang w:val="en-GB"/>
        </w:rPr>
        <w:t>SUP</w:t>
      </w:r>
      <w:r w:rsidRPr="00C56747">
        <w:rPr>
          <w:lang w:val="en-GB"/>
        </w:rPr>
        <w:tab/>
        <w:t>I/LVA/HOL/G/134/2</w:t>
      </w:r>
    </w:p>
    <w:p w:rsidR="00E622F1" w:rsidRPr="00F13C49" w:rsidRDefault="00C07AD2" w:rsidP="00E622F1">
      <w:pPr>
        <w:pStyle w:val="ResNo"/>
      </w:pPr>
      <w:bookmarkStart w:id="6" w:name="_Toc328141515"/>
      <w:r w:rsidRPr="00F13C49">
        <w:rPr>
          <w:caps w:val="0"/>
        </w:rPr>
        <w:t xml:space="preserve">RESOLUCIÓN </w:t>
      </w:r>
      <w:r w:rsidRPr="00F13C49">
        <w:rPr>
          <w:rStyle w:val="href"/>
        </w:rPr>
        <w:t>909</w:t>
      </w:r>
      <w:r w:rsidRPr="00F13C49">
        <w:rPr>
          <w:caps w:val="0"/>
        </w:rPr>
        <w:t xml:space="preserve"> (CMR-12)</w:t>
      </w:r>
      <w:bookmarkEnd w:id="6"/>
    </w:p>
    <w:p w:rsidR="00E622F1" w:rsidRPr="00F13C49" w:rsidRDefault="00C07AD2" w:rsidP="00E622F1">
      <w:pPr>
        <w:pStyle w:val="Restitle"/>
      </w:pPr>
      <w:bookmarkStart w:id="7" w:name="_Toc328141516"/>
      <w:r w:rsidRPr="00F13C49">
        <w:t xml:space="preserve">Disposiciones relativas a estaciones terrenas a bordo de barcos </w:t>
      </w:r>
      <w:r w:rsidRPr="00F13C49">
        <w:br/>
        <w:t>que funcionan en las redes del servicio fijo por satélite en las bandas</w:t>
      </w:r>
      <w:r w:rsidRPr="00F13C49">
        <w:br/>
        <w:t>de enlace ascendente 5 925-6 425 MHz y 14-14,5 GHz</w:t>
      </w:r>
      <w:bookmarkEnd w:id="7"/>
    </w:p>
    <w:p w:rsidR="00A90F11" w:rsidRPr="00F13C49" w:rsidRDefault="00C07AD2">
      <w:pPr>
        <w:pStyle w:val="Reasons"/>
        <w:rPr>
          <w:lang w:eastAsia="zh-CN"/>
        </w:rPr>
      </w:pPr>
      <w:r w:rsidRPr="00F13C49">
        <w:rPr>
          <w:b/>
        </w:rPr>
        <w:t>Motivos:</w:t>
      </w:r>
      <w:r w:rsidRPr="00F13C49">
        <w:tab/>
      </w:r>
      <w:r w:rsidR="00956A58" w:rsidRPr="00F13C49">
        <w:t>La Resolución 909 (CMR-12) ya no es necesaria</w:t>
      </w:r>
      <w:r w:rsidR="00956A58" w:rsidRPr="00F13C49">
        <w:rPr>
          <w:lang w:eastAsia="zh-CN"/>
        </w:rPr>
        <w:t>.</w:t>
      </w:r>
    </w:p>
    <w:p w:rsidR="00956A58" w:rsidRPr="00F13C49" w:rsidRDefault="00956A58" w:rsidP="0032202E">
      <w:pPr>
        <w:pStyle w:val="Reasons"/>
      </w:pPr>
      <w:bookmarkStart w:id="8" w:name="_GoBack"/>
      <w:bookmarkEnd w:id="8"/>
    </w:p>
    <w:p w:rsidR="00956A58" w:rsidRPr="00F13C49" w:rsidRDefault="00956A58">
      <w:pPr>
        <w:jc w:val="center"/>
      </w:pPr>
      <w:r w:rsidRPr="00F13C49">
        <w:t>______________</w:t>
      </w:r>
    </w:p>
    <w:sectPr w:rsidR="00956A58" w:rsidRPr="00F13C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95" w:rsidRDefault="004B3095">
      <w:r>
        <w:separator/>
      </w:r>
    </w:p>
  </w:endnote>
  <w:endnote w:type="continuationSeparator" w:id="0">
    <w:p w:rsidR="004B3095" w:rsidRDefault="004B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A2900">
      <w:rPr>
        <w:noProof/>
        <w:lang w:val="en-US"/>
      </w:rPr>
      <w:t>P:\ESP\ITU-R\CONF-R\CMR15\100\134REV1S.docx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2900">
      <w:rPr>
        <w:noProof/>
      </w:rPr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2900">
      <w:rPr>
        <w:noProof/>
      </w:rPr>
      <w:t>06.11.15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7A3FFD" w:rsidRDefault="007A3FFD" w:rsidP="007A3FF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A2900">
      <w:rPr>
        <w:lang w:val="en-US"/>
      </w:rPr>
      <w:t>P:\ESP\ITU-R\CONF-R\CMR15\100\134REV1S.docx</w:t>
    </w:r>
    <w:r>
      <w:fldChar w:fldCharType="end"/>
    </w:r>
    <w:r w:rsidRPr="007A3FFD">
      <w:rPr>
        <w:lang w:val="en-US"/>
      </w:rPr>
      <w:t xml:space="preserve"> (</w:t>
    </w:r>
    <w:r>
      <w:rPr>
        <w:lang w:val="en-US"/>
      </w:rPr>
      <w:t>389796</w:t>
    </w:r>
    <w:r w:rsidRPr="007A3FFD"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2900"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2900">
      <w:t>06.11.15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A2900">
      <w:rPr>
        <w:lang w:val="en-US"/>
      </w:rPr>
      <w:t>P:\ESP\ITU-R\CONF-R\CMR15\100\134REV1S.docx</w:t>
    </w:r>
    <w:r>
      <w:fldChar w:fldCharType="end"/>
    </w:r>
    <w:r w:rsidR="007A3FFD" w:rsidRPr="007A3FFD">
      <w:rPr>
        <w:lang w:val="en-US"/>
      </w:rPr>
      <w:t xml:space="preserve"> (</w:t>
    </w:r>
    <w:r w:rsidR="007A3FFD">
      <w:rPr>
        <w:lang w:val="en-US"/>
      </w:rPr>
      <w:t>389796</w:t>
    </w:r>
    <w:r w:rsidR="007A3FFD" w:rsidRPr="007A3FFD"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A2900"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2900">
      <w:t>06.11.15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95" w:rsidRDefault="004B3095">
      <w:r>
        <w:rPr>
          <w:b/>
        </w:rPr>
        <w:t>_______________</w:t>
      </w:r>
    </w:p>
  </w:footnote>
  <w:footnote w:type="continuationSeparator" w:id="0">
    <w:p w:rsidR="004B3095" w:rsidRDefault="004B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AD2" w:rsidRDefault="00C07A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290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134(Rev.1)-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AD2" w:rsidRDefault="00C07A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A2900"/>
    <w:rsid w:val="004B124A"/>
    <w:rsid w:val="004B3095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97F8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A3FFD"/>
    <w:rsid w:val="007C0B95"/>
    <w:rsid w:val="007C2317"/>
    <w:rsid w:val="007D330A"/>
    <w:rsid w:val="00866AE6"/>
    <w:rsid w:val="008750A8"/>
    <w:rsid w:val="008E5AF2"/>
    <w:rsid w:val="0090121B"/>
    <w:rsid w:val="009144C9"/>
    <w:rsid w:val="0091747C"/>
    <w:rsid w:val="0094091F"/>
    <w:rsid w:val="00956A58"/>
    <w:rsid w:val="00973754"/>
    <w:rsid w:val="009923F2"/>
    <w:rsid w:val="009C0BED"/>
    <w:rsid w:val="009E11EC"/>
    <w:rsid w:val="00A118DB"/>
    <w:rsid w:val="00A4450C"/>
    <w:rsid w:val="00A90F11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07AD2"/>
    <w:rsid w:val="00C126C4"/>
    <w:rsid w:val="00C56747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77F0"/>
    <w:rsid w:val="00F13C49"/>
    <w:rsid w:val="00F66597"/>
    <w:rsid w:val="00F675D0"/>
    <w:rsid w:val="00F8150C"/>
    <w:rsid w:val="00FE13CE"/>
    <w:rsid w:val="00FE457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71808DB-CE75-48C2-B770-0106AC8B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R15-WRC15-C-0134!R1!MSW-S</DPM_x0020_File_x0020_name>
    <DPM_x0020_Author xmlns="32a1a8c5-2265-4ebc-b7a0-2071e2c5c9bb" xsi:nil="false">Documents Proposals Manager (DPM)</DPM_x0020_Author>
    <DPM_x0020_Version xmlns="32a1a8c5-2265-4ebc-b7a0-2071e2c5c9bb" xsi:nil="false">DPM_v5.2015.11.60_prod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E49C-5611-46A8-B924-48E077B43A69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996b2e75-67fd-4955-a3b0-5ab9934cb50b"/>
    <ds:schemaRef ds:uri="http://www.w3.org/XML/1998/namespace"/>
    <ds:schemaRef ds:uri="http://purl.org/dc/dcmitype/"/>
    <ds:schemaRef ds:uri="http://schemas.microsoft.com/office/2006/documentManagement/types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89EC25-D5BE-43B8-BD22-E4C8B163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2958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R15-WRC15-C-0134!R1!MSW-S</vt:lpstr>
    </vt:vector>
  </TitlesOfParts>
  <Manager>Secretaría General - Pool</Manager>
  <Company>Unión Internacional de Telecomunicaciones (UIT)</Company>
  <LinksUpToDate>false</LinksUpToDate>
  <CharactersWithSpaces>3486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R15-WRC15-C-0134!R1!MSW-S</dc:title>
  <dc:subject>Conferencia Mundial de Radiocomunicaciones - 2015</dc:subject>
  <dc:creator>Documents Proposals Manager (DPM)</dc:creator>
  <cp:keywords>DPM_v5.2015.11.60_prod</cp:keywords>
  <dc:description/>
  <cp:lastModifiedBy>Spanish</cp:lastModifiedBy>
  <cp:revision>6</cp:revision>
  <cp:lastPrinted>2015-11-06T14:14:00Z</cp:lastPrinted>
  <dcterms:created xsi:type="dcterms:W3CDTF">2015-11-06T13:27:00Z</dcterms:created>
  <dcterms:modified xsi:type="dcterms:W3CDTF">2015-11-06T14:15:00Z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