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D0678" w:rsidRPr="00353639">
        <w:trPr>
          <w:cantSplit/>
        </w:trPr>
        <w:tc>
          <w:tcPr>
            <w:tcW w:w="6911" w:type="dxa"/>
          </w:tcPr>
          <w:p w:rsidR="00ED0678" w:rsidRPr="00353639" w:rsidRDefault="00ED0678" w:rsidP="00C63535">
            <w:pPr>
              <w:spacing w:before="400" w:after="48" w:line="240" w:lineRule="atLeast"/>
              <w:rPr>
                <w:rFonts w:ascii="Verdana" w:hAnsi="Verdana"/>
                <w:position w:val="6"/>
              </w:rPr>
            </w:pPr>
            <w:bookmarkStart w:id="0" w:name="_GoBack"/>
            <w:bookmarkEnd w:id="0"/>
            <w:r w:rsidRPr="00353639">
              <w:rPr>
                <w:rFonts w:ascii="Verdana" w:hAnsi="Verdana" w:cs="Times"/>
                <w:b/>
                <w:position w:val="6"/>
                <w:sz w:val="22"/>
                <w:szCs w:val="22"/>
              </w:rPr>
              <w:t>World Radiocommunication Conference (WRC-15)</w:t>
            </w:r>
            <w:r w:rsidRPr="00353639">
              <w:rPr>
                <w:rFonts w:ascii="Verdana" w:hAnsi="Verdana" w:cs="Times"/>
                <w:b/>
                <w:position w:val="6"/>
                <w:sz w:val="26"/>
                <w:szCs w:val="26"/>
              </w:rPr>
              <w:br/>
            </w:r>
            <w:r w:rsidRPr="00353639">
              <w:rPr>
                <w:rFonts w:ascii="Verdana" w:hAnsi="Verdana"/>
                <w:b/>
                <w:bCs/>
                <w:position w:val="6"/>
                <w:sz w:val="18"/>
                <w:szCs w:val="18"/>
              </w:rPr>
              <w:t>Geneva, 2-27 November 2015</w:t>
            </w:r>
          </w:p>
        </w:tc>
        <w:tc>
          <w:tcPr>
            <w:tcW w:w="3120" w:type="dxa"/>
          </w:tcPr>
          <w:p w:rsidR="00ED0678" w:rsidRPr="00353639" w:rsidRDefault="00ED0678" w:rsidP="00ED0678">
            <w:pPr>
              <w:spacing w:before="0" w:line="240" w:lineRule="atLeast"/>
            </w:pPr>
            <w:bookmarkStart w:id="1" w:name="ditulogo"/>
            <w:bookmarkEnd w:id="1"/>
            <w:r w:rsidRPr="00353639">
              <w:rPr>
                <w:noProof/>
                <w:lang w:eastAsia="zh-CN"/>
              </w:rPr>
              <w:drawing>
                <wp:inline distT="0" distB="0" distL="0" distR="0" wp14:anchorId="113622FA" wp14:editId="64E880D9">
                  <wp:extent cx="176212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D0678" w:rsidRPr="00353639">
        <w:trPr>
          <w:cantSplit/>
        </w:trPr>
        <w:tc>
          <w:tcPr>
            <w:tcW w:w="6911" w:type="dxa"/>
            <w:tcBorders>
              <w:bottom w:val="single" w:sz="12" w:space="0" w:color="auto"/>
            </w:tcBorders>
          </w:tcPr>
          <w:p w:rsidR="00ED0678" w:rsidRPr="00353639" w:rsidRDefault="00ED0678" w:rsidP="00ED0678">
            <w:pPr>
              <w:spacing w:before="0" w:after="48" w:line="240" w:lineRule="atLeast"/>
              <w:rPr>
                <w:b/>
                <w:smallCaps/>
                <w:szCs w:val="24"/>
              </w:rPr>
            </w:pPr>
            <w:bookmarkStart w:id="2" w:name="dhead"/>
          </w:p>
        </w:tc>
        <w:tc>
          <w:tcPr>
            <w:tcW w:w="3120" w:type="dxa"/>
            <w:tcBorders>
              <w:bottom w:val="single" w:sz="12" w:space="0" w:color="auto"/>
            </w:tcBorders>
          </w:tcPr>
          <w:p w:rsidR="00ED0678" w:rsidRPr="00353639" w:rsidRDefault="00ED0678" w:rsidP="00ED0678">
            <w:pPr>
              <w:spacing w:before="0" w:line="240" w:lineRule="atLeast"/>
              <w:rPr>
                <w:rFonts w:ascii="Verdana" w:hAnsi="Verdana"/>
                <w:szCs w:val="24"/>
              </w:rPr>
            </w:pPr>
          </w:p>
        </w:tc>
      </w:tr>
      <w:tr w:rsidR="00ED0678" w:rsidRPr="00353639">
        <w:trPr>
          <w:cantSplit/>
        </w:trPr>
        <w:tc>
          <w:tcPr>
            <w:tcW w:w="6911" w:type="dxa"/>
            <w:tcBorders>
              <w:top w:val="single" w:sz="12" w:space="0" w:color="auto"/>
            </w:tcBorders>
          </w:tcPr>
          <w:p w:rsidR="00ED0678" w:rsidRPr="00353639" w:rsidRDefault="00ED0678" w:rsidP="00ED0678">
            <w:pPr>
              <w:spacing w:before="0" w:after="48" w:line="240" w:lineRule="atLeast"/>
              <w:rPr>
                <w:rFonts w:ascii="Verdana" w:hAnsi="Verdana"/>
                <w:b/>
                <w:smallCaps/>
                <w:sz w:val="20"/>
              </w:rPr>
            </w:pPr>
          </w:p>
        </w:tc>
        <w:tc>
          <w:tcPr>
            <w:tcW w:w="3120" w:type="dxa"/>
            <w:tcBorders>
              <w:top w:val="single" w:sz="12" w:space="0" w:color="auto"/>
            </w:tcBorders>
          </w:tcPr>
          <w:p w:rsidR="00ED0678" w:rsidRPr="00353639" w:rsidRDefault="00ED0678" w:rsidP="00ED0678">
            <w:pPr>
              <w:spacing w:before="0" w:line="240" w:lineRule="atLeast"/>
              <w:rPr>
                <w:rFonts w:ascii="Verdana" w:hAnsi="Verdana"/>
                <w:sz w:val="20"/>
              </w:rPr>
            </w:pPr>
          </w:p>
        </w:tc>
      </w:tr>
      <w:tr w:rsidR="00ED0678" w:rsidRPr="00353639">
        <w:trPr>
          <w:cantSplit/>
          <w:trHeight w:val="23"/>
        </w:trPr>
        <w:tc>
          <w:tcPr>
            <w:tcW w:w="6911" w:type="dxa"/>
            <w:vMerge w:val="restart"/>
          </w:tcPr>
          <w:p w:rsidR="00ED0678" w:rsidRPr="00353639" w:rsidRDefault="00ED0678" w:rsidP="00ED0678">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353639">
              <w:rPr>
                <w:rFonts w:ascii="Verdana" w:hAnsi="Verdana"/>
                <w:b/>
                <w:sz w:val="20"/>
              </w:rPr>
              <w:t>PLENARY MEETING</w:t>
            </w:r>
          </w:p>
        </w:tc>
        <w:tc>
          <w:tcPr>
            <w:tcW w:w="3120" w:type="dxa"/>
          </w:tcPr>
          <w:p w:rsidR="001557DE" w:rsidRPr="00353639" w:rsidRDefault="001557DE" w:rsidP="00ED0678">
            <w:pPr>
              <w:tabs>
                <w:tab w:val="left" w:pos="851"/>
              </w:tabs>
              <w:spacing w:before="0" w:line="240" w:lineRule="atLeast"/>
              <w:rPr>
                <w:rFonts w:ascii="Verdana" w:hAnsi="Verdana"/>
                <w:b/>
                <w:sz w:val="20"/>
              </w:rPr>
            </w:pPr>
            <w:r w:rsidRPr="00353639">
              <w:rPr>
                <w:rFonts w:ascii="Verdana" w:hAnsi="Verdana"/>
                <w:b/>
                <w:sz w:val="20"/>
              </w:rPr>
              <w:t>Revision 1 to</w:t>
            </w:r>
          </w:p>
          <w:p w:rsidR="00ED0678" w:rsidRPr="00353639" w:rsidRDefault="00ED0678" w:rsidP="00ED0678">
            <w:pPr>
              <w:tabs>
                <w:tab w:val="left" w:pos="851"/>
              </w:tabs>
              <w:spacing w:before="0" w:line="240" w:lineRule="atLeast"/>
              <w:rPr>
                <w:rFonts w:ascii="Verdana" w:hAnsi="Verdana"/>
                <w:sz w:val="20"/>
              </w:rPr>
            </w:pPr>
            <w:r w:rsidRPr="00353639">
              <w:rPr>
                <w:rFonts w:ascii="Verdana" w:hAnsi="Verdana"/>
                <w:b/>
                <w:sz w:val="20"/>
              </w:rPr>
              <w:t>Document 202-E</w:t>
            </w:r>
          </w:p>
        </w:tc>
      </w:tr>
      <w:tr w:rsidR="00ED0678" w:rsidRPr="00353639">
        <w:trPr>
          <w:cantSplit/>
          <w:trHeight w:val="23"/>
        </w:trPr>
        <w:tc>
          <w:tcPr>
            <w:tcW w:w="6911" w:type="dxa"/>
            <w:vMerge/>
          </w:tcPr>
          <w:p w:rsidR="00ED0678" w:rsidRPr="00353639" w:rsidRDefault="00ED0678" w:rsidP="00517B78">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ED0678" w:rsidRPr="00353639" w:rsidRDefault="001557DE" w:rsidP="00ED0678">
            <w:pPr>
              <w:tabs>
                <w:tab w:val="left" w:pos="993"/>
              </w:tabs>
              <w:spacing w:before="0"/>
              <w:rPr>
                <w:rFonts w:ascii="Verdana" w:hAnsi="Verdana"/>
                <w:sz w:val="20"/>
              </w:rPr>
            </w:pPr>
            <w:r w:rsidRPr="00353639">
              <w:rPr>
                <w:rFonts w:ascii="Verdana" w:hAnsi="Verdana"/>
                <w:b/>
                <w:sz w:val="20"/>
              </w:rPr>
              <w:t>13</w:t>
            </w:r>
            <w:r w:rsidR="00ED0678" w:rsidRPr="00353639">
              <w:rPr>
                <w:rFonts w:ascii="Verdana" w:hAnsi="Verdana"/>
                <w:b/>
                <w:sz w:val="20"/>
              </w:rPr>
              <w:t xml:space="preserve"> November 2015</w:t>
            </w:r>
          </w:p>
        </w:tc>
      </w:tr>
      <w:tr w:rsidR="00ED0678" w:rsidRPr="00353639">
        <w:trPr>
          <w:cantSplit/>
          <w:trHeight w:val="23"/>
        </w:trPr>
        <w:tc>
          <w:tcPr>
            <w:tcW w:w="6911" w:type="dxa"/>
            <w:vMerge/>
          </w:tcPr>
          <w:p w:rsidR="00ED0678" w:rsidRPr="00353639" w:rsidRDefault="00ED0678" w:rsidP="00517B78">
            <w:pPr>
              <w:tabs>
                <w:tab w:val="left" w:pos="851"/>
              </w:tabs>
              <w:spacing w:line="240" w:lineRule="atLeast"/>
              <w:rPr>
                <w:rFonts w:ascii="Verdana" w:hAnsi="Verdana"/>
                <w:b/>
                <w:sz w:val="20"/>
              </w:rPr>
            </w:pPr>
            <w:bookmarkStart w:id="6" w:name="dorlang" w:colFirst="1" w:colLast="1"/>
            <w:bookmarkEnd w:id="5"/>
          </w:p>
        </w:tc>
        <w:tc>
          <w:tcPr>
            <w:tcW w:w="3120" w:type="dxa"/>
          </w:tcPr>
          <w:p w:rsidR="00ED0678" w:rsidRPr="00353639" w:rsidRDefault="00ED0678" w:rsidP="00ED0678">
            <w:pPr>
              <w:tabs>
                <w:tab w:val="left" w:pos="993"/>
              </w:tabs>
              <w:spacing w:before="0" w:after="120"/>
              <w:rPr>
                <w:rFonts w:ascii="Verdana" w:hAnsi="Verdana"/>
                <w:sz w:val="20"/>
              </w:rPr>
            </w:pPr>
            <w:r w:rsidRPr="00353639">
              <w:rPr>
                <w:rFonts w:ascii="Verdana" w:hAnsi="Verdana"/>
                <w:b/>
                <w:sz w:val="20"/>
              </w:rPr>
              <w:t>Original: French</w:t>
            </w:r>
          </w:p>
        </w:tc>
      </w:tr>
    </w:tbl>
    <w:tbl>
      <w:tblPr>
        <w:tblW w:w="5089" w:type="pct"/>
        <w:tblLook w:val="0000" w:firstRow="0" w:lastRow="0" w:firstColumn="0" w:lastColumn="0" w:noHBand="0" w:noVBand="0"/>
      </w:tblPr>
      <w:tblGrid>
        <w:gridCol w:w="9811"/>
      </w:tblGrid>
      <w:tr w:rsidR="00ED0678" w:rsidRPr="00353639">
        <w:trPr>
          <w:cantSplit/>
        </w:trPr>
        <w:tc>
          <w:tcPr>
            <w:tcW w:w="5000" w:type="pct"/>
          </w:tcPr>
          <w:p w:rsidR="00ED0678" w:rsidRPr="00353639" w:rsidRDefault="00ED0678">
            <w:pPr>
              <w:pStyle w:val="Title1"/>
              <w:spacing w:before="720"/>
              <w:rPr>
                <w:rFonts w:asciiTheme="majorBidi" w:hAnsiTheme="majorBidi" w:cstheme="majorBidi"/>
              </w:rPr>
            </w:pPr>
            <w:bookmarkStart w:id="7" w:name="dtitle1" w:colFirst="0" w:colLast="0"/>
            <w:bookmarkEnd w:id="6"/>
            <w:r w:rsidRPr="00353639">
              <w:rPr>
                <w:rFonts w:asciiTheme="majorBidi" w:hAnsiTheme="majorBidi" w:cstheme="majorBidi"/>
              </w:rPr>
              <w:t>MINUTES</w:t>
            </w:r>
          </w:p>
          <w:p w:rsidR="00ED0678" w:rsidRPr="00353639" w:rsidRDefault="00ED0678">
            <w:pPr>
              <w:pStyle w:val="Title1"/>
              <w:rPr>
                <w:rFonts w:asciiTheme="majorBidi" w:hAnsiTheme="majorBidi" w:cstheme="majorBidi"/>
              </w:rPr>
            </w:pPr>
            <w:r w:rsidRPr="00353639">
              <w:rPr>
                <w:rFonts w:asciiTheme="majorBidi" w:hAnsiTheme="majorBidi" w:cstheme="majorBidi"/>
              </w:rPr>
              <w:t>OF THE</w:t>
            </w:r>
          </w:p>
          <w:p w:rsidR="00ED0678" w:rsidRPr="00353639" w:rsidRDefault="00355115" w:rsidP="00355115">
            <w:pPr>
              <w:pStyle w:val="Title1"/>
            </w:pPr>
            <w:r w:rsidRPr="00353639">
              <w:rPr>
                <w:rFonts w:asciiTheme="majorBidi" w:hAnsiTheme="majorBidi" w:cstheme="majorBidi"/>
              </w:rPr>
              <w:t>SECOND plenary meeting</w:t>
            </w:r>
          </w:p>
        </w:tc>
      </w:tr>
      <w:bookmarkEnd w:id="7"/>
      <w:tr w:rsidR="00ED0678" w:rsidRPr="00353639">
        <w:trPr>
          <w:cantSplit/>
        </w:trPr>
        <w:tc>
          <w:tcPr>
            <w:tcW w:w="5000" w:type="pct"/>
          </w:tcPr>
          <w:p w:rsidR="00ED0678" w:rsidRPr="00353639" w:rsidRDefault="00355115">
            <w:pPr>
              <w:pStyle w:val="Normalaftertitle"/>
              <w:jc w:val="center"/>
              <w:rPr>
                <w:rFonts w:asciiTheme="majorBidi" w:hAnsiTheme="majorBidi" w:cstheme="majorBidi"/>
              </w:rPr>
            </w:pPr>
            <w:r w:rsidRPr="00353639">
              <w:rPr>
                <w:rFonts w:asciiTheme="majorBidi" w:hAnsiTheme="majorBidi" w:cstheme="majorBidi"/>
              </w:rPr>
              <w:t>Tuesday, 3 November 2015, at 1545 hours</w:t>
            </w:r>
          </w:p>
        </w:tc>
      </w:tr>
      <w:tr w:rsidR="00ED0678" w:rsidRPr="00353639">
        <w:trPr>
          <w:cantSplit/>
        </w:trPr>
        <w:tc>
          <w:tcPr>
            <w:tcW w:w="5000" w:type="pct"/>
          </w:tcPr>
          <w:p w:rsidR="00ED0678" w:rsidRPr="00353639" w:rsidRDefault="00ED0678" w:rsidP="00355115">
            <w:pPr>
              <w:jc w:val="center"/>
              <w:rPr>
                <w:rFonts w:asciiTheme="majorBidi" w:hAnsiTheme="majorBidi" w:cstheme="majorBidi"/>
              </w:rPr>
            </w:pPr>
            <w:r w:rsidRPr="00353639">
              <w:rPr>
                <w:rFonts w:asciiTheme="majorBidi" w:hAnsiTheme="majorBidi" w:cstheme="majorBidi"/>
                <w:b/>
                <w:bCs/>
              </w:rPr>
              <w:t>Chairman:</w:t>
            </w:r>
            <w:r w:rsidRPr="00353639">
              <w:rPr>
                <w:rFonts w:asciiTheme="majorBidi" w:hAnsiTheme="majorBidi" w:cstheme="majorBidi"/>
              </w:rPr>
              <w:t xml:space="preserve"> </w:t>
            </w:r>
            <w:r w:rsidR="00355115" w:rsidRPr="00353639">
              <w:rPr>
                <w:rFonts w:asciiTheme="majorBidi" w:hAnsiTheme="majorBidi" w:cstheme="majorBidi"/>
              </w:rPr>
              <w:t>Mr F.Y.N. DAUDU (Nigeria)</w:t>
            </w:r>
          </w:p>
        </w:tc>
      </w:tr>
    </w:tbl>
    <w:p w:rsidR="00ED0678" w:rsidRPr="00353639" w:rsidRDefault="00ED0678"/>
    <w:tbl>
      <w:tblPr>
        <w:tblW w:w="10031" w:type="dxa"/>
        <w:tblLook w:val="0000" w:firstRow="0" w:lastRow="0" w:firstColumn="0" w:lastColumn="0" w:noHBand="0" w:noVBand="0"/>
      </w:tblPr>
      <w:tblGrid>
        <w:gridCol w:w="534"/>
        <w:gridCol w:w="7159"/>
        <w:gridCol w:w="2338"/>
      </w:tblGrid>
      <w:tr w:rsidR="00ED0678" w:rsidRPr="00353639">
        <w:tc>
          <w:tcPr>
            <w:tcW w:w="534" w:type="dxa"/>
          </w:tcPr>
          <w:p w:rsidR="00ED0678" w:rsidRPr="00353639" w:rsidRDefault="00ED0678">
            <w:pPr>
              <w:pStyle w:val="toc0"/>
            </w:pPr>
          </w:p>
        </w:tc>
        <w:tc>
          <w:tcPr>
            <w:tcW w:w="7159" w:type="dxa"/>
          </w:tcPr>
          <w:p w:rsidR="00ED0678" w:rsidRPr="00353639" w:rsidRDefault="00ED0678">
            <w:pPr>
              <w:pStyle w:val="toc0"/>
            </w:pPr>
            <w:r w:rsidRPr="00353639">
              <w:t>Subjects discussed</w:t>
            </w:r>
          </w:p>
        </w:tc>
        <w:tc>
          <w:tcPr>
            <w:tcW w:w="2338" w:type="dxa"/>
          </w:tcPr>
          <w:p w:rsidR="00ED0678" w:rsidRPr="00353639" w:rsidRDefault="00ED0678">
            <w:pPr>
              <w:pStyle w:val="toc0"/>
              <w:jc w:val="center"/>
            </w:pPr>
            <w:r w:rsidRPr="00353639">
              <w:t>Documents</w:t>
            </w:r>
          </w:p>
        </w:tc>
      </w:tr>
      <w:tr w:rsidR="00ED0678" w:rsidRPr="00353639" w:rsidTr="00ED0678">
        <w:tc>
          <w:tcPr>
            <w:tcW w:w="534" w:type="dxa"/>
          </w:tcPr>
          <w:p w:rsidR="00ED0678" w:rsidRPr="00353639" w:rsidRDefault="00ED0678" w:rsidP="00A5031C">
            <w:pPr>
              <w:tabs>
                <w:tab w:val="left" w:pos="567"/>
              </w:tabs>
              <w:ind w:left="567" w:hanging="567"/>
              <w:rPr>
                <w:rFonts w:asciiTheme="majorBidi" w:hAnsiTheme="majorBidi" w:cstheme="majorBidi"/>
              </w:rPr>
            </w:pPr>
            <w:r w:rsidRPr="00353639">
              <w:rPr>
                <w:rFonts w:asciiTheme="majorBidi" w:hAnsiTheme="majorBidi" w:cstheme="majorBidi"/>
              </w:rPr>
              <w:t>1</w:t>
            </w:r>
          </w:p>
        </w:tc>
        <w:tc>
          <w:tcPr>
            <w:tcW w:w="7159" w:type="dxa"/>
          </w:tcPr>
          <w:p w:rsidR="00ED0678" w:rsidRPr="00353639" w:rsidRDefault="00ED0678" w:rsidP="00A5031C">
            <w:pPr>
              <w:tabs>
                <w:tab w:val="left" w:pos="567"/>
              </w:tabs>
              <w:ind w:left="567" w:hanging="567"/>
              <w:rPr>
                <w:rFonts w:asciiTheme="majorBidi" w:hAnsiTheme="majorBidi" w:cstheme="majorBidi"/>
              </w:rPr>
            </w:pPr>
            <w:r w:rsidRPr="00353639">
              <w:rPr>
                <w:rFonts w:asciiTheme="majorBidi" w:hAnsiTheme="majorBidi" w:cstheme="majorBidi"/>
              </w:rPr>
              <w:t>Reports by the Chairmen of Committees 4, 5 and 6</w:t>
            </w:r>
          </w:p>
        </w:tc>
        <w:tc>
          <w:tcPr>
            <w:tcW w:w="2338" w:type="dxa"/>
          </w:tcPr>
          <w:p w:rsidR="00ED0678" w:rsidRPr="00353639" w:rsidRDefault="00ED0678" w:rsidP="00A5031C">
            <w:pPr>
              <w:jc w:val="center"/>
              <w:rPr>
                <w:rFonts w:asciiTheme="majorBidi" w:hAnsiTheme="majorBidi" w:cstheme="majorBidi"/>
              </w:rPr>
            </w:pPr>
            <w:r w:rsidRPr="00353639">
              <w:rPr>
                <w:rFonts w:asciiTheme="majorBidi" w:hAnsiTheme="majorBidi" w:cstheme="majorBidi"/>
              </w:rPr>
              <w:t>141, 142, 143, 158</w:t>
            </w:r>
          </w:p>
        </w:tc>
      </w:tr>
      <w:tr w:rsidR="00ED0678" w:rsidRPr="00353639" w:rsidTr="00ED0678">
        <w:tc>
          <w:tcPr>
            <w:tcW w:w="534" w:type="dxa"/>
          </w:tcPr>
          <w:p w:rsidR="00ED0678" w:rsidRPr="00353639" w:rsidRDefault="00ED0678" w:rsidP="00A5031C">
            <w:pPr>
              <w:tabs>
                <w:tab w:val="left" w:pos="567"/>
              </w:tabs>
              <w:ind w:left="567" w:hanging="567"/>
              <w:rPr>
                <w:rFonts w:asciiTheme="majorBidi" w:hAnsiTheme="majorBidi" w:cstheme="majorBidi"/>
              </w:rPr>
            </w:pPr>
            <w:r w:rsidRPr="00353639">
              <w:rPr>
                <w:rFonts w:asciiTheme="majorBidi" w:hAnsiTheme="majorBidi" w:cstheme="majorBidi"/>
              </w:rPr>
              <w:t>2</w:t>
            </w:r>
          </w:p>
        </w:tc>
        <w:tc>
          <w:tcPr>
            <w:tcW w:w="7159" w:type="dxa"/>
          </w:tcPr>
          <w:p w:rsidR="00ED0678" w:rsidRPr="00353639" w:rsidRDefault="00ED0678" w:rsidP="00A5031C">
            <w:pPr>
              <w:tabs>
                <w:tab w:val="left" w:pos="567"/>
              </w:tabs>
              <w:ind w:left="567" w:hanging="567"/>
              <w:rPr>
                <w:rFonts w:asciiTheme="majorBidi" w:hAnsiTheme="majorBidi" w:cstheme="majorBidi"/>
              </w:rPr>
            </w:pPr>
            <w:r w:rsidRPr="00353639">
              <w:rPr>
                <w:rFonts w:asciiTheme="majorBidi" w:hAnsiTheme="majorBidi" w:cstheme="majorBidi"/>
              </w:rPr>
              <w:t>Documents to be noted</w:t>
            </w:r>
          </w:p>
        </w:tc>
        <w:tc>
          <w:tcPr>
            <w:tcW w:w="2338" w:type="dxa"/>
          </w:tcPr>
          <w:p w:rsidR="00ED0678" w:rsidRPr="00353639" w:rsidRDefault="00ED0678" w:rsidP="00A5031C">
            <w:pPr>
              <w:jc w:val="center"/>
              <w:rPr>
                <w:rFonts w:asciiTheme="majorBidi" w:hAnsiTheme="majorBidi" w:cstheme="majorBidi"/>
              </w:rPr>
            </w:pPr>
            <w:r w:rsidRPr="00353639">
              <w:rPr>
                <w:rFonts w:asciiTheme="majorBidi" w:hAnsiTheme="majorBidi" w:cstheme="majorBidi"/>
              </w:rPr>
              <w:t>20, 21, 22, 23, 24, 27, 136</w:t>
            </w:r>
          </w:p>
        </w:tc>
      </w:tr>
      <w:tr w:rsidR="00ED0678" w:rsidRPr="00353639" w:rsidTr="00ED0678">
        <w:tc>
          <w:tcPr>
            <w:tcW w:w="534" w:type="dxa"/>
          </w:tcPr>
          <w:p w:rsidR="00ED0678" w:rsidRPr="00353639" w:rsidRDefault="00ED0678" w:rsidP="00A5031C">
            <w:pPr>
              <w:tabs>
                <w:tab w:val="left" w:pos="567"/>
              </w:tabs>
              <w:ind w:left="567" w:hanging="567"/>
              <w:rPr>
                <w:rFonts w:asciiTheme="majorBidi" w:hAnsiTheme="majorBidi" w:cstheme="majorBidi"/>
              </w:rPr>
            </w:pPr>
            <w:r w:rsidRPr="00353639">
              <w:rPr>
                <w:rFonts w:asciiTheme="majorBidi" w:hAnsiTheme="majorBidi" w:cstheme="majorBidi"/>
              </w:rPr>
              <w:t>3</w:t>
            </w:r>
          </w:p>
        </w:tc>
        <w:tc>
          <w:tcPr>
            <w:tcW w:w="7159" w:type="dxa"/>
          </w:tcPr>
          <w:p w:rsidR="00ED0678" w:rsidRPr="00353639" w:rsidRDefault="00ED0678" w:rsidP="00A5031C">
            <w:pPr>
              <w:rPr>
                <w:rFonts w:asciiTheme="majorBidi" w:hAnsiTheme="majorBidi" w:cstheme="majorBidi"/>
              </w:rPr>
            </w:pPr>
            <w:r w:rsidRPr="00353639">
              <w:rPr>
                <w:rFonts w:asciiTheme="majorBidi" w:hAnsiTheme="majorBidi" w:cstheme="majorBidi"/>
              </w:rPr>
              <w:t>Organization of work</w:t>
            </w:r>
          </w:p>
        </w:tc>
        <w:tc>
          <w:tcPr>
            <w:tcW w:w="2338" w:type="dxa"/>
          </w:tcPr>
          <w:p w:rsidR="00ED0678" w:rsidRPr="00353639" w:rsidRDefault="00ED0678" w:rsidP="00A5031C">
            <w:pPr>
              <w:jc w:val="center"/>
              <w:rPr>
                <w:rFonts w:asciiTheme="majorBidi" w:hAnsiTheme="majorBidi" w:cstheme="majorBidi"/>
              </w:rPr>
            </w:pPr>
            <w:r w:rsidRPr="00353639">
              <w:rPr>
                <w:rFonts w:asciiTheme="majorBidi" w:hAnsiTheme="majorBidi" w:cstheme="majorBidi"/>
              </w:rPr>
              <w:t>–</w:t>
            </w:r>
          </w:p>
        </w:tc>
      </w:tr>
    </w:tbl>
    <w:p w:rsidR="00ED0678" w:rsidRPr="00353639" w:rsidRDefault="00ED0678"/>
    <w:p w:rsidR="00ED0678" w:rsidRPr="00353639" w:rsidRDefault="00ED0678">
      <w:pPr>
        <w:tabs>
          <w:tab w:val="clear" w:pos="1134"/>
          <w:tab w:val="clear" w:pos="1871"/>
          <w:tab w:val="clear" w:pos="2268"/>
        </w:tabs>
        <w:overflowPunct/>
        <w:autoSpaceDE/>
        <w:autoSpaceDN/>
        <w:adjustRightInd/>
        <w:spacing w:before="0"/>
        <w:textAlignment w:val="auto"/>
      </w:pPr>
      <w:r w:rsidRPr="00353639">
        <w:br w:type="page"/>
      </w:r>
    </w:p>
    <w:p w:rsidR="00ED0678" w:rsidRPr="00353639" w:rsidRDefault="00ED0678" w:rsidP="002F4EF9">
      <w:pPr>
        <w:pStyle w:val="Heading1"/>
      </w:pPr>
      <w:r w:rsidRPr="00353639">
        <w:lastRenderedPageBreak/>
        <w:t>1</w:t>
      </w:r>
      <w:r w:rsidRPr="00353639">
        <w:tab/>
        <w:t>Reports by the Chairmen of Committees 4, 5 and 6 (Documents 141, 142, 143 and 158)</w:t>
      </w:r>
    </w:p>
    <w:p w:rsidR="00ED0678" w:rsidRPr="00353639" w:rsidRDefault="00ED0678" w:rsidP="002F4EF9">
      <w:r w:rsidRPr="00353639">
        <w:t>1.1</w:t>
      </w:r>
      <w:r w:rsidRPr="00353639">
        <w:tab/>
        <w:t xml:space="preserve">The </w:t>
      </w:r>
      <w:r w:rsidRPr="00353639">
        <w:rPr>
          <w:b/>
          <w:bCs/>
        </w:rPr>
        <w:t>Chairman of Committee 4</w:t>
      </w:r>
      <w:r w:rsidRPr="00353639">
        <w:t xml:space="preserve"> reported that his committee had held its first meeting the previous day and set up three working groups: Working Group 4A on aeronautical and radiolocation services, chaired by Mr V. Glushko (Russian Federation); Working Group 4B on maritime and amateur services, chaired by Mr M. El</w:t>
      </w:r>
      <w:r w:rsidRPr="00353639">
        <w:noBreakHyphen/>
        <w:t>Moghazi (Egypt); and Working Group 4C on the mobile service and PPDR, chaired by Ms C. Cook (Canada). Those working groups had established their own structures and set up subgroups to take up different agenda items. So far as agenda items 1.15 and 1.17 were concerned, work was well under way and should be completed and submitted to the plenary by the end of the week.</w:t>
      </w:r>
    </w:p>
    <w:p w:rsidR="00ED0678" w:rsidRPr="00353639" w:rsidRDefault="00ED0678" w:rsidP="00353639">
      <w:r w:rsidRPr="00353639">
        <w:t>1.2</w:t>
      </w:r>
      <w:r w:rsidRPr="00353639">
        <w:tab/>
        <w:t xml:space="preserve">The </w:t>
      </w:r>
      <w:r w:rsidRPr="00353639">
        <w:rPr>
          <w:b/>
          <w:bCs/>
        </w:rPr>
        <w:t>Chairman of Committee 5</w:t>
      </w:r>
      <w:r w:rsidRPr="00353639">
        <w:t xml:space="preserve"> reported that his committee, which had also held its first meeting the previous day, had assigned the agenda items within its terms of reference to three working groups: Working Group 5A on space science services, chaired by Mr J. Zuzek (United States); Working Group 5B on satellite service allocations, chaired by Mr X. Gao (China); and Working Group 5C on satellite regulatory issues, chaired by Mr P. Hovstad (Norway). Those working groups had already met and begun their work on agenda item 1.</w:t>
      </w:r>
      <w:r w:rsidR="00AD0550" w:rsidRPr="00353639">
        <w:t>1</w:t>
      </w:r>
      <w:r w:rsidRPr="00353639">
        <w:t>3 and issues 9.1.3, 9.1.5 and 9.1.8 under agenda item 9.1.</w:t>
      </w:r>
    </w:p>
    <w:p w:rsidR="00ED0678" w:rsidRPr="00353639" w:rsidRDefault="00ED0678" w:rsidP="00ED0678">
      <w:pPr>
        <w:rPr>
          <w:rFonts w:asciiTheme="majorBidi" w:hAnsiTheme="majorBidi" w:cstheme="majorBidi"/>
          <w:bCs/>
        </w:rPr>
      </w:pPr>
      <w:r w:rsidRPr="00353639">
        <w:rPr>
          <w:rFonts w:asciiTheme="majorBidi" w:hAnsiTheme="majorBidi" w:cstheme="majorBidi"/>
        </w:rPr>
        <w:t>1.3</w:t>
      </w:r>
      <w:r w:rsidRPr="00353639">
        <w:rPr>
          <w:rFonts w:asciiTheme="majorBidi" w:hAnsiTheme="majorBidi" w:cstheme="majorBidi"/>
        </w:rPr>
        <w:tab/>
        <w:t xml:space="preserve">The </w:t>
      </w:r>
      <w:r w:rsidRPr="00353639">
        <w:rPr>
          <w:rFonts w:asciiTheme="majorBidi" w:hAnsiTheme="majorBidi" w:cstheme="majorBidi"/>
          <w:b/>
          <w:bCs/>
        </w:rPr>
        <w:t>Chairman of Committee 6</w:t>
      </w:r>
      <w:r w:rsidRPr="00353639">
        <w:rPr>
          <w:rFonts w:asciiTheme="majorBidi" w:hAnsiTheme="majorBidi" w:cstheme="majorBidi"/>
        </w:rPr>
        <w:t xml:space="preserve"> reported that her committee too had held its first meeting, setting up two working groups: Working Group 6A on general issues, chaired by Mr P. Ngige (Kenya); and Working Group 6B on the agenda of the next WRC, chaired by Mr A. Nalbandian (Armenia). Among the documents submitted to the present plenary meeting</w:t>
      </w:r>
      <w:r w:rsidR="002F4EF9" w:rsidRPr="00353639">
        <w:rPr>
          <w:rFonts w:asciiTheme="majorBidi" w:hAnsiTheme="majorBidi" w:cstheme="majorBidi"/>
        </w:rPr>
        <w:t xml:space="preserve"> </w:t>
      </w:r>
      <w:r w:rsidRPr="00353639">
        <w:rPr>
          <w:rFonts w:asciiTheme="majorBidi" w:hAnsiTheme="majorBidi" w:cstheme="majorBidi"/>
        </w:rPr>
        <w:t>were the conclusions of the work done in connection with issue 9.1.6 under agenda item 9.1.</w:t>
      </w:r>
    </w:p>
    <w:p w:rsidR="00ED0678" w:rsidRPr="00353639" w:rsidRDefault="00ED0678" w:rsidP="002F4EF9">
      <w:r w:rsidRPr="00353639">
        <w:t>1.4</w:t>
      </w:r>
      <w:r w:rsidRPr="00353639">
        <w:tab/>
        <w:t>Introducing Document 141, on treatment of editorial corrections to the Radio Regulations, the Chairman of Committee 6 recalled that her committee was taking the same approach as had been adopted at WRC</w:t>
      </w:r>
      <w:r w:rsidRPr="00353639">
        <w:noBreakHyphen/>
        <w:t>12. Typographical and other apparent errors in different languages would be identified and transmitted to the committees dealing with the corresponding agenda items. Errors that were purely editorial and the proposed corrections would be communicated separately to Committee 7, which would subsequently submit them to the plenary for consideration. Such editorial corrections would have no impact on the Final Acts.</w:t>
      </w:r>
    </w:p>
    <w:p w:rsidR="00ED0678" w:rsidRPr="00353639" w:rsidRDefault="00ED0678" w:rsidP="002F4EF9">
      <w:pPr>
        <w:rPr>
          <w:bCs/>
        </w:rPr>
      </w:pPr>
      <w:r w:rsidRPr="00353639">
        <w:t>1.5</w:t>
      </w:r>
      <w:r w:rsidRPr="00353639">
        <w:tab/>
        <w:t xml:space="preserve">Document 141 was </w:t>
      </w:r>
      <w:r w:rsidRPr="00353639">
        <w:rPr>
          <w:b/>
          <w:bCs/>
        </w:rPr>
        <w:t>approved</w:t>
      </w:r>
      <w:r w:rsidRPr="00353639">
        <w:t>.</w:t>
      </w:r>
    </w:p>
    <w:p w:rsidR="00ED0678" w:rsidRPr="00353639" w:rsidRDefault="00ED0678" w:rsidP="002F4EF9">
      <w:r w:rsidRPr="00353639">
        <w:t>1.6</w:t>
      </w:r>
      <w:r w:rsidRPr="00353639">
        <w:tab/>
        <w:t xml:space="preserve">The </w:t>
      </w:r>
      <w:r w:rsidRPr="00353639">
        <w:rPr>
          <w:b/>
          <w:bCs/>
        </w:rPr>
        <w:t>Chairman of Committee 5</w:t>
      </w:r>
      <w:r w:rsidRPr="00353639">
        <w:t xml:space="preserve"> introduced Document 143, a note by the Chairmen of Committees 4, 5 and 6 containing the conclusions of a joint review of relevant parts of the Report of the Director of BR with a view to allocating the examination of those relevant parts among the three committees.</w:t>
      </w:r>
    </w:p>
    <w:p w:rsidR="00ED0678" w:rsidRPr="00353639" w:rsidRDefault="00ED0678" w:rsidP="002F4EF9">
      <w:r w:rsidRPr="00353639">
        <w:t>1.7</w:t>
      </w:r>
      <w:r w:rsidRPr="00353639">
        <w:tab/>
        <w:t xml:space="preserve">The </w:t>
      </w:r>
      <w:r w:rsidRPr="00353639">
        <w:rPr>
          <w:b/>
          <w:bCs/>
        </w:rPr>
        <w:t>delegate of the Republic of Korea</w:t>
      </w:r>
      <w:r w:rsidRPr="00353639">
        <w:t xml:space="preserve"> pointed out that in Annex 1 to Part 1 of the Report, mentioned in Annex 1 to Document143, the bands 1 980</w:t>
      </w:r>
      <w:r w:rsidRPr="00353639">
        <w:noBreakHyphen/>
        <w:t>2 010 MHz and 2 170</w:t>
      </w:r>
      <w:r w:rsidRPr="00353639">
        <w:noBreakHyphen/>
        <w:t>2 200 MHz were also used by the terrestrial component. Accordingly, she proposed that Annex 1 to Part 1 also be examined by Committee 4.</w:t>
      </w:r>
    </w:p>
    <w:p w:rsidR="00ED0678" w:rsidRPr="00353639" w:rsidRDefault="00ED0678" w:rsidP="002F4EF9">
      <w:pPr>
        <w:rPr>
          <w:bCs/>
        </w:rPr>
      </w:pPr>
      <w:r w:rsidRPr="00353639">
        <w:t>1.8</w:t>
      </w:r>
      <w:r w:rsidRPr="00353639">
        <w:tab/>
        <w:t xml:space="preserve">The </w:t>
      </w:r>
      <w:r w:rsidRPr="00353639">
        <w:rPr>
          <w:b/>
          <w:bCs/>
        </w:rPr>
        <w:t>Chairman of Committee 5</w:t>
      </w:r>
      <w:r w:rsidRPr="00353639">
        <w:t xml:space="preserve"> acknowledged that that point related not only to the satellite component of IMT but also to the terrestrial component, and explained that it had been allocated to Committee 5 to ensure there would be no risk of overlapping with the work of Committee 4. He suggested that the study of Annex 1 to Part 1 of the Report of the Director of BR be assigned to Committee 6.</w:t>
      </w:r>
    </w:p>
    <w:p w:rsidR="00ED0678" w:rsidRPr="00353639" w:rsidRDefault="00ED0678" w:rsidP="002F4EF9">
      <w:pPr>
        <w:rPr>
          <w:bCs/>
          <w:iCs/>
        </w:rPr>
      </w:pPr>
      <w:r w:rsidRPr="00353639">
        <w:t>1.9</w:t>
      </w:r>
      <w:r w:rsidRPr="00353639">
        <w:tab/>
        <w:t xml:space="preserve">Although the </w:t>
      </w:r>
      <w:r w:rsidRPr="00353639">
        <w:rPr>
          <w:b/>
          <w:bCs/>
        </w:rPr>
        <w:t>delegate of the Russian Federation</w:t>
      </w:r>
      <w:r w:rsidRPr="00353639">
        <w:t xml:space="preserve"> had no objection to having Committee 6 examine Annex 1 to Part 1, he wished to have confirmation that that work indeed fell </w:t>
      </w:r>
      <w:r w:rsidRPr="00353639">
        <w:lastRenderedPageBreak/>
        <w:t>within the terms of reference of Committee 6. To avoid the issue being revisited in plenary, he felt it wisest to have Committee 5 study Annex 1 to Part 1, as originally planned.</w:t>
      </w:r>
    </w:p>
    <w:p w:rsidR="00ED0678" w:rsidRPr="00353639" w:rsidRDefault="00ED0678" w:rsidP="002F4EF9">
      <w:pPr>
        <w:rPr>
          <w:bCs/>
        </w:rPr>
      </w:pPr>
      <w:r w:rsidRPr="00353639">
        <w:t>1.10</w:t>
      </w:r>
      <w:r w:rsidRPr="00353639">
        <w:tab/>
        <w:t xml:space="preserve">The </w:t>
      </w:r>
      <w:r w:rsidRPr="00353639">
        <w:rPr>
          <w:b/>
          <w:bCs/>
        </w:rPr>
        <w:t>delegate of the Republic of Korea</w:t>
      </w:r>
      <w:r w:rsidRPr="00353639">
        <w:t xml:space="preserve"> saw no reason why Annex 1 to Part 1 should be allocated</w:t>
      </w:r>
      <w:r w:rsidR="00AD0550" w:rsidRPr="00353639">
        <w:t xml:space="preserve"> only</w:t>
      </w:r>
      <w:r w:rsidRPr="00353639">
        <w:t xml:space="preserve"> to Committee 5, </w:t>
      </w:r>
      <w:r w:rsidR="00AD0550" w:rsidRPr="00353639">
        <w:t xml:space="preserve">and </w:t>
      </w:r>
      <w:r w:rsidRPr="00353639">
        <w:t xml:space="preserve">reiterated that it should also be </w:t>
      </w:r>
      <w:r w:rsidR="00AD0550" w:rsidRPr="00353639">
        <w:t xml:space="preserve">allocated </w:t>
      </w:r>
      <w:r w:rsidRPr="00353639">
        <w:t xml:space="preserve">to Committee 4 because both </w:t>
      </w:r>
      <w:r w:rsidR="00AD0550" w:rsidRPr="00353639">
        <w:t xml:space="preserve">satellite and terrestrial components of </w:t>
      </w:r>
      <w:r w:rsidRPr="00353639">
        <w:t xml:space="preserve">IMT </w:t>
      </w:r>
      <w:r w:rsidR="00AD0550" w:rsidRPr="00353639">
        <w:t xml:space="preserve">are identified </w:t>
      </w:r>
      <w:r w:rsidRPr="00353639">
        <w:t>in the bands concerned.</w:t>
      </w:r>
    </w:p>
    <w:p w:rsidR="00ED0678" w:rsidRPr="00353639" w:rsidRDefault="00ED0678" w:rsidP="002F4EF9">
      <w:pPr>
        <w:rPr>
          <w:bCs/>
        </w:rPr>
      </w:pPr>
      <w:r w:rsidRPr="00353639">
        <w:t>1.11</w:t>
      </w:r>
      <w:r w:rsidRPr="00353639">
        <w:tab/>
        <w:t xml:space="preserve">The </w:t>
      </w:r>
      <w:r w:rsidRPr="00353639">
        <w:rPr>
          <w:b/>
          <w:bCs/>
        </w:rPr>
        <w:t>delegate of the Islamic Republic of Iran</w:t>
      </w:r>
      <w:r w:rsidRPr="00353639">
        <w:t xml:space="preserve"> considered it preferable not to alter the allocation of documents and suggested that it be specified, in Annex 1 to Document 143, that Annex 1 to Part 1 of the Report of the Director of BR was to be examined by Committee 5 in consultation with Committee 4.</w:t>
      </w:r>
    </w:p>
    <w:p w:rsidR="00ED0678" w:rsidRPr="00353639" w:rsidRDefault="00ED0678" w:rsidP="002F4EF9">
      <w:pPr>
        <w:rPr>
          <w:bCs/>
        </w:rPr>
      </w:pPr>
      <w:r w:rsidRPr="00353639">
        <w:t>1.12</w:t>
      </w:r>
      <w:r w:rsidRPr="00353639">
        <w:tab/>
        <w:t xml:space="preserve">The </w:t>
      </w:r>
      <w:r w:rsidRPr="00353639">
        <w:rPr>
          <w:b/>
          <w:bCs/>
        </w:rPr>
        <w:t>delegate of the United States</w:t>
      </w:r>
      <w:r w:rsidRPr="00353639">
        <w:t xml:space="preserve"> proposed that the allocation of Annex 1 to Part 1 of the Report of the Director of BR be reviewed by the three committee chairmen so that a proposal could be assembled taking into account all the points of view expressed, together with other contributions on the question.</w:t>
      </w:r>
    </w:p>
    <w:p w:rsidR="00ED0678" w:rsidRPr="00353639" w:rsidRDefault="00ED0678" w:rsidP="002F4EF9">
      <w:pPr>
        <w:rPr>
          <w:bCs/>
        </w:rPr>
      </w:pPr>
      <w:r w:rsidRPr="00353639">
        <w:t>1.13</w:t>
      </w:r>
      <w:r w:rsidRPr="00353639">
        <w:tab/>
        <w:t xml:space="preserve">It was so </w:t>
      </w:r>
      <w:r w:rsidRPr="00353639">
        <w:rPr>
          <w:b/>
          <w:bCs/>
        </w:rPr>
        <w:t>agreed</w:t>
      </w:r>
      <w:r w:rsidRPr="00353639">
        <w:t>.</w:t>
      </w:r>
    </w:p>
    <w:p w:rsidR="00ED0678" w:rsidRPr="00353639" w:rsidRDefault="00ED0678" w:rsidP="002F4EF9">
      <w:pPr>
        <w:rPr>
          <w:bCs/>
        </w:rPr>
      </w:pPr>
      <w:r w:rsidRPr="00353639">
        <w:t>1.14</w:t>
      </w:r>
      <w:r w:rsidRPr="00353639">
        <w:tab/>
        <w:t xml:space="preserve">With that decision being taken into account, Document 143 was </w:t>
      </w:r>
      <w:r w:rsidRPr="00353639">
        <w:rPr>
          <w:b/>
          <w:bCs/>
        </w:rPr>
        <w:t>approved</w:t>
      </w:r>
      <w:r w:rsidRPr="00353639">
        <w:t>.</w:t>
      </w:r>
    </w:p>
    <w:p w:rsidR="00ED0678" w:rsidRPr="00353639" w:rsidRDefault="00ED0678" w:rsidP="002F4EF9">
      <w:r w:rsidRPr="00353639">
        <w:t>1.15</w:t>
      </w:r>
      <w:r w:rsidRPr="00353639">
        <w:tab/>
        <w:t xml:space="preserve">The </w:t>
      </w:r>
      <w:r w:rsidRPr="00353639">
        <w:rPr>
          <w:b/>
          <w:bCs/>
        </w:rPr>
        <w:t>Chairman of Committee 6</w:t>
      </w:r>
      <w:r w:rsidRPr="00353639">
        <w:t xml:space="preserve">, introducing Document 158, containing the first report of Committee 6 to the Plenary, said that her committee had come to the conclusion that no changes were required to the definitions of </w:t>
      </w:r>
      <w:r w:rsidRPr="00353639">
        <w:rPr>
          <w:i/>
          <w:iCs/>
        </w:rPr>
        <w:t>fixed service</w:t>
      </w:r>
      <w:r w:rsidRPr="00353639">
        <w:t xml:space="preserve">, </w:t>
      </w:r>
      <w:r w:rsidRPr="00353639">
        <w:rPr>
          <w:i/>
          <w:iCs/>
        </w:rPr>
        <w:t>fixed station</w:t>
      </w:r>
      <w:r w:rsidRPr="00353639">
        <w:t xml:space="preserve"> and </w:t>
      </w:r>
      <w:r w:rsidRPr="00353639">
        <w:rPr>
          <w:i/>
          <w:iCs/>
        </w:rPr>
        <w:t>mobile station</w:t>
      </w:r>
      <w:r w:rsidRPr="00353639">
        <w:t xml:space="preserve"> in Article 1 of the Radio Regulations, and that Resolution 957 (WRC</w:t>
      </w:r>
      <w:r w:rsidRPr="00353639">
        <w:noBreakHyphen/>
        <w:t>12) could be suppressed.</w:t>
      </w:r>
    </w:p>
    <w:p w:rsidR="00ED0678" w:rsidRPr="00353639" w:rsidRDefault="00ED0678" w:rsidP="002F4EF9">
      <w:r w:rsidRPr="00353639">
        <w:t>1.16</w:t>
      </w:r>
      <w:r w:rsidRPr="00353639">
        <w:tab/>
        <w:t xml:space="preserve">The </w:t>
      </w:r>
      <w:r w:rsidRPr="00353639">
        <w:rPr>
          <w:b/>
          <w:bCs/>
        </w:rPr>
        <w:t>delegate of the Islamic Republic of Iran</w:t>
      </w:r>
      <w:r w:rsidRPr="00353639">
        <w:t xml:space="preserve"> recalled that any proposal to suppress a resolution needed to be transmitted to the Editorial Committee before being approved by the plenary</w:t>
      </w:r>
      <w:r w:rsidR="00AD0550" w:rsidRPr="00353639">
        <w:t xml:space="preserve"> in first reading</w:t>
      </w:r>
      <w:r w:rsidRPr="00353639">
        <w:t>.</w:t>
      </w:r>
    </w:p>
    <w:p w:rsidR="00ED0678" w:rsidRPr="00353639" w:rsidRDefault="00ED0678" w:rsidP="002F4EF9">
      <w:r w:rsidRPr="00353639">
        <w:t>1.17</w:t>
      </w:r>
      <w:r w:rsidRPr="00353639">
        <w:tab/>
        <w:t xml:space="preserve">With that observation being taken into account, Document 158 was </w:t>
      </w:r>
      <w:r w:rsidRPr="00353639">
        <w:rPr>
          <w:b/>
          <w:bCs/>
        </w:rPr>
        <w:t>approved</w:t>
      </w:r>
      <w:r w:rsidRPr="00353639">
        <w:t>.</w:t>
      </w:r>
    </w:p>
    <w:p w:rsidR="00ED0678" w:rsidRPr="00353639" w:rsidRDefault="00ED0678" w:rsidP="002F4EF9">
      <w:r w:rsidRPr="00353639">
        <w:t>1.18</w:t>
      </w:r>
      <w:r w:rsidRPr="00353639">
        <w:tab/>
        <w:t xml:space="preserve">The </w:t>
      </w:r>
      <w:r w:rsidRPr="00353639">
        <w:rPr>
          <w:b/>
          <w:bCs/>
        </w:rPr>
        <w:t>Chairman of Committee 6</w:t>
      </w:r>
      <w:r w:rsidRPr="00353639">
        <w:t xml:space="preserve"> introduced Document 142, explaining that it dealt with proposals submitted under agenda item 8. Although proposals under that agenda item were supposed to be requests for the deletion of country names from footnotes, in some cases proposals had been received to add country names to existing footnotes or to add entirely new footnotes. While Committee 6 did not wish to encourage additions, it had agreed to follow the same approach as WRC</w:t>
      </w:r>
      <w:r w:rsidRPr="00353639">
        <w:noBreakHyphen/>
        <w:t>12 by accepting proposals for the addition of country names to existing footnotes, but only where they were in line with the approach set out in Document 142, first and foremost being that that there were no objections from any affected administration. Proposals for the addition of new footnotes could not be considered under agenda item 8, but would have to be considered under other agenda items. Committee 6 had also agreed to set the deadline for submitting proposals for the addition of country names to existing footnotes as Friday, 6 November 2015, and the deadline for submitting proposals for the deletion of country names as Friday, 13 November 2015. She stressed that the aforesaid approach and arrangements were entirely consistent with what had been done at previous world radiocommunication conferences.</w:t>
      </w:r>
    </w:p>
    <w:p w:rsidR="00ED0678" w:rsidRPr="00353639" w:rsidRDefault="00ED0678" w:rsidP="002F4EF9">
      <w:r w:rsidRPr="00353639">
        <w:t>1.19</w:t>
      </w:r>
      <w:r w:rsidRPr="00353639">
        <w:tab/>
        <w:t xml:space="preserve">In response to a proposal by the </w:t>
      </w:r>
      <w:r w:rsidRPr="00353639">
        <w:rPr>
          <w:b/>
          <w:bCs/>
        </w:rPr>
        <w:t>delegate of Israel</w:t>
      </w:r>
      <w:r w:rsidRPr="00353639">
        <w:t xml:space="preserve"> that, to speed up the work of the conference, proposals to delete country names put forward by </w:t>
      </w:r>
      <w:r w:rsidR="00AD0550" w:rsidRPr="00353639">
        <w:t>Member States</w:t>
      </w:r>
      <w:r w:rsidRPr="00353639">
        <w:t xml:space="preserve"> should be adopted without discussion, the </w:t>
      </w:r>
      <w:r w:rsidRPr="00353639">
        <w:rPr>
          <w:b/>
          <w:bCs/>
        </w:rPr>
        <w:t>Director of BR</w:t>
      </w:r>
      <w:r w:rsidRPr="00353639">
        <w:t xml:space="preserve"> recommended prudence because the deletion of a country name from a footnote modified that country’s allocation of frequencies and could therefore affect another administration.</w:t>
      </w:r>
    </w:p>
    <w:p w:rsidR="00ED0678" w:rsidRPr="00353639" w:rsidRDefault="00ED0678" w:rsidP="002F4EF9">
      <w:r w:rsidRPr="00353639">
        <w:t>1.20</w:t>
      </w:r>
      <w:r w:rsidRPr="00353639">
        <w:tab/>
        <w:t xml:space="preserve">The </w:t>
      </w:r>
      <w:r w:rsidRPr="00353639">
        <w:rPr>
          <w:b/>
          <w:bCs/>
        </w:rPr>
        <w:t>delegate of Argentina</w:t>
      </w:r>
      <w:r w:rsidRPr="00353639">
        <w:t xml:space="preserve"> pointed out that § A) in Document 142, which set out the approach to be applied, began with an exception in its § i), which was illogical. The </w:t>
      </w:r>
      <w:r w:rsidRPr="00353639">
        <w:rPr>
          <w:b/>
          <w:bCs/>
        </w:rPr>
        <w:t>Director of BR</w:t>
      </w:r>
      <w:r w:rsidRPr="00353639">
        <w:t xml:space="preserve"> </w:t>
      </w:r>
      <w:r w:rsidRPr="00353639">
        <w:lastRenderedPageBreak/>
        <w:t>proposed deleting the word “principes” from the first sentence of § A) in the French-language version of the document.</w:t>
      </w:r>
    </w:p>
    <w:p w:rsidR="00ED0678" w:rsidRPr="00353639" w:rsidRDefault="00ED0678" w:rsidP="002F4EF9">
      <w:r w:rsidRPr="00353639">
        <w:t>1.21</w:t>
      </w:r>
      <w:r w:rsidRPr="00353639">
        <w:tab/>
        <w:t xml:space="preserve">The </w:t>
      </w:r>
      <w:r w:rsidRPr="00353639">
        <w:rPr>
          <w:b/>
          <w:bCs/>
        </w:rPr>
        <w:t>delegate of China</w:t>
      </w:r>
      <w:r w:rsidRPr="00353639">
        <w:t xml:space="preserve"> said that, in view of the provisions contained in Document 142, it would be necessary for Document 93(Rev.1), in which a number of countries were asking for their names to be added to footnote 5.313A, to be transferred from Committee 4 to Committee 6 so that it could be examined by the latter under agenda item 8.</w:t>
      </w:r>
    </w:p>
    <w:p w:rsidR="00ED0678" w:rsidRPr="00353639" w:rsidRDefault="00ED0678" w:rsidP="002F4EF9">
      <w:r w:rsidRPr="00353639">
        <w:t>1.22</w:t>
      </w:r>
      <w:r w:rsidRPr="00353639">
        <w:tab/>
        <w:t xml:space="preserve">The </w:t>
      </w:r>
      <w:r w:rsidRPr="00353639">
        <w:rPr>
          <w:b/>
          <w:bCs/>
        </w:rPr>
        <w:t>delegate of the Islamic Republic of Iran</w:t>
      </w:r>
      <w:r w:rsidRPr="00353639">
        <w:t xml:space="preserve"> expressed the view that the conference should not be continually modifying the allocation of documents among the committees and that Document 93(Rev.1) should be examined under the agenda item that specifically covered footnote 5.313A, not under agenda item 8.</w:t>
      </w:r>
    </w:p>
    <w:p w:rsidR="00ED0678" w:rsidRPr="00353639" w:rsidRDefault="00ED0678" w:rsidP="002F4EF9">
      <w:r w:rsidRPr="00353639">
        <w:t>1.23</w:t>
      </w:r>
      <w:r w:rsidRPr="00353639">
        <w:tab/>
        <w:t xml:space="preserve">The </w:t>
      </w:r>
      <w:r w:rsidRPr="00353639">
        <w:rPr>
          <w:b/>
          <w:bCs/>
        </w:rPr>
        <w:t>Chairman</w:t>
      </w:r>
      <w:r w:rsidRPr="00353639">
        <w:t xml:space="preserve"> asked the delegations concerned to consult the Chairman of Committee 6 on the subject, who would subsequently inform the plenary of the results of those consultations.</w:t>
      </w:r>
    </w:p>
    <w:p w:rsidR="00ED0678" w:rsidRPr="00353639" w:rsidRDefault="00ED0678" w:rsidP="002F4EF9">
      <w:r w:rsidRPr="00353639">
        <w:t>1.24</w:t>
      </w:r>
      <w:r w:rsidRPr="00353639">
        <w:tab/>
        <w:t xml:space="preserve">With those observations being taken into account, Document 142 was </w:t>
      </w:r>
      <w:r w:rsidRPr="00353639">
        <w:rPr>
          <w:b/>
          <w:bCs/>
        </w:rPr>
        <w:t>approved</w:t>
      </w:r>
      <w:r w:rsidRPr="00353639">
        <w:t>.</w:t>
      </w:r>
    </w:p>
    <w:p w:rsidR="00ED0678" w:rsidRPr="00353639" w:rsidRDefault="00ED0678" w:rsidP="002733E4">
      <w:pPr>
        <w:pStyle w:val="Heading1"/>
      </w:pPr>
      <w:r w:rsidRPr="00353639">
        <w:t>2</w:t>
      </w:r>
      <w:r w:rsidRPr="00353639">
        <w:tab/>
        <w:t>Documents to be noted (Documents 20, 21, 22, 23, 24, 27 and 136)</w:t>
      </w:r>
    </w:p>
    <w:p w:rsidR="00ED0678" w:rsidRPr="00353639" w:rsidRDefault="00ED0678" w:rsidP="002F4EF9">
      <w:r w:rsidRPr="00353639">
        <w:t>2.1</w:t>
      </w:r>
      <w:r w:rsidRPr="00353639">
        <w:tab/>
        <w:t xml:space="preserve">The </w:t>
      </w:r>
      <w:r w:rsidRPr="00353639">
        <w:rPr>
          <w:b/>
          <w:bCs/>
        </w:rPr>
        <w:t>Secretary of the Plenary</w:t>
      </w:r>
      <w:r w:rsidRPr="00353639">
        <w:t xml:space="preserve"> introduced Documents 20, 21, 22, 23, 24 and 27, which reflected the decisions taken by the conference at its first plenary meeting concerning, respectively, the conference structure, the list of chairmen and vice-chairmen of the conference, the conference secretariat, the conference schedule, the loss of the right to vote and the deadline for the submission of credentials, and Document 136 concerning arrangements for the work of the Editorial Committee.</w:t>
      </w:r>
    </w:p>
    <w:p w:rsidR="00ED0678" w:rsidRPr="00353639" w:rsidRDefault="00ED0678" w:rsidP="002F4EF9">
      <w:r w:rsidRPr="00353639">
        <w:t>2.2</w:t>
      </w:r>
      <w:r w:rsidRPr="00353639">
        <w:tab/>
        <w:t xml:space="preserve">Documents 20, 21, 22, 23, 24, 27 and 136 were </w:t>
      </w:r>
      <w:r w:rsidRPr="00353639">
        <w:rPr>
          <w:b/>
          <w:bCs/>
        </w:rPr>
        <w:t>noted</w:t>
      </w:r>
      <w:r w:rsidRPr="00353639">
        <w:t>.</w:t>
      </w:r>
    </w:p>
    <w:p w:rsidR="00ED0678" w:rsidRPr="00353639" w:rsidRDefault="00ED0678" w:rsidP="002733E4">
      <w:pPr>
        <w:pStyle w:val="Heading1"/>
      </w:pPr>
      <w:r w:rsidRPr="00353639">
        <w:t>3</w:t>
      </w:r>
      <w:r w:rsidRPr="00353639">
        <w:tab/>
        <w:t>Organization of work</w:t>
      </w:r>
    </w:p>
    <w:p w:rsidR="00ED0678" w:rsidRPr="00353639" w:rsidRDefault="00ED0678" w:rsidP="002F4EF9">
      <w:r w:rsidRPr="00353639">
        <w:t>3.1</w:t>
      </w:r>
      <w:r w:rsidRPr="00353639">
        <w:tab/>
        <w:t xml:space="preserve">The </w:t>
      </w:r>
      <w:r w:rsidRPr="00353639">
        <w:rPr>
          <w:b/>
          <w:bCs/>
        </w:rPr>
        <w:t>delegate of Spain</w:t>
      </w:r>
      <w:r w:rsidRPr="00353639">
        <w:t xml:space="preserve"> said that, in future, it would be preferable for recurring issues to be settled from the outset of the conference, such as the allocation of documents and of sections of the Report of the Director of BR and the addition of country names in footnotes.</w:t>
      </w:r>
    </w:p>
    <w:p w:rsidR="00ED0678" w:rsidRPr="00353639" w:rsidRDefault="00ED0678" w:rsidP="002F4EF9">
      <w:r w:rsidRPr="00353639">
        <w:t>3.2</w:t>
      </w:r>
      <w:r w:rsidRPr="00353639">
        <w:tab/>
        <w:t xml:space="preserve">The </w:t>
      </w:r>
      <w:r w:rsidRPr="00353639">
        <w:rPr>
          <w:b/>
          <w:bCs/>
        </w:rPr>
        <w:t>Chairman</w:t>
      </w:r>
      <w:r w:rsidRPr="00353639">
        <w:t xml:space="preserve"> said that those observations had been noted.</w:t>
      </w:r>
    </w:p>
    <w:p w:rsidR="00ED0678" w:rsidRPr="00353639" w:rsidRDefault="00ED0678" w:rsidP="002F4EF9">
      <w:pPr>
        <w:rPr>
          <w:b/>
          <w:bCs/>
        </w:rPr>
      </w:pPr>
      <w:r w:rsidRPr="00353639">
        <w:rPr>
          <w:b/>
          <w:bCs/>
        </w:rPr>
        <w:t>The meeting rose at 1655 hours.</w:t>
      </w:r>
    </w:p>
    <w:p w:rsidR="00ED0678" w:rsidRPr="00353639" w:rsidRDefault="00ED0678" w:rsidP="00ED0678">
      <w:pPr>
        <w:rPr>
          <w:rFonts w:asciiTheme="majorBidi" w:hAnsiTheme="majorBidi" w:cstheme="majorBidi"/>
        </w:rPr>
      </w:pPr>
    </w:p>
    <w:p w:rsidR="002733E4" w:rsidRPr="00353639" w:rsidRDefault="002733E4" w:rsidP="00ED0678">
      <w:pPr>
        <w:rPr>
          <w:rFonts w:asciiTheme="majorBidi" w:hAnsiTheme="majorBidi" w:cstheme="majorBidi"/>
        </w:rPr>
      </w:pPr>
    </w:p>
    <w:p w:rsidR="002733E4" w:rsidRPr="00353639" w:rsidRDefault="002733E4" w:rsidP="00ED0678">
      <w:pPr>
        <w:rPr>
          <w:rFonts w:asciiTheme="majorBidi" w:hAnsiTheme="majorBidi" w:cstheme="majorBidi"/>
        </w:rPr>
      </w:pPr>
    </w:p>
    <w:p w:rsidR="002733E4" w:rsidRPr="00353639" w:rsidRDefault="002733E4" w:rsidP="00ED0678">
      <w:pPr>
        <w:rPr>
          <w:rFonts w:asciiTheme="majorBidi" w:hAnsiTheme="majorBidi" w:cstheme="majorBidi"/>
        </w:rPr>
      </w:pPr>
    </w:p>
    <w:tbl>
      <w:tblPr>
        <w:tblW w:w="0" w:type="auto"/>
        <w:jc w:val="center"/>
        <w:tblLook w:val="01E0" w:firstRow="1" w:lastRow="1" w:firstColumn="1" w:lastColumn="1" w:noHBand="0" w:noVBand="0"/>
      </w:tblPr>
      <w:tblGrid>
        <w:gridCol w:w="6884"/>
        <w:gridCol w:w="2755"/>
      </w:tblGrid>
      <w:tr w:rsidR="00ED0678" w:rsidRPr="00353639" w:rsidTr="00A5031C">
        <w:trPr>
          <w:cantSplit/>
          <w:jc w:val="center"/>
        </w:trPr>
        <w:tc>
          <w:tcPr>
            <w:tcW w:w="7054" w:type="dxa"/>
          </w:tcPr>
          <w:p w:rsidR="00ED0678" w:rsidRPr="00353639" w:rsidRDefault="00ED0678" w:rsidP="00A5031C">
            <w:pPr>
              <w:rPr>
                <w:rFonts w:asciiTheme="majorBidi" w:hAnsiTheme="majorBidi" w:cstheme="majorBidi"/>
              </w:rPr>
            </w:pPr>
            <w:r w:rsidRPr="00353639">
              <w:rPr>
                <w:rFonts w:asciiTheme="majorBidi" w:hAnsiTheme="majorBidi" w:cstheme="majorBidi"/>
              </w:rPr>
              <w:t>The Secretary-General:</w:t>
            </w:r>
            <w:r w:rsidRPr="00353639">
              <w:rPr>
                <w:rFonts w:asciiTheme="majorBidi" w:hAnsiTheme="majorBidi" w:cstheme="majorBidi"/>
                <w:lang w:bidi="he-IL"/>
              </w:rPr>
              <w:br/>
            </w:r>
            <w:r w:rsidRPr="00353639">
              <w:rPr>
                <w:rFonts w:asciiTheme="majorBidi" w:hAnsiTheme="majorBidi" w:cstheme="majorBidi"/>
              </w:rPr>
              <w:t>H. ZHAO</w:t>
            </w:r>
          </w:p>
        </w:tc>
        <w:tc>
          <w:tcPr>
            <w:tcW w:w="2801" w:type="dxa"/>
          </w:tcPr>
          <w:p w:rsidR="00ED0678" w:rsidRPr="00353639" w:rsidRDefault="00ED0678" w:rsidP="00A5031C">
            <w:pPr>
              <w:rPr>
                <w:rFonts w:asciiTheme="majorBidi" w:hAnsiTheme="majorBidi" w:cstheme="majorBidi"/>
              </w:rPr>
            </w:pPr>
            <w:r w:rsidRPr="00353639">
              <w:rPr>
                <w:rFonts w:asciiTheme="majorBidi" w:hAnsiTheme="majorBidi" w:cstheme="majorBidi"/>
              </w:rPr>
              <w:t>The Chairman:</w:t>
            </w:r>
            <w:r w:rsidRPr="00353639">
              <w:rPr>
                <w:rFonts w:asciiTheme="majorBidi" w:hAnsiTheme="majorBidi" w:cstheme="majorBidi"/>
                <w:lang w:bidi="he-IL"/>
              </w:rPr>
              <w:br/>
            </w:r>
            <w:r w:rsidRPr="00353639">
              <w:rPr>
                <w:rFonts w:asciiTheme="majorBidi" w:hAnsiTheme="majorBidi" w:cstheme="majorBidi"/>
              </w:rPr>
              <w:t>F.Y.N. DAUDU</w:t>
            </w:r>
          </w:p>
        </w:tc>
      </w:tr>
    </w:tbl>
    <w:p w:rsidR="00ED0678" w:rsidRPr="00353639" w:rsidRDefault="00ED0678">
      <w:pPr>
        <w:rPr>
          <w:rFonts w:asciiTheme="majorBidi" w:hAnsiTheme="majorBidi" w:cstheme="majorBidi"/>
        </w:rPr>
      </w:pPr>
    </w:p>
    <w:sectPr w:rsidR="00ED0678" w:rsidRPr="00353639" w:rsidSect="002F4EF9">
      <w:headerReference w:type="default" r:id="rId9"/>
      <w:footerReference w:type="even" r:id="rId10"/>
      <w:footerReference w:type="default" r:id="rId11"/>
      <w:footerReference w:type="first" r:id="rId12"/>
      <w:pgSz w:w="11907" w:h="16840" w:code="9"/>
      <w:pgMar w:top="1418" w:right="1134" w:bottom="1418" w:left="1134" w:header="720" w:footer="720"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DC3" w:rsidRDefault="00393DC3">
      <w:r>
        <w:separator/>
      </w:r>
    </w:p>
  </w:endnote>
  <w:endnote w:type="continuationSeparator" w:id="0">
    <w:p w:rsidR="00393DC3" w:rsidRDefault="0039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557DE">
      <w:rPr>
        <w:noProof/>
        <w:lang w:val="en-US"/>
      </w:rPr>
      <w:t>Y:\APP\BR\POOL\WRC-15\DOC (Contributions)\200-299\202Rev1E.docx</w:t>
    </w:r>
    <w:r>
      <w:fldChar w:fldCharType="end"/>
    </w:r>
    <w:r w:rsidRPr="0041348E">
      <w:rPr>
        <w:lang w:val="en-US"/>
      </w:rPr>
      <w:tab/>
    </w:r>
    <w:r>
      <w:fldChar w:fldCharType="begin"/>
    </w:r>
    <w:r>
      <w:instrText xml:space="preserve"> SAVEDATE \@ DD.MM.YY </w:instrText>
    </w:r>
    <w:r>
      <w:fldChar w:fldCharType="separate"/>
    </w:r>
    <w:r w:rsidR="00353639">
      <w:rPr>
        <w:noProof/>
      </w:rPr>
      <w:t>13.11.15</w:t>
    </w:r>
    <w:r>
      <w:fldChar w:fldCharType="end"/>
    </w:r>
    <w:r w:rsidRPr="0041348E">
      <w:rPr>
        <w:lang w:val="en-US"/>
      </w:rPr>
      <w:tab/>
    </w:r>
    <w:r>
      <w:fldChar w:fldCharType="begin"/>
    </w:r>
    <w:r>
      <w:instrText xml:space="preserve"> PRINTDATE \@ DD.MM.YY </w:instrText>
    </w:r>
    <w:r>
      <w:fldChar w:fldCharType="separate"/>
    </w:r>
    <w:r w:rsidR="001557DE">
      <w:rPr>
        <w:noProof/>
      </w:rPr>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F9" w:rsidRPr="0041348E" w:rsidRDefault="002F4EF9" w:rsidP="002F4EF9">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P:\ENG\ITU-R\CONF-R\CMR15\200\202REV1E.docx</w:t>
    </w:r>
    <w:r>
      <w:fldChar w:fldCharType="end"/>
    </w:r>
    <w:r>
      <w:t xml:space="preserve"> (390197)</w:t>
    </w:r>
    <w:r w:rsidRPr="0041348E">
      <w:rPr>
        <w:lang w:val="en-US"/>
      </w:rPr>
      <w:tab/>
    </w:r>
    <w:r>
      <w:fldChar w:fldCharType="begin"/>
    </w:r>
    <w:r>
      <w:instrText xml:space="preserve"> SAVEDATE \@ DD.MM.YY </w:instrText>
    </w:r>
    <w:r>
      <w:fldChar w:fldCharType="separate"/>
    </w:r>
    <w:r w:rsidR="00353639">
      <w:t>13.11.15</w:t>
    </w:r>
    <w:r>
      <w:fldChar w:fldCharType="end"/>
    </w:r>
    <w:r w:rsidRPr="0041348E">
      <w:rPr>
        <w:lang w:val="en-US"/>
      </w:rPr>
      <w:tab/>
    </w:r>
    <w:r>
      <w:fldChar w:fldCharType="begin"/>
    </w:r>
    <w:r>
      <w:instrText xml:space="preserve"> PRINTDATE \@ DD.MM.YY </w:instrText>
    </w:r>
    <w:r>
      <w:fldChar w:fldCharType="separate"/>
    </w:r>
    <w:r>
      <w:t>13.11.15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F4EF9">
      <w:rPr>
        <w:lang w:val="en-US"/>
      </w:rPr>
      <w:t>P:\ENG\ITU-R\CONF-R\CMR15\200\202REV1E.docx</w:t>
    </w:r>
    <w:r>
      <w:fldChar w:fldCharType="end"/>
    </w:r>
    <w:r w:rsidR="002F4EF9">
      <w:t xml:space="preserve"> (390197)</w:t>
    </w:r>
    <w:r w:rsidRPr="0041348E">
      <w:rPr>
        <w:lang w:val="en-US"/>
      </w:rPr>
      <w:tab/>
    </w:r>
    <w:r>
      <w:fldChar w:fldCharType="begin"/>
    </w:r>
    <w:r>
      <w:instrText xml:space="preserve"> SAVEDATE \@ DD.MM.YY </w:instrText>
    </w:r>
    <w:r>
      <w:fldChar w:fldCharType="separate"/>
    </w:r>
    <w:r w:rsidR="00353639">
      <w:t>13.11.15</w:t>
    </w:r>
    <w:r>
      <w:fldChar w:fldCharType="end"/>
    </w:r>
    <w:r w:rsidRPr="0041348E">
      <w:rPr>
        <w:lang w:val="en-US"/>
      </w:rPr>
      <w:tab/>
    </w:r>
    <w:r>
      <w:fldChar w:fldCharType="begin"/>
    </w:r>
    <w:r>
      <w:instrText xml:space="preserve"> PRINTDATE \@ DD.MM.YY </w:instrText>
    </w:r>
    <w:r>
      <w:fldChar w:fldCharType="separate"/>
    </w:r>
    <w:r w:rsidR="002F4EF9">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DC3" w:rsidRDefault="00393DC3">
      <w:r>
        <w:rPr>
          <w:b/>
        </w:rPr>
        <w:t>_______________</w:t>
      </w:r>
    </w:p>
  </w:footnote>
  <w:footnote w:type="continuationSeparator" w:id="0">
    <w:p w:rsidR="00393DC3" w:rsidRDefault="0039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353639">
      <w:rPr>
        <w:noProof/>
      </w:rPr>
      <w:t>4</w:t>
    </w:r>
    <w:r>
      <w:fldChar w:fldCharType="end"/>
    </w:r>
  </w:p>
  <w:p w:rsidR="00E45D05" w:rsidRPr="00800972" w:rsidRDefault="00355115" w:rsidP="00A30305">
    <w:pPr>
      <w:pStyle w:val="Header"/>
    </w:pPr>
    <w:r>
      <w:t>CMR15/202</w:t>
    </w:r>
    <w:r w:rsidR="00353639">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78"/>
    <w:rsid w:val="000041EA"/>
    <w:rsid w:val="00022A29"/>
    <w:rsid w:val="000355FD"/>
    <w:rsid w:val="00040BDB"/>
    <w:rsid w:val="00051E39"/>
    <w:rsid w:val="00061C3A"/>
    <w:rsid w:val="0007459B"/>
    <w:rsid w:val="00077239"/>
    <w:rsid w:val="00086491"/>
    <w:rsid w:val="00091346"/>
    <w:rsid w:val="000F73FF"/>
    <w:rsid w:val="00114CF7"/>
    <w:rsid w:val="00123B68"/>
    <w:rsid w:val="00126F2E"/>
    <w:rsid w:val="00146F6F"/>
    <w:rsid w:val="001557DE"/>
    <w:rsid w:val="00190B55"/>
    <w:rsid w:val="001C3B5F"/>
    <w:rsid w:val="001D058F"/>
    <w:rsid w:val="002009EA"/>
    <w:rsid w:val="00202CA0"/>
    <w:rsid w:val="00271316"/>
    <w:rsid w:val="002733E4"/>
    <w:rsid w:val="002D58BE"/>
    <w:rsid w:val="002F4EF9"/>
    <w:rsid w:val="00342A88"/>
    <w:rsid w:val="00353639"/>
    <w:rsid w:val="00355115"/>
    <w:rsid w:val="00377BD3"/>
    <w:rsid w:val="00384088"/>
    <w:rsid w:val="00393DC3"/>
    <w:rsid w:val="003A7F8C"/>
    <w:rsid w:val="003B532E"/>
    <w:rsid w:val="003D0F8B"/>
    <w:rsid w:val="0041348E"/>
    <w:rsid w:val="00461086"/>
    <w:rsid w:val="00492075"/>
    <w:rsid w:val="004969AD"/>
    <w:rsid w:val="004D5D5C"/>
    <w:rsid w:val="0050139F"/>
    <w:rsid w:val="005964AB"/>
    <w:rsid w:val="005C099A"/>
    <w:rsid w:val="005C31A5"/>
    <w:rsid w:val="005E61DD"/>
    <w:rsid w:val="006023DF"/>
    <w:rsid w:val="0061485C"/>
    <w:rsid w:val="00657DE0"/>
    <w:rsid w:val="00685313"/>
    <w:rsid w:val="006A2E9A"/>
    <w:rsid w:val="006A6E9B"/>
    <w:rsid w:val="00704CFF"/>
    <w:rsid w:val="007149F9"/>
    <w:rsid w:val="00733A30"/>
    <w:rsid w:val="00745AEE"/>
    <w:rsid w:val="00754D1F"/>
    <w:rsid w:val="007742CA"/>
    <w:rsid w:val="00800972"/>
    <w:rsid w:val="00811633"/>
    <w:rsid w:val="00872FC8"/>
    <w:rsid w:val="008845D0"/>
    <w:rsid w:val="008B0330"/>
    <w:rsid w:val="008B43F2"/>
    <w:rsid w:val="009274B4"/>
    <w:rsid w:val="00944A5C"/>
    <w:rsid w:val="00952A66"/>
    <w:rsid w:val="00974431"/>
    <w:rsid w:val="009C56E5"/>
    <w:rsid w:val="009E5FC8"/>
    <w:rsid w:val="009E687A"/>
    <w:rsid w:val="00A141AF"/>
    <w:rsid w:val="00A16D29"/>
    <w:rsid w:val="00A30305"/>
    <w:rsid w:val="00A31D2D"/>
    <w:rsid w:val="00A4600A"/>
    <w:rsid w:val="00A54C25"/>
    <w:rsid w:val="00A710E7"/>
    <w:rsid w:val="00A7372E"/>
    <w:rsid w:val="00A777AB"/>
    <w:rsid w:val="00A93B85"/>
    <w:rsid w:val="00AA0B18"/>
    <w:rsid w:val="00AD0550"/>
    <w:rsid w:val="00B639E9"/>
    <w:rsid w:val="00B817CD"/>
    <w:rsid w:val="00BB3A95"/>
    <w:rsid w:val="00C0018F"/>
    <w:rsid w:val="00C20466"/>
    <w:rsid w:val="00C214ED"/>
    <w:rsid w:val="00C234E6"/>
    <w:rsid w:val="00C324A8"/>
    <w:rsid w:val="00C54517"/>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ED0678"/>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E3A1E7-94B4-4AFF-A293-2048D327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link w:val="Heading1Char"/>
    <w:uiPriority w:val="99"/>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uiPriority w:val="99"/>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uiPriority w:val="99"/>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customStyle="1" w:styleId="Heading1Char">
    <w:name w:val="Heading 1 Char"/>
    <w:basedOn w:val="DefaultParagraphFont"/>
    <w:link w:val="Heading1"/>
    <w:uiPriority w:val="99"/>
    <w:locked/>
    <w:rsid w:val="00ED0678"/>
    <w:rPr>
      <w:rFonts w:ascii="Times New Roman" w:hAnsi="Times New Roman"/>
      <w:b/>
      <w:sz w:val="28"/>
      <w:lang w:val="en-GB" w:eastAsia="en-US"/>
    </w:rPr>
  </w:style>
  <w:style w:type="paragraph" w:styleId="BalloonText">
    <w:name w:val="Balloon Text"/>
    <w:basedOn w:val="Normal"/>
    <w:link w:val="BalloonTextChar"/>
    <w:semiHidden/>
    <w:unhideWhenUsed/>
    <w:rsid w:val="00AD055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055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B211B-9FAC-4C9B-A033-4A7AE597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23</TotalTime>
  <Pages>4</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Ruepp, Rowena</dc:creator>
  <cp:keywords/>
  <dc:description>PE_WRC12.dotm  For: Document date: Saved by MM-106465 at 12:06:40 on 21/03/11</dc:description>
  <cp:lastModifiedBy>Windsor, Emer</cp:lastModifiedBy>
  <cp:revision>4</cp:revision>
  <cp:lastPrinted>2015-11-13T17:33:00Z</cp:lastPrinted>
  <dcterms:created xsi:type="dcterms:W3CDTF">2015-11-13T17:58:00Z</dcterms:created>
  <dcterms:modified xsi:type="dcterms:W3CDTF">2015-11-13T19:43:00Z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