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FE0A0C">
        <w:trPr>
          <w:cantSplit/>
        </w:trPr>
        <w:tc>
          <w:tcPr>
            <w:tcW w:w="6911" w:type="dxa"/>
          </w:tcPr>
          <w:p w:rsidR="00A066F1" w:rsidRPr="00FE0A0C" w:rsidRDefault="00241FA2" w:rsidP="003B2284">
            <w:pPr>
              <w:spacing w:before="400" w:after="48" w:line="240" w:lineRule="atLeast"/>
              <w:rPr>
                <w:rFonts w:ascii="Verdana" w:hAnsi="Verdana"/>
                <w:position w:val="6"/>
                <w:lang w:val="en-US"/>
              </w:rPr>
            </w:pPr>
            <w:r w:rsidRPr="00FE0A0C">
              <w:rPr>
                <w:rFonts w:ascii="Verdana" w:hAnsi="Verdana" w:cs="Times"/>
                <w:b/>
                <w:position w:val="6"/>
                <w:sz w:val="22"/>
                <w:szCs w:val="22"/>
                <w:lang w:val="en-US"/>
              </w:rPr>
              <w:t>World Radiocommunication Conference (</w:t>
            </w:r>
            <w:proofErr w:type="spellStart"/>
            <w:r w:rsidRPr="00FE0A0C">
              <w:rPr>
                <w:rFonts w:ascii="Verdana" w:hAnsi="Verdana" w:cs="Times"/>
                <w:b/>
                <w:position w:val="6"/>
                <w:sz w:val="22"/>
                <w:szCs w:val="22"/>
                <w:lang w:val="en-US"/>
              </w:rPr>
              <w:t>WRC</w:t>
            </w:r>
            <w:proofErr w:type="spellEnd"/>
            <w:r w:rsidRPr="00FE0A0C">
              <w:rPr>
                <w:rFonts w:ascii="Verdana" w:hAnsi="Verdana" w:cs="Times"/>
                <w:b/>
                <w:position w:val="6"/>
                <w:sz w:val="22"/>
                <w:szCs w:val="22"/>
                <w:lang w:val="en-US"/>
              </w:rPr>
              <w:t>-15)</w:t>
            </w:r>
            <w:r w:rsidRPr="00FE0A0C">
              <w:rPr>
                <w:rFonts w:ascii="Verdana" w:hAnsi="Verdana" w:cs="Times"/>
                <w:b/>
                <w:position w:val="6"/>
                <w:sz w:val="26"/>
                <w:szCs w:val="26"/>
                <w:lang w:val="en-US"/>
              </w:rPr>
              <w:br/>
            </w:r>
            <w:r w:rsidRPr="00FE0A0C">
              <w:rPr>
                <w:rFonts w:ascii="Verdana" w:hAnsi="Verdana"/>
                <w:b/>
                <w:bCs/>
                <w:position w:val="6"/>
                <w:sz w:val="18"/>
                <w:szCs w:val="18"/>
                <w:lang w:val="en-US"/>
              </w:rPr>
              <w:t>Geneva, 2–27 November 2015</w:t>
            </w:r>
          </w:p>
        </w:tc>
        <w:tc>
          <w:tcPr>
            <w:tcW w:w="3120" w:type="dxa"/>
          </w:tcPr>
          <w:p w:rsidR="00A066F1" w:rsidRPr="00FE0A0C" w:rsidRDefault="003B2284" w:rsidP="003B2284">
            <w:pPr>
              <w:spacing w:before="0" w:line="240" w:lineRule="atLeast"/>
              <w:jc w:val="right"/>
              <w:rPr>
                <w:lang w:val="en-US"/>
              </w:rPr>
            </w:pPr>
            <w:bookmarkStart w:id="0" w:name="ditulogo"/>
            <w:bookmarkEnd w:id="0"/>
            <w:r w:rsidRPr="00FE0A0C">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FE0A0C">
        <w:trPr>
          <w:cantSplit/>
        </w:trPr>
        <w:tc>
          <w:tcPr>
            <w:tcW w:w="6911" w:type="dxa"/>
            <w:tcBorders>
              <w:bottom w:val="single" w:sz="12" w:space="0" w:color="auto"/>
            </w:tcBorders>
          </w:tcPr>
          <w:p w:rsidR="00A066F1" w:rsidRPr="00FE0A0C" w:rsidRDefault="003B2284" w:rsidP="00A066F1">
            <w:pPr>
              <w:spacing w:before="0" w:after="48" w:line="240" w:lineRule="atLeast"/>
              <w:rPr>
                <w:rFonts w:ascii="Verdana" w:hAnsi="Verdana"/>
                <w:b/>
                <w:smallCaps/>
                <w:sz w:val="20"/>
                <w:lang w:val="en-US"/>
              </w:rPr>
            </w:pPr>
            <w:bookmarkStart w:id="1" w:name="dhead"/>
            <w:r w:rsidRPr="00FE0A0C">
              <w:rPr>
                <w:rFonts w:ascii="Verdana" w:hAnsi="Verdana"/>
                <w:b/>
                <w:smallCaps/>
                <w:sz w:val="20"/>
                <w:lang w:val="en-US"/>
              </w:rPr>
              <w:t>INTERNATIONAL TELECOMMUNICATION UNION</w:t>
            </w:r>
          </w:p>
        </w:tc>
        <w:tc>
          <w:tcPr>
            <w:tcW w:w="3120" w:type="dxa"/>
            <w:tcBorders>
              <w:bottom w:val="single" w:sz="12" w:space="0" w:color="auto"/>
            </w:tcBorders>
          </w:tcPr>
          <w:p w:rsidR="00A066F1" w:rsidRPr="00FE0A0C" w:rsidRDefault="00A066F1" w:rsidP="00A066F1">
            <w:pPr>
              <w:spacing w:before="0" w:line="240" w:lineRule="atLeast"/>
              <w:rPr>
                <w:rFonts w:ascii="Verdana" w:hAnsi="Verdana"/>
                <w:szCs w:val="24"/>
                <w:lang w:val="en-US"/>
              </w:rPr>
            </w:pPr>
          </w:p>
        </w:tc>
      </w:tr>
      <w:tr w:rsidR="00A066F1" w:rsidRPr="00FE0A0C">
        <w:trPr>
          <w:cantSplit/>
        </w:trPr>
        <w:tc>
          <w:tcPr>
            <w:tcW w:w="6911" w:type="dxa"/>
            <w:tcBorders>
              <w:top w:val="single" w:sz="12" w:space="0" w:color="auto"/>
            </w:tcBorders>
          </w:tcPr>
          <w:p w:rsidR="00A066F1" w:rsidRPr="00FE0A0C"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FE0A0C" w:rsidRDefault="00A066F1" w:rsidP="00A066F1">
            <w:pPr>
              <w:spacing w:before="0" w:line="240" w:lineRule="atLeast"/>
              <w:rPr>
                <w:rFonts w:ascii="Verdana" w:hAnsi="Verdana"/>
                <w:sz w:val="20"/>
                <w:lang w:val="en-US"/>
              </w:rPr>
            </w:pPr>
          </w:p>
        </w:tc>
      </w:tr>
      <w:tr w:rsidR="00A066F1" w:rsidRPr="00FE0A0C">
        <w:trPr>
          <w:cantSplit/>
          <w:trHeight w:val="23"/>
        </w:trPr>
        <w:tc>
          <w:tcPr>
            <w:tcW w:w="6911" w:type="dxa"/>
            <w:shd w:val="clear" w:color="auto" w:fill="auto"/>
          </w:tcPr>
          <w:p w:rsidR="00A066F1" w:rsidRPr="00FE0A0C"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FE0A0C">
              <w:rPr>
                <w:rFonts w:ascii="Verdana" w:hAnsi="Verdana"/>
                <w:sz w:val="20"/>
                <w:szCs w:val="20"/>
                <w:lang w:val="en-US"/>
              </w:rPr>
              <w:t>COMMITTEE 6</w:t>
            </w:r>
          </w:p>
        </w:tc>
        <w:tc>
          <w:tcPr>
            <w:tcW w:w="3120" w:type="dxa"/>
            <w:shd w:val="clear" w:color="auto" w:fill="auto"/>
          </w:tcPr>
          <w:p w:rsidR="00A066F1" w:rsidRPr="00FE0A0C" w:rsidRDefault="00E55816" w:rsidP="00AA666F">
            <w:pPr>
              <w:tabs>
                <w:tab w:val="left" w:pos="851"/>
              </w:tabs>
              <w:spacing w:before="0" w:line="240" w:lineRule="atLeast"/>
              <w:rPr>
                <w:rFonts w:ascii="Verdana" w:hAnsi="Verdana"/>
                <w:sz w:val="20"/>
                <w:lang w:val="en-US"/>
              </w:rPr>
            </w:pPr>
            <w:r w:rsidRPr="00FE0A0C">
              <w:rPr>
                <w:rFonts w:ascii="Verdana" w:eastAsia="SimSun" w:hAnsi="Verdana" w:cs="Traditional Arabic"/>
                <w:b/>
                <w:sz w:val="20"/>
                <w:lang w:val="en-US"/>
              </w:rPr>
              <w:t>Document 203</w:t>
            </w:r>
            <w:r w:rsidR="00A066F1" w:rsidRPr="00FE0A0C">
              <w:rPr>
                <w:rFonts w:ascii="Verdana" w:hAnsi="Verdana"/>
                <w:b/>
                <w:sz w:val="20"/>
                <w:lang w:val="en-US"/>
              </w:rPr>
              <w:t>-</w:t>
            </w:r>
            <w:r w:rsidR="005E10C9" w:rsidRPr="00FE0A0C">
              <w:rPr>
                <w:rFonts w:ascii="Verdana" w:hAnsi="Verdana"/>
                <w:b/>
                <w:sz w:val="20"/>
                <w:lang w:val="en-US"/>
              </w:rPr>
              <w:t>E</w:t>
            </w:r>
          </w:p>
        </w:tc>
      </w:tr>
      <w:tr w:rsidR="00A066F1" w:rsidRPr="00FE0A0C">
        <w:trPr>
          <w:cantSplit/>
          <w:trHeight w:val="23"/>
        </w:trPr>
        <w:tc>
          <w:tcPr>
            <w:tcW w:w="6911" w:type="dxa"/>
            <w:shd w:val="clear" w:color="auto" w:fill="auto"/>
          </w:tcPr>
          <w:p w:rsidR="00A066F1" w:rsidRPr="00FE0A0C"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FE0A0C" w:rsidRDefault="00420873" w:rsidP="00A066F1">
            <w:pPr>
              <w:tabs>
                <w:tab w:val="left" w:pos="993"/>
              </w:tabs>
              <w:spacing w:before="0"/>
              <w:rPr>
                <w:rFonts w:ascii="Verdana" w:hAnsi="Verdana"/>
                <w:sz w:val="20"/>
                <w:lang w:val="en-US"/>
              </w:rPr>
            </w:pPr>
            <w:r w:rsidRPr="00FE0A0C">
              <w:rPr>
                <w:rFonts w:ascii="Verdana" w:hAnsi="Verdana"/>
                <w:b/>
                <w:sz w:val="20"/>
                <w:lang w:val="en-US"/>
              </w:rPr>
              <w:t>6 November 2015</w:t>
            </w:r>
          </w:p>
        </w:tc>
      </w:tr>
      <w:tr w:rsidR="00A066F1" w:rsidRPr="00FE0A0C">
        <w:trPr>
          <w:cantSplit/>
          <w:trHeight w:val="23"/>
        </w:trPr>
        <w:tc>
          <w:tcPr>
            <w:tcW w:w="6911" w:type="dxa"/>
            <w:shd w:val="clear" w:color="auto" w:fill="auto"/>
          </w:tcPr>
          <w:p w:rsidR="00A066F1" w:rsidRPr="00FE0A0C"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FE0A0C" w:rsidRDefault="00E55816" w:rsidP="00A066F1">
            <w:pPr>
              <w:tabs>
                <w:tab w:val="left" w:pos="993"/>
              </w:tabs>
              <w:spacing w:before="0"/>
              <w:rPr>
                <w:rFonts w:ascii="Verdana" w:hAnsi="Verdana"/>
                <w:b/>
                <w:sz w:val="20"/>
                <w:lang w:val="en-US"/>
              </w:rPr>
            </w:pPr>
            <w:r w:rsidRPr="00FE0A0C">
              <w:rPr>
                <w:rFonts w:ascii="Verdana" w:hAnsi="Verdana"/>
                <w:b/>
                <w:sz w:val="20"/>
                <w:lang w:val="en-US"/>
              </w:rPr>
              <w:t>Original: English</w:t>
            </w:r>
          </w:p>
        </w:tc>
      </w:tr>
      <w:tr w:rsidR="00A066F1" w:rsidRPr="00FE0A0C" w:rsidTr="00025864">
        <w:trPr>
          <w:cantSplit/>
          <w:trHeight w:val="23"/>
        </w:trPr>
        <w:tc>
          <w:tcPr>
            <w:tcW w:w="10031" w:type="dxa"/>
            <w:gridSpan w:val="2"/>
            <w:shd w:val="clear" w:color="auto" w:fill="auto"/>
          </w:tcPr>
          <w:p w:rsidR="00A066F1" w:rsidRPr="00FE0A0C" w:rsidRDefault="00A066F1" w:rsidP="00A066F1">
            <w:pPr>
              <w:tabs>
                <w:tab w:val="left" w:pos="993"/>
              </w:tabs>
              <w:spacing w:before="0"/>
              <w:rPr>
                <w:rFonts w:ascii="Verdana" w:hAnsi="Verdana"/>
                <w:b/>
                <w:sz w:val="20"/>
                <w:lang w:val="en-US"/>
              </w:rPr>
            </w:pPr>
          </w:p>
        </w:tc>
      </w:tr>
      <w:tr w:rsidR="00E55816" w:rsidRPr="00FE0A0C" w:rsidTr="00025864">
        <w:trPr>
          <w:cantSplit/>
          <w:trHeight w:val="23"/>
        </w:trPr>
        <w:tc>
          <w:tcPr>
            <w:tcW w:w="10031" w:type="dxa"/>
            <w:gridSpan w:val="2"/>
            <w:shd w:val="clear" w:color="auto" w:fill="auto"/>
          </w:tcPr>
          <w:p w:rsidR="00E55816" w:rsidRPr="00FE0A0C" w:rsidRDefault="00884D60" w:rsidP="00E55816">
            <w:pPr>
              <w:pStyle w:val="Source"/>
              <w:rPr>
                <w:lang w:val="en-US"/>
              </w:rPr>
            </w:pPr>
            <w:r w:rsidRPr="00FE0A0C">
              <w:rPr>
                <w:lang w:val="en-US"/>
              </w:rPr>
              <w:t>Croatia (Republic of)</w:t>
            </w:r>
          </w:p>
        </w:tc>
      </w:tr>
      <w:tr w:rsidR="00E55816" w:rsidRPr="00FE0A0C" w:rsidTr="00025864">
        <w:trPr>
          <w:cantSplit/>
          <w:trHeight w:val="23"/>
        </w:trPr>
        <w:tc>
          <w:tcPr>
            <w:tcW w:w="10031" w:type="dxa"/>
            <w:gridSpan w:val="2"/>
            <w:shd w:val="clear" w:color="auto" w:fill="auto"/>
          </w:tcPr>
          <w:p w:rsidR="00E55816" w:rsidRPr="00FE0A0C" w:rsidRDefault="007D5320" w:rsidP="00E55816">
            <w:pPr>
              <w:pStyle w:val="Title1"/>
              <w:rPr>
                <w:lang w:val="en-US"/>
              </w:rPr>
            </w:pPr>
            <w:r w:rsidRPr="00FE0A0C">
              <w:rPr>
                <w:lang w:val="en-US"/>
              </w:rPr>
              <w:t>Proposals for the work of the conference</w:t>
            </w:r>
          </w:p>
        </w:tc>
      </w:tr>
      <w:tr w:rsidR="00E55816" w:rsidRPr="00FE0A0C" w:rsidTr="00025864">
        <w:trPr>
          <w:cantSplit/>
          <w:trHeight w:val="23"/>
        </w:trPr>
        <w:tc>
          <w:tcPr>
            <w:tcW w:w="10031" w:type="dxa"/>
            <w:gridSpan w:val="2"/>
            <w:shd w:val="clear" w:color="auto" w:fill="auto"/>
          </w:tcPr>
          <w:p w:rsidR="00E55816" w:rsidRPr="00FE0A0C" w:rsidRDefault="00E55816" w:rsidP="00E55816">
            <w:pPr>
              <w:pStyle w:val="Title2"/>
              <w:rPr>
                <w:lang w:val="en-US"/>
              </w:rPr>
            </w:pPr>
          </w:p>
        </w:tc>
      </w:tr>
      <w:tr w:rsidR="00A538A6" w:rsidRPr="00FE0A0C" w:rsidTr="00025864">
        <w:trPr>
          <w:cantSplit/>
          <w:trHeight w:val="23"/>
        </w:trPr>
        <w:tc>
          <w:tcPr>
            <w:tcW w:w="10031" w:type="dxa"/>
            <w:gridSpan w:val="2"/>
            <w:shd w:val="clear" w:color="auto" w:fill="auto"/>
          </w:tcPr>
          <w:p w:rsidR="00A538A6" w:rsidRPr="00FE0A0C" w:rsidRDefault="004B13CB" w:rsidP="004B13CB">
            <w:pPr>
              <w:pStyle w:val="Agendaitem"/>
              <w:rPr>
                <w:lang w:val="en-US"/>
              </w:rPr>
            </w:pPr>
            <w:r w:rsidRPr="00FE0A0C">
              <w:rPr>
                <w:lang w:val="en-US"/>
              </w:rPr>
              <w:t>Agenda item 8</w:t>
            </w:r>
          </w:p>
        </w:tc>
      </w:tr>
    </w:tbl>
    <w:bookmarkEnd w:id="6"/>
    <w:bookmarkEnd w:id="7"/>
    <w:p w:rsidR="00B02325" w:rsidRPr="00FE0A0C" w:rsidRDefault="001C4F6D" w:rsidP="0048363F">
      <w:pPr>
        <w:overflowPunct/>
        <w:autoSpaceDE/>
        <w:autoSpaceDN/>
        <w:adjustRightInd/>
        <w:textAlignment w:val="auto"/>
        <w:rPr>
          <w:lang w:val="en-US"/>
        </w:rPr>
      </w:pPr>
      <w:proofErr w:type="gramStart"/>
      <w:r w:rsidRPr="00FE0A0C">
        <w:rPr>
          <w:lang w:val="en-US"/>
        </w:rPr>
        <w:t>8</w:t>
      </w:r>
      <w:proofErr w:type="gramEnd"/>
      <w:r w:rsidRPr="00FE0A0C">
        <w:rPr>
          <w:lang w:val="en-US"/>
        </w:rPr>
        <w:tab/>
        <w:t>to consider and take appropriate action on requests from administrations to delete their country footnotes or to have their country name deleted from footnotes, if no longer required, taking into account Resolution </w:t>
      </w:r>
      <w:r w:rsidRPr="00FE0A0C">
        <w:rPr>
          <w:b/>
          <w:bCs/>
          <w:lang w:val="en-US"/>
        </w:rPr>
        <w:t>26 (</w:t>
      </w:r>
      <w:proofErr w:type="spellStart"/>
      <w:r w:rsidRPr="00FE0A0C">
        <w:rPr>
          <w:b/>
          <w:bCs/>
          <w:lang w:val="en-US"/>
        </w:rPr>
        <w:t>Rev.WRC</w:t>
      </w:r>
      <w:proofErr w:type="spellEnd"/>
      <w:r w:rsidRPr="00FE0A0C">
        <w:rPr>
          <w:b/>
          <w:bCs/>
          <w:lang w:val="en-US"/>
        </w:rPr>
        <w:noBreakHyphen/>
        <w:t>07)</w:t>
      </w:r>
      <w:r w:rsidRPr="00FE0A0C">
        <w:rPr>
          <w:lang w:val="en-US"/>
        </w:rPr>
        <w:t>;</w:t>
      </w:r>
    </w:p>
    <w:p w:rsidR="00E041C3" w:rsidRPr="00FE0A0C" w:rsidRDefault="00E041C3" w:rsidP="00FE0A0C">
      <w:pPr>
        <w:pStyle w:val="Headingb"/>
        <w:rPr>
          <w:lang w:val="en-US"/>
        </w:rPr>
      </w:pPr>
      <w:r w:rsidRPr="00FE0A0C">
        <w:rPr>
          <w:lang w:val="en-US"/>
        </w:rPr>
        <w:t>Proposals</w:t>
      </w:r>
    </w:p>
    <w:p w:rsidR="00187BD9" w:rsidRPr="00FE0A0C" w:rsidRDefault="00187BD9" w:rsidP="00FE0A0C">
      <w:pPr>
        <w:rPr>
          <w:lang w:val="en-US"/>
        </w:rPr>
      </w:pPr>
      <w:r w:rsidRPr="00FE0A0C">
        <w:rPr>
          <w:lang w:val="en-US"/>
        </w:rPr>
        <w:br w:type="page"/>
      </w:r>
    </w:p>
    <w:p w:rsidR="009B463A" w:rsidRPr="00FE0A0C" w:rsidRDefault="001C4F6D" w:rsidP="009B463A">
      <w:pPr>
        <w:pStyle w:val="ArtNo"/>
        <w:rPr>
          <w:lang w:val="en-US"/>
        </w:rPr>
      </w:pPr>
      <w:bookmarkStart w:id="8" w:name="_Toc327956582"/>
      <w:r w:rsidRPr="00FE0A0C">
        <w:rPr>
          <w:lang w:val="en-US"/>
        </w:rPr>
        <w:lastRenderedPageBreak/>
        <w:t xml:space="preserve">ARTICLE </w:t>
      </w:r>
      <w:r w:rsidRPr="00FE0A0C">
        <w:rPr>
          <w:rStyle w:val="href"/>
          <w:rFonts w:eastAsiaTheme="majorEastAsia"/>
          <w:color w:val="000000"/>
          <w:lang w:val="en-US"/>
        </w:rPr>
        <w:t>5</w:t>
      </w:r>
      <w:bookmarkEnd w:id="8"/>
    </w:p>
    <w:p w:rsidR="009B463A" w:rsidRPr="00FE0A0C" w:rsidRDefault="001C4F6D" w:rsidP="009B463A">
      <w:pPr>
        <w:pStyle w:val="Arttitle"/>
        <w:rPr>
          <w:lang w:val="en-US"/>
        </w:rPr>
      </w:pPr>
      <w:bookmarkStart w:id="9" w:name="_Toc327956583"/>
      <w:r w:rsidRPr="00FE0A0C">
        <w:rPr>
          <w:lang w:val="en-US"/>
        </w:rPr>
        <w:t>Frequency allocations</w:t>
      </w:r>
      <w:bookmarkEnd w:id="9"/>
    </w:p>
    <w:p w:rsidR="009B463A" w:rsidRPr="00FE0A0C" w:rsidRDefault="001C4F6D" w:rsidP="009B463A">
      <w:pPr>
        <w:pStyle w:val="Section1"/>
        <w:keepNext/>
        <w:rPr>
          <w:lang w:val="en-US"/>
        </w:rPr>
      </w:pPr>
      <w:r w:rsidRPr="00FE0A0C">
        <w:rPr>
          <w:lang w:val="en-US"/>
        </w:rPr>
        <w:t xml:space="preserve">Section IV – Table of Frequency </w:t>
      </w:r>
      <w:proofErr w:type="gramStart"/>
      <w:r w:rsidRPr="00FE0A0C">
        <w:rPr>
          <w:lang w:val="en-US"/>
        </w:rPr>
        <w:t>Allocations</w:t>
      </w:r>
      <w:proofErr w:type="gramEnd"/>
      <w:r w:rsidRPr="00FE0A0C">
        <w:rPr>
          <w:lang w:val="en-US"/>
        </w:rPr>
        <w:br/>
      </w:r>
      <w:r w:rsidRPr="00FE0A0C">
        <w:rPr>
          <w:b w:val="0"/>
          <w:bCs/>
          <w:lang w:val="en-US"/>
        </w:rPr>
        <w:t xml:space="preserve">(See No. </w:t>
      </w:r>
      <w:r w:rsidRPr="00FE0A0C">
        <w:rPr>
          <w:lang w:val="en-US"/>
        </w:rPr>
        <w:t>2.1</w:t>
      </w:r>
      <w:r w:rsidRPr="00FE0A0C">
        <w:rPr>
          <w:b w:val="0"/>
          <w:bCs/>
          <w:lang w:val="en-US"/>
        </w:rPr>
        <w:t>)</w:t>
      </w:r>
      <w:r w:rsidRPr="00FE0A0C">
        <w:rPr>
          <w:b w:val="0"/>
          <w:bCs/>
          <w:lang w:val="en-US"/>
        </w:rPr>
        <w:br/>
      </w:r>
      <w:r w:rsidRPr="00FE0A0C">
        <w:rPr>
          <w:lang w:val="en-US"/>
        </w:rPr>
        <w:br/>
      </w:r>
    </w:p>
    <w:p w:rsidR="00DB7CF6" w:rsidRPr="00FE0A0C" w:rsidRDefault="001C4F6D">
      <w:pPr>
        <w:pStyle w:val="Proposal"/>
        <w:rPr>
          <w:lang w:val="en-US"/>
        </w:rPr>
      </w:pPr>
      <w:r w:rsidRPr="00FE0A0C">
        <w:rPr>
          <w:lang w:val="en-US"/>
        </w:rPr>
        <w:t>MOD</w:t>
      </w:r>
      <w:r w:rsidRPr="00FE0A0C">
        <w:rPr>
          <w:lang w:val="en-US"/>
        </w:rPr>
        <w:tab/>
      </w:r>
      <w:proofErr w:type="spellStart"/>
      <w:r w:rsidRPr="00FE0A0C">
        <w:rPr>
          <w:lang w:val="en-US"/>
        </w:rPr>
        <w:t>HRV</w:t>
      </w:r>
      <w:proofErr w:type="spellEnd"/>
      <w:r w:rsidRPr="00FE0A0C">
        <w:rPr>
          <w:lang w:val="en-US"/>
        </w:rPr>
        <w:t>/203/1</w:t>
      </w:r>
    </w:p>
    <w:p w:rsidR="009B463A" w:rsidRPr="00FE0A0C" w:rsidRDefault="001C4F6D" w:rsidP="00E041C3">
      <w:pPr>
        <w:pStyle w:val="Note"/>
        <w:rPr>
          <w:sz w:val="16"/>
          <w:lang w:val="en-US"/>
        </w:rPr>
      </w:pPr>
      <w:proofErr w:type="gramStart"/>
      <w:r w:rsidRPr="00FE0A0C">
        <w:rPr>
          <w:rStyle w:val="Artdef"/>
          <w:lang w:val="en-US"/>
        </w:rPr>
        <w:t>5.96</w:t>
      </w:r>
      <w:r w:rsidRPr="00FE0A0C">
        <w:rPr>
          <w:lang w:val="en-US"/>
        </w:rPr>
        <w:tab/>
        <w:t xml:space="preserve">In Germany, Armenia, Austria, Azerbaijan, Belarus, </w:t>
      </w:r>
      <w:ins w:id="10" w:author="Capdessus, Isabelle" w:date="2015-11-06T16:29:00Z">
        <w:r w:rsidR="00E041C3" w:rsidRPr="00FE0A0C">
          <w:rPr>
            <w:lang w:val="en-US"/>
          </w:rPr>
          <w:t xml:space="preserve">Croatia, </w:t>
        </w:r>
      </w:ins>
      <w:r w:rsidRPr="00FE0A0C">
        <w:rPr>
          <w:lang w:val="en-US"/>
        </w:rPr>
        <w:t>Denmark, Estonia, the Russian Federation, Finland, Georgia, Hungary, Ireland, Iceland, Israel, Kazakhstan, Latvia, Liechtenstein, Lithuania, Malta, Moldova, Norway, Uzbekistan, Poland, Kyrgyzstan, Slovakia, the Czech Rep., the United Kingdom, Sweden, Switzerland, Tajikistan, Turkmenistan and Ukraine, administrations may allocate up to 200 kHz to their amateur service in the bands 1 715-1 800 kHz and 1 850</w:t>
      </w:r>
      <w:r w:rsidRPr="00FE0A0C">
        <w:rPr>
          <w:lang w:val="en-US"/>
        </w:rPr>
        <w:noBreakHyphen/>
        <w:t>2 000 kHz.</w:t>
      </w:r>
      <w:proofErr w:type="gramEnd"/>
      <w:r w:rsidRPr="00FE0A0C">
        <w:rPr>
          <w:lang w:val="en-US"/>
        </w:rPr>
        <w:t xml:space="preserve"> However, when allocating the bands within this range to their amateur service, administrations </w:t>
      </w:r>
      <w:proofErr w:type="gramStart"/>
      <w:r w:rsidRPr="00FE0A0C">
        <w:rPr>
          <w:lang w:val="en-US"/>
        </w:rPr>
        <w:t xml:space="preserve">shall, after prior consultation with administrations of </w:t>
      </w:r>
      <w:proofErr w:type="spellStart"/>
      <w:r w:rsidRPr="00FE0A0C">
        <w:rPr>
          <w:lang w:val="en-US"/>
        </w:rPr>
        <w:t>neighbouring</w:t>
      </w:r>
      <w:proofErr w:type="spellEnd"/>
      <w:r w:rsidRPr="00FE0A0C">
        <w:rPr>
          <w:lang w:val="en-US"/>
        </w:rPr>
        <w:t xml:space="preserve"> countries, take</w:t>
      </w:r>
      <w:proofErr w:type="gramEnd"/>
      <w:r w:rsidRPr="00FE0A0C">
        <w:rPr>
          <w:lang w:val="en-US"/>
        </w:rPr>
        <w:t xml:space="preserve"> such steps as may be necessary to prevent harmful interference from their amateur service to the fixed and mobile services of other countries. The mean power of any amateur station shall not exceed 10 W.</w:t>
      </w:r>
      <w:r w:rsidRPr="00FE0A0C">
        <w:rPr>
          <w:sz w:val="16"/>
          <w:lang w:val="en-US"/>
        </w:rPr>
        <w:t>     (</w:t>
      </w:r>
      <w:proofErr w:type="spellStart"/>
      <w:r w:rsidRPr="00FE0A0C">
        <w:rPr>
          <w:sz w:val="16"/>
          <w:lang w:val="en-US"/>
        </w:rPr>
        <w:t>WRC</w:t>
      </w:r>
      <w:proofErr w:type="spellEnd"/>
      <w:r w:rsidRPr="00FE0A0C">
        <w:rPr>
          <w:sz w:val="16"/>
          <w:lang w:val="en-US"/>
        </w:rPr>
        <w:t>-</w:t>
      </w:r>
      <w:del w:id="11" w:author="Capdessus, Isabelle" w:date="2015-11-06T16:30:00Z">
        <w:r w:rsidRPr="00FE0A0C" w:rsidDel="00E041C3">
          <w:rPr>
            <w:sz w:val="16"/>
            <w:lang w:val="en-US"/>
          </w:rPr>
          <w:delText>03</w:delText>
        </w:r>
      </w:del>
      <w:ins w:id="12" w:author="Capdessus, Isabelle" w:date="2015-11-06T16:30:00Z">
        <w:r w:rsidR="00E041C3" w:rsidRPr="00FE0A0C">
          <w:rPr>
            <w:sz w:val="16"/>
            <w:lang w:val="en-US"/>
          </w:rPr>
          <w:t>15</w:t>
        </w:r>
      </w:ins>
      <w:r w:rsidRPr="00FE0A0C">
        <w:rPr>
          <w:sz w:val="16"/>
          <w:lang w:val="en-US"/>
        </w:rPr>
        <w:t>)</w:t>
      </w:r>
    </w:p>
    <w:p w:rsidR="00DB7CF6" w:rsidRPr="00FE0A0C" w:rsidRDefault="001C4F6D" w:rsidP="00E041C3">
      <w:pPr>
        <w:pStyle w:val="Reasons"/>
        <w:rPr>
          <w:lang w:val="en-US"/>
        </w:rPr>
      </w:pPr>
      <w:r w:rsidRPr="00FE0A0C">
        <w:rPr>
          <w:b/>
          <w:lang w:val="en-US"/>
        </w:rPr>
        <w:t>Reasons:</w:t>
      </w:r>
      <w:r w:rsidRPr="00FE0A0C">
        <w:rPr>
          <w:lang w:val="en-US"/>
        </w:rPr>
        <w:tab/>
      </w:r>
      <w:r w:rsidR="00E041C3" w:rsidRPr="00FE0A0C">
        <w:rPr>
          <w:lang w:val="en-US"/>
        </w:rPr>
        <w:t>In Croatia, amateur service is developing and additional use of the bands 1 715-1 800 </w:t>
      </w:r>
      <w:proofErr w:type="gramStart"/>
      <w:r w:rsidR="00E041C3" w:rsidRPr="00FE0A0C">
        <w:rPr>
          <w:lang w:val="en-US"/>
        </w:rPr>
        <w:t>kHz</w:t>
      </w:r>
      <w:proofErr w:type="gramEnd"/>
      <w:r w:rsidR="00E041C3" w:rsidRPr="00FE0A0C">
        <w:rPr>
          <w:lang w:val="en-US"/>
        </w:rPr>
        <w:t xml:space="preserve"> and 1 850-2 000 kHz would enhance their service.</w:t>
      </w:r>
    </w:p>
    <w:p w:rsidR="00DB7CF6" w:rsidRPr="00FE0A0C" w:rsidRDefault="001C4F6D">
      <w:pPr>
        <w:pStyle w:val="Proposal"/>
        <w:rPr>
          <w:lang w:val="en-US"/>
        </w:rPr>
      </w:pPr>
      <w:r w:rsidRPr="00FE0A0C">
        <w:rPr>
          <w:lang w:val="en-US"/>
        </w:rPr>
        <w:t>MOD</w:t>
      </w:r>
      <w:r w:rsidRPr="00FE0A0C">
        <w:rPr>
          <w:lang w:val="en-US"/>
        </w:rPr>
        <w:tab/>
      </w:r>
      <w:proofErr w:type="spellStart"/>
      <w:r w:rsidRPr="00FE0A0C">
        <w:rPr>
          <w:lang w:val="en-US"/>
        </w:rPr>
        <w:t>HRV</w:t>
      </w:r>
      <w:proofErr w:type="spellEnd"/>
      <w:r w:rsidRPr="00FE0A0C">
        <w:rPr>
          <w:lang w:val="en-US"/>
        </w:rPr>
        <w:t>/203/2</w:t>
      </w:r>
    </w:p>
    <w:p w:rsidR="009B463A" w:rsidRPr="00FE0A0C" w:rsidRDefault="001C4F6D">
      <w:pPr>
        <w:pStyle w:val="Note"/>
        <w:rPr>
          <w:lang w:val="en-US"/>
        </w:rPr>
      </w:pPr>
      <w:proofErr w:type="gramStart"/>
      <w:r w:rsidRPr="00FE0A0C">
        <w:rPr>
          <w:rStyle w:val="Artdef"/>
          <w:lang w:val="en-US"/>
        </w:rPr>
        <w:t>5.164</w:t>
      </w:r>
      <w:r w:rsidRPr="00FE0A0C">
        <w:rPr>
          <w:b/>
          <w:lang w:val="en-US"/>
        </w:rPr>
        <w:tab/>
      </w:r>
      <w:r w:rsidRPr="00FE0A0C">
        <w:rPr>
          <w:i/>
          <w:iCs/>
          <w:lang w:val="en-US"/>
        </w:rPr>
        <w:t>Additional allocation:</w:t>
      </w:r>
      <w:r w:rsidRPr="00FE0A0C">
        <w:rPr>
          <w:lang w:val="en-US"/>
        </w:rPr>
        <w:t xml:space="preserve">  in Albania, Algeria, Germany, Austria, Belgium, Bosnia and Herzegovina, Botswana, Bulgaria, Côte d'Ivoire, </w:t>
      </w:r>
      <w:ins w:id="13" w:author="Capdessus, Isabelle" w:date="2015-11-06T16:30:00Z">
        <w:r w:rsidR="00E041C3" w:rsidRPr="00FE0A0C">
          <w:rPr>
            <w:lang w:val="en-US"/>
          </w:rPr>
          <w:t xml:space="preserve">Croatia, </w:t>
        </w:r>
      </w:ins>
      <w:r w:rsidRPr="00FE0A0C">
        <w:rPr>
          <w:lang w:val="en-US"/>
        </w:rPr>
        <w:t>Denmark, Spain, Estonia, Finland, France, Gabon, Greece, Ireland, Israel, Italy, Jordan, Lebanon, Libya, Liechtenstein, Lithuania, Luxembourg, Madagascar, Mali, Malta, Morocco, Mauritania, Monaco, Montenegro, Nigeria, Norway, the Netherlands, Poland, Syrian Arab Republic, Slovakia, Czech Rep., Romania, the United Kingdom, Serbia, Slovenia, Sweden, Switzerland, Swaziland, Chad, Togo, Tunisia and Turkey, the band 47-68 MHz, in South Africa the band 47-50 MHz, and in Latvia the band 48.5-56.5 MHz, are also allocated to the land mobile service on a primary basis.</w:t>
      </w:r>
      <w:proofErr w:type="gramEnd"/>
      <w:r w:rsidRPr="00FE0A0C">
        <w:rPr>
          <w:lang w:val="en-US"/>
        </w:rPr>
        <w:t xml:space="preserve"> However, stations of the land mobile service in the countries mentioned in connection with each band referred to in this footnote shall not cause harmful interference to, or claim protection from, existing or planned broadcasting stations of countries other than those mentioned in connection with the band.</w:t>
      </w:r>
      <w:r w:rsidRPr="00FE0A0C">
        <w:rPr>
          <w:sz w:val="16"/>
          <w:lang w:val="en-US"/>
        </w:rPr>
        <w:t>    (</w:t>
      </w:r>
      <w:proofErr w:type="spellStart"/>
      <w:r w:rsidRPr="00FE0A0C">
        <w:rPr>
          <w:sz w:val="16"/>
          <w:lang w:val="en-US"/>
        </w:rPr>
        <w:t>WRC</w:t>
      </w:r>
      <w:proofErr w:type="spellEnd"/>
      <w:r w:rsidRPr="00FE0A0C">
        <w:rPr>
          <w:sz w:val="16"/>
          <w:lang w:val="en-US"/>
        </w:rPr>
        <w:noBreakHyphen/>
      </w:r>
      <w:del w:id="14" w:author="Capdessus, Isabelle" w:date="2015-11-06T16:30:00Z">
        <w:r w:rsidRPr="00FE0A0C" w:rsidDel="00E041C3">
          <w:rPr>
            <w:sz w:val="16"/>
            <w:lang w:val="en-US"/>
          </w:rPr>
          <w:delText>12</w:delText>
        </w:r>
      </w:del>
      <w:ins w:id="15" w:author="Capdessus, Isabelle" w:date="2015-11-06T16:30:00Z">
        <w:r w:rsidR="00E041C3" w:rsidRPr="00FE0A0C">
          <w:rPr>
            <w:sz w:val="16"/>
            <w:lang w:val="en-US"/>
          </w:rPr>
          <w:t>15</w:t>
        </w:r>
      </w:ins>
      <w:r w:rsidRPr="00FE0A0C">
        <w:rPr>
          <w:sz w:val="16"/>
          <w:lang w:val="en-US"/>
        </w:rPr>
        <w:t>)</w:t>
      </w:r>
    </w:p>
    <w:p w:rsidR="00DB7CF6" w:rsidRPr="00FE0A0C" w:rsidRDefault="001C4F6D">
      <w:pPr>
        <w:pStyle w:val="Reasons"/>
        <w:rPr>
          <w:lang w:val="en-US"/>
        </w:rPr>
      </w:pPr>
      <w:r w:rsidRPr="00FE0A0C">
        <w:rPr>
          <w:b/>
          <w:lang w:val="en-US"/>
        </w:rPr>
        <w:t>Reasons:</w:t>
      </w:r>
      <w:r w:rsidRPr="00FE0A0C">
        <w:rPr>
          <w:lang w:val="en-US"/>
        </w:rPr>
        <w:tab/>
      </w:r>
      <w:r w:rsidR="00E041C3" w:rsidRPr="00FE0A0C">
        <w:rPr>
          <w:lang w:val="en-US"/>
        </w:rPr>
        <w:t xml:space="preserve">In Croatia the </w:t>
      </w:r>
      <w:proofErr w:type="gramStart"/>
      <w:r w:rsidR="00E041C3" w:rsidRPr="00FE0A0C">
        <w:rPr>
          <w:lang w:val="en-US"/>
        </w:rPr>
        <w:t>band</w:t>
      </w:r>
      <w:proofErr w:type="gramEnd"/>
      <w:r w:rsidR="00E041C3" w:rsidRPr="00FE0A0C">
        <w:rPr>
          <w:lang w:val="en-US"/>
        </w:rPr>
        <w:t xml:space="preserve"> </w:t>
      </w:r>
      <w:r w:rsidR="00E041C3" w:rsidRPr="00FE0A0C">
        <w:rPr>
          <w:szCs w:val="24"/>
          <w:lang w:val="en-US"/>
        </w:rPr>
        <w:t>47-68 MHz</w:t>
      </w:r>
      <w:r w:rsidR="00E041C3" w:rsidRPr="00FE0A0C">
        <w:rPr>
          <w:lang w:val="en-US"/>
        </w:rPr>
        <w:t xml:space="preserve"> is currently not used. In line with the Croatian national frequency allocation table, this modification will enable the use of radio spectrum for deployment and development of the land mobile service systems.</w:t>
      </w:r>
    </w:p>
    <w:p w:rsidR="00E041C3" w:rsidRPr="00FE0A0C" w:rsidRDefault="00E041C3">
      <w:pPr>
        <w:jc w:val="center"/>
        <w:rPr>
          <w:lang w:val="en-US"/>
        </w:rPr>
      </w:pPr>
      <w:bookmarkStart w:id="16" w:name="_GoBack"/>
      <w:bookmarkEnd w:id="16"/>
      <w:r w:rsidRPr="00FE0A0C">
        <w:rPr>
          <w:lang w:val="en-US"/>
        </w:rPr>
        <w:t>______________</w:t>
      </w:r>
    </w:p>
    <w:sectPr w:rsidR="00E041C3" w:rsidRPr="00FE0A0C">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E0A0C">
      <w:rPr>
        <w:noProof/>
        <w:lang w:val="en-US"/>
      </w:rPr>
      <w:t>P:\ENG\ITU-R\CONF-R\CMR15\200\203E.docx</w:t>
    </w:r>
    <w:r>
      <w:fldChar w:fldCharType="end"/>
    </w:r>
    <w:r w:rsidRPr="0041348E">
      <w:rPr>
        <w:lang w:val="en-US"/>
      </w:rPr>
      <w:tab/>
    </w:r>
    <w:r>
      <w:fldChar w:fldCharType="begin"/>
    </w:r>
    <w:r>
      <w:instrText xml:space="preserve"> SAVEDATE \@ DD.MM.YY </w:instrText>
    </w:r>
    <w:r>
      <w:fldChar w:fldCharType="separate"/>
    </w:r>
    <w:r w:rsidR="00FE0A0C">
      <w:rPr>
        <w:noProof/>
      </w:rPr>
      <w:t>06.11.15</w:t>
    </w:r>
    <w:r>
      <w:fldChar w:fldCharType="end"/>
    </w:r>
    <w:r w:rsidRPr="0041348E">
      <w:rPr>
        <w:lang w:val="en-US"/>
      </w:rPr>
      <w:tab/>
    </w:r>
    <w:r>
      <w:fldChar w:fldCharType="begin"/>
    </w:r>
    <w:r>
      <w:instrText xml:space="preserve"> PRINTDATE \@ DD.MM.YY </w:instrText>
    </w:r>
    <w:r>
      <w:fldChar w:fldCharType="separate"/>
    </w:r>
    <w:r w:rsidR="00FE0A0C">
      <w:rPr>
        <w:noProof/>
      </w:rP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FE0A0C">
      <w:rPr>
        <w:lang w:val="en-US"/>
      </w:rPr>
      <w:t>P:\ENG\ITU-R\CONF-R\CMR15\200\203E.docx</w:t>
    </w:r>
    <w:r>
      <w:fldChar w:fldCharType="end"/>
    </w:r>
    <w:r w:rsidR="00FE0A0C">
      <w:t xml:space="preserve"> </w:t>
    </w:r>
    <w:r w:rsidR="00FE0A0C">
      <w:t>(389821)</w:t>
    </w:r>
    <w:r w:rsidRPr="0041348E">
      <w:rPr>
        <w:lang w:val="en-US"/>
      </w:rPr>
      <w:tab/>
    </w:r>
    <w:r>
      <w:fldChar w:fldCharType="begin"/>
    </w:r>
    <w:r>
      <w:instrText xml:space="preserve"> SAVEDATE \@ DD.MM.YY </w:instrText>
    </w:r>
    <w:r>
      <w:fldChar w:fldCharType="separate"/>
    </w:r>
    <w:r w:rsidR="00FE0A0C">
      <w:t>06.11.15</w:t>
    </w:r>
    <w:r>
      <w:fldChar w:fldCharType="end"/>
    </w:r>
    <w:r w:rsidRPr="0041348E">
      <w:rPr>
        <w:lang w:val="en-US"/>
      </w:rPr>
      <w:tab/>
    </w:r>
    <w:r>
      <w:fldChar w:fldCharType="begin"/>
    </w:r>
    <w:r>
      <w:instrText xml:space="preserve"> PRINTDATE \@ DD.MM.YY </w:instrText>
    </w:r>
    <w:r>
      <w:fldChar w:fldCharType="separate"/>
    </w:r>
    <w:r w:rsidR="00FE0A0C">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E0A0C">
      <w:rPr>
        <w:lang w:val="en-US"/>
      </w:rPr>
      <w:t>P:\ENG\ITU-R\CONF-R\CMR15\200\203E.docx</w:t>
    </w:r>
    <w:r>
      <w:fldChar w:fldCharType="end"/>
    </w:r>
    <w:r w:rsidR="00FE0A0C">
      <w:t xml:space="preserve"> (389821)</w:t>
    </w:r>
    <w:r w:rsidRPr="0041348E">
      <w:rPr>
        <w:lang w:val="en-US"/>
      </w:rPr>
      <w:tab/>
    </w:r>
    <w:r>
      <w:fldChar w:fldCharType="begin"/>
    </w:r>
    <w:r>
      <w:instrText xml:space="preserve"> SAVEDATE \@ DD.MM.YY </w:instrText>
    </w:r>
    <w:r>
      <w:fldChar w:fldCharType="separate"/>
    </w:r>
    <w:r w:rsidR="00FE0A0C">
      <w:t>06.11.15</w:t>
    </w:r>
    <w:r>
      <w:fldChar w:fldCharType="end"/>
    </w:r>
    <w:r w:rsidRPr="0041348E">
      <w:rPr>
        <w:lang w:val="en-US"/>
      </w:rPr>
      <w:tab/>
    </w:r>
    <w:r>
      <w:fldChar w:fldCharType="begin"/>
    </w:r>
    <w:r>
      <w:instrText xml:space="preserve"> PRINTDATE \@ DD.MM.YY </w:instrText>
    </w:r>
    <w:r>
      <w:fldChar w:fldCharType="separate"/>
    </w:r>
    <w:r w:rsidR="00FE0A0C">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E0A0C">
      <w:rPr>
        <w:noProof/>
      </w:rPr>
      <w:t>2</w:t>
    </w:r>
    <w:r>
      <w:fldChar w:fldCharType="end"/>
    </w:r>
  </w:p>
  <w:p w:rsidR="00A066F1" w:rsidRPr="00A066F1" w:rsidRDefault="00187BD9" w:rsidP="00241FA2">
    <w:pPr>
      <w:pStyle w:val="Header"/>
    </w:pPr>
    <w:proofErr w:type="spellStart"/>
    <w:r>
      <w:t>CMR1</w:t>
    </w:r>
    <w:r w:rsidR="00241FA2">
      <w:t>5</w:t>
    </w:r>
    <w:proofErr w:type="spellEnd"/>
    <w:r w:rsidR="00A066F1">
      <w:t>/</w:t>
    </w:r>
    <w:bookmarkStart w:id="17" w:name="OLE_LINK1"/>
    <w:bookmarkStart w:id="18" w:name="OLE_LINK2"/>
    <w:bookmarkStart w:id="19" w:name="OLE_LINK3"/>
    <w:r w:rsidR="00EB55C6">
      <w:t>203</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C4F6D"/>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A7FDB"/>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46335"/>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B7CF6"/>
    <w:rsid w:val="00DD44AF"/>
    <w:rsid w:val="00DE2AC3"/>
    <w:rsid w:val="00DE5692"/>
    <w:rsid w:val="00DF4BC6"/>
    <w:rsid w:val="00E03C94"/>
    <w:rsid w:val="00E041C3"/>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0A0C"/>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8395043-7B3D-4C06-9288-3FA88715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A0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R15-WRC15-C-0203!!MSW-E</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3CDD5DB6-40DD-4ADF-BBD7-D06DC0126FB8}">
  <ds:schemaRef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32a1a8c5-2265-4ebc-b7a0-2071e2c5c9bb"/>
    <ds:schemaRef ds:uri="http://purl.org/dc/terms/"/>
    <ds:schemaRef ds:uri="http://schemas.microsoft.com/office/2006/documentManagement/type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AD6EF8-BE82-420A-BEC9-60886B74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2</Pages>
  <Words>420</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R15-WRC15-C-0203!!MSW-E</vt:lpstr>
    </vt:vector>
  </TitlesOfParts>
  <Manager>General Secretariat - Pool</Manager>
  <Company>International Telecommunication Union (ITU)</Company>
  <LinksUpToDate>false</LinksUpToDate>
  <CharactersWithSpaces>2958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R15-WRC15-C-0203!!MSW-E</dc:title>
  <dc:subject>World Radiocommunication Conference - 2015</dc:subject>
  <dc:creator>Documents Proposals Manager (DPM)</dc:creator>
  <cp:keywords>DPM_v5.2015.11.61_prod</cp:keywords>
  <dc:description>Uploaded on 2015.07.06</dc:description>
  <cp:lastModifiedBy>Pavlenko, Kseniia</cp:lastModifiedBy>
  <cp:revision>3</cp:revision>
  <cp:lastPrinted>2015-11-06T20:34:00Z</cp:lastPrinted>
  <dcterms:created xsi:type="dcterms:W3CDTF">2015-11-06T20:31:00Z</dcterms:created>
  <dcterms:modified xsi:type="dcterms:W3CDTF">2015-11-06T20:34:00Z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