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6D4220">
        <w:trPr>
          <w:cantSplit/>
        </w:trPr>
        <w:tc>
          <w:tcPr>
            <w:tcW w:w="6911" w:type="dxa"/>
          </w:tcPr>
          <w:p w:rsidR="00A066F1" w:rsidRPr="006D4220" w:rsidRDefault="00241FA2" w:rsidP="003B2284">
            <w:pPr>
              <w:spacing w:before="400" w:after="48" w:line="240" w:lineRule="atLeast"/>
              <w:rPr>
                <w:rFonts w:ascii="Verdana" w:hAnsi="Verdana"/>
                <w:position w:val="6"/>
                <w:lang w:val="en-US"/>
              </w:rPr>
            </w:pPr>
            <w:r w:rsidRPr="006D4220">
              <w:rPr>
                <w:rFonts w:ascii="Verdana" w:hAnsi="Verdana" w:cs="Times"/>
                <w:b/>
                <w:position w:val="6"/>
                <w:sz w:val="22"/>
                <w:szCs w:val="22"/>
                <w:lang w:val="en-US"/>
              </w:rPr>
              <w:t>World Radiocommunication Conference (WRC-15)</w:t>
            </w:r>
            <w:r w:rsidRPr="006D4220">
              <w:rPr>
                <w:rFonts w:ascii="Verdana" w:hAnsi="Verdana" w:cs="Times"/>
                <w:b/>
                <w:position w:val="6"/>
                <w:sz w:val="26"/>
                <w:szCs w:val="26"/>
                <w:lang w:val="en-US"/>
              </w:rPr>
              <w:br/>
            </w:r>
            <w:r w:rsidRPr="006D4220">
              <w:rPr>
                <w:rFonts w:ascii="Verdana" w:hAnsi="Verdana"/>
                <w:b/>
                <w:bCs/>
                <w:position w:val="6"/>
                <w:sz w:val="18"/>
                <w:szCs w:val="18"/>
                <w:lang w:val="en-US"/>
              </w:rPr>
              <w:t>Geneva, 2–27 November 2015</w:t>
            </w:r>
          </w:p>
        </w:tc>
        <w:tc>
          <w:tcPr>
            <w:tcW w:w="3120" w:type="dxa"/>
          </w:tcPr>
          <w:p w:rsidR="00A066F1" w:rsidRPr="006D4220" w:rsidRDefault="003B2284" w:rsidP="003B2284">
            <w:pPr>
              <w:spacing w:before="0" w:line="240" w:lineRule="atLeast"/>
              <w:jc w:val="right"/>
              <w:rPr>
                <w:lang w:val="en-US"/>
              </w:rPr>
            </w:pPr>
            <w:bookmarkStart w:id="0" w:name="ditulogo"/>
            <w:bookmarkEnd w:id="0"/>
            <w:r w:rsidRPr="006D4220">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D4220">
        <w:trPr>
          <w:cantSplit/>
        </w:trPr>
        <w:tc>
          <w:tcPr>
            <w:tcW w:w="6911" w:type="dxa"/>
            <w:tcBorders>
              <w:bottom w:val="single" w:sz="12" w:space="0" w:color="auto"/>
            </w:tcBorders>
          </w:tcPr>
          <w:p w:rsidR="00A066F1" w:rsidRPr="006D4220" w:rsidRDefault="003B2284" w:rsidP="00A066F1">
            <w:pPr>
              <w:spacing w:before="0" w:after="48" w:line="240" w:lineRule="atLeast"/>
              <w:rPr>
                <w:rFonts w:ascii="Verdana" w:hAnsi="Verdana"/>
                <w:b/>
                <w:smallCaps/>
                <w:sz w:val="20"/>
                <w:lang w:val="en-US"/>
              </w:rPr>
            </w:pPr>
            <w:bookmarkStart w:id="1" w:name="dhead"/>
            <w:r w:rsidRPr="006D4220">
              <w:rPr>
                <w:rFonts w:ascii="Verdana" w:hAnsi="Verdana"/>
                <w:b/>
                <w:smallCaps/>
                <w:sz w:val="20"/>
                <w:lang w:val="en-US"/>
              </w:rPr>
              <w:t>INTERNATIONAL TELECOMMUNICATION UNION</w:t>
            </w:r>
          </w:p>
        </w:tc>
        <w:tc>
          <w:tcPr>
            <w:tcW w:w="3120" w:type="dxa"/>
            <w:tcBorders>
              <w:bottom w:val="single" w:sz="12" w:space="0" w:color="auto"/>
            </w:tcBorders>
          </w:tcPr>
          <w:p w:rsidR="00A066F1" w:rsidRPr="006D4220" w:rsidRDefault="00A066F1" w:rsidP="00A066F1">
            <w:pPr>
              <w:spacing w:before="0" w:line="240" w:lineRule="atLeast"/>
              <w:rPr>
                <w:rFonts w:ascii="Verdana" w:hAnsi="Verdana"/>
                <w:szCs w:val="24"/>
                <w:lang w:val="en-US"/>
              </w:rPr>
            </w:pPr>
          </w:p>
        </w:tc>
      </w:tr>
      <w:tr w:rsidR="00A066F1" w:rsidRPr="006D4220">
        <w:trPr>
          <w:cantSplit/>
        </w:trPr>
        <w:tc>
          <w:tcPr>
            <w:tcW w:w="6911" w:type="dxa"/>
            <w:tcBorders>
              <w:top w:val="single" w:sz="12" w:space="0" w:color="auto"/>
            </w:tcBorders>
          </w:tcPr>
          <w:p w:rsidR="00A066F1" w:rsidRPr="006D4220"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rsidR="00A066F1" w:rsidRPr="006D4220" w:rsidRDefault="00A066F1" w:rsidP="00A066F1">
            <w:pPr>
              <w:spacing w:before="0" w:line="240" w:lineRule="atLeast"/>
              <w:rPr>
                <w:rFonts w:ascii="Verdana" w:hAnsi="Verdana"/>
                <w:sz w:val="20"/>
                <w:lang w:val="en-US"/>
              </w:rPr>
            </w:pPr>
          </w:p>
        </w:tc>
      </w:tr>
      <w:tr w:rsidR="00A066F1" w:rsidRPr="006D4220">
        <w:trPr>
          <w:cantSplit/>
          <w:trHeight w:val="23"/>
        </w:trPr>
        <w:tc>
          <w:tcPr>
            <w:tcW w:w="6911" w:type="dxa"/>
            <w:shd w:val="clear" w:color="auto" w:fill="auto"/>
          </w:tcPr>
          <w:p w:rsidR="00A066F1" w:rsidRPr="006D4220" w:rsidRDefault="00FF5EA8" w:rsidP="004D2BFB">
            <w:pPr>
              <w:pStyle w:val="Committee"/>
              <w:framePr w:hSpace="0" w:wrap="auto" w:hAnchor="text" w:yAlign="inline"/>
              <w:rPr>
                <w:rFonts w:ascii="Verdana" w:hAnsi="Verdana"/>
                <w:sz w:val="20"/>
                <w:szCs w:val="20"/>
                <w:lang w:val="en-US"/>
              </w:rPr>
            </w:pPr>
            <w:bookmarkStart w:id="2" w:name="dnum" w:colFirst="1" w:colLast="1"/>
            <w:bookmarkStart w:id="3" w:name="dmeeting" w:colFirst="0" w:colLast="0"/>
            <w:bookmarkEnd w:id="1"/>
            <w:r w:rsidRPr="006D4220">
              <w:rPr>
                <w:rFonts w:ascii="Verdana" w:hAnsi="Verdana"/>
                <w:sz w:val="20"/>
                <w:szCs w:val="20"/>
                <w:lang w:val="en-US"/>
              </w:rPr>
              <w:t>COMMITTEE 4</w:t>
            </w:r>
          </w:p>
        </w:tc>
        <w:tc>
          <w:tcPr>
            <w:tcW w:w="3120" w:type="dxa"/>
            <w:shd w:val="clear" w:color="auto" w:fill="auto"/>
          </w:tcPr>
          <w:p w:rsidR="00A066F1" w:rsidRPr="006D4220" w:rsidRDefault="00E55816" w:rsidP="00AA666F">
            <w:pPr>
              <w:tabs>
                <w:tab w:val="left" w:pos="851"/>
              </w:tabs>
              <w:spacing w:before="0" w:line="240" w:lineRule="atLeast"/>
              <w:rPr>
                <w:rFonts w:ascii="Verdana" w:hAnsi="Verdana"/>
                <w:sz w:val="20"/>
                <w:lang w:val="en-US"/>
              </w:rPr>
            </w:pPr>
            <w:r w:rsidRPr="006D4220">
              <w:rPr>
                <w:rFonts w:ascii="Verdana" w:eastAsia="SimSun" w:hAnsi="Verdana" w:cs="Traditional Arabic"/>
                <w:b/>
                <w:sz w:val="20"/>
                <w:lang w:val="en-US"/>
              </w:rPr>
              <w:t>Addendum 1 to</w:t>
            </w:r>
            <w:r w:rsidRPr="006D4220">
              <w:rPr>
                <w:rFonts w:ascii="Verdana" w:eastAsia="SimSun" w:hAnsi="Verdana" w:cs="Traditional Arabic"/>
                <w:b/>
                <w:sz w:val="20"/>
                <w:lang w:val="en-US"/>
              </w:rPr>
              <w:br/>
              <w:t>Document 204</w:t>
            </w:r>
            <w:r w:rsidR="00A066F1" w:rsidRPr="006D4220">
              <w:rPr>
                <w:rFonts w:ascii="Verdana" w:hAnsi="Verdana"/>
                <w:b/>
                <w:sz w:val="20"/>
                <w:lang w:val="en-US"/>
              </w:rPr>
              <w:t>-</w:t>
            </w:r>
            <w:r w:rsidR="005E10C9" w:rsidRPr="006D4220">
              <w:rPr>
                <w:rFonts w:ascii="Verdana" w:hAnsi="Verdana"/>
                <w:b/>
                <w:sz w:val="20"/>
                <w:lang w:val="en-US"/>
              </w:rPr>
              <w:t>E</w:t>
            </w:r>
          </w:p>
        </w:tc>
      </w:tr>
      <w:tr w:rsidR="00A066F1" w:rsidRPr="006D4220">
        <w:trPr>
          <w:cantSplit/>
          <w:trHeight w:val="23"/>
        </w:trPr>
        <w:tc>
          <w:tcPr>
            <w:tcW w:w="6911" w:type="dxa"/>
            <w:shd w:val="clear" w:color="auto" w:fill="auto"/>
          </w:tcPr>
          <w:p w:rsidR="00A066F1" w:rsidRPr="006D4220" w:rsidRDefault="00A066F1" w:rsidP="00A066F1">
            <w:pPr>
              <w:tabs>
                <w:tab w:val="left" w:pos="851"/>
              </w:tabs>
              <w:spacing w:before="0" w:line="240" w:lineRule="atLeast"/>
              <w:rPr>
                <w:rFonts w:ascii="Verdana" w:hAnsi="Verdana"/>
                <w:b/>
                <w:sz w:val="20"/>
                <w:lang w:val="en-US"/>
              </w:rPr>
            </w:pPr>
            <w:bookmarkStart w:id="4" w:name="ddate" w:colFirst="1" w:colLast="1"/>
            <w:bookmarkStart w:id="5" w:name="dblank" w:colFirst="0" w:colLast="0"/>
            <w:bookmarkEnd w:id="2"/>
            <w:bookmarkEnd w:id="3"/>
          </w:p>
        </w:tc>
        <w:tc>
          <w:tcPr>
            <w:tcW w:w="3120" w:type="dxa"/>
            <w:shd w:val="clear" w:color="auto" w:fill="auto"/>
          </w:tcPr>
          <w:p w:rsidR="00A066F1" w:rsidRPr="006D4220" w:rsidRDefault="00420873" w:rsidP="00A066F1">
            <w:pPr>
              <w:tabs>
                <w:tab w:val="left" w:pos="993"/>
              </w:tabs>
              <w:spacing w:before="0"/>
              <w:rPr>
                <w:rFonts w:ascii="Verdana" w:hAnsi="Verdana"/>
                <w:sz w:val="20"/>
                <w:lang w:val="en-US"/>
              </w:rPr>
            </w:pPr>
            <w:r w:rsidRPr="006D4220">
              <w:rPr>
                <w:rFonts w:ascii="Verdana" w:hAnsi="Verdana"/>
                <w:b/>
                <w:sz w:val="20"/>
                <w:lang w:val="en-US"/>
              </w:rPr>
              <w:t>6 November 2015</w:t>
            </w:r>
          </w:p>
        </w:tc>
      </w:tr>
      <w:tr w:rsidR="00A066F1" w:rsidRPr="006D4220">
        <w:trPr>
          <w:cantSplit/>
          <w:trHeight w:val="23"/>
        </w:trPr>
        <w:tc>
          <w:tcPr>
            <w:tcW w:w="6911" w:type="dxa"/>
            <w:shd w:val="clear" w:color="auto" w:fill="auto"/>
          </w:tcPr>
          <w:p w:rsidR="00A066F1" w:rsidRPr="006D4220" w:rsidRDefault="00A066F1" w:rsidP="00A066F1">
            <w:pPr>
              <w:tabs>
                <w:tab w:val="left" w:pos="851"/>
              </w:tabs>
              <w:spacing w:before="0" w:line="240" w:lineRule="atLeast"/>
              <w:rPr>
                <w:rFonts w:ascii="Verdana" w:hAnsi="Verdana"/>
                <w:sz w:val="20"/>
                <w:lang w:val="en-US"/>
              </w:rPr>
            </w:pPr>
            <w:bookmarkStart w:id="6" w:name="dbluepink" w:colFirst="0" w:colLast="0"/>
            <w:bookmarkStart w:id="7" w:name="dorlang" w:colFirst="1" w:colLast="1"/>
            <w:bookmarkEnd w:id="4"/>
            <w:bookmarkEnd w:id="5"/>
          </w:p>
        </w:tc>
        <w:tc>
          <w:tcPr>
            <w:tcW w:w="3120" w:type="dxa"/>
          </w:tcPr>
          <w:p w:rsidR="00A066F1" w:rsidRPr="006D4220" w:rsidRDefault="00E55816" w:rsidP="00A066F1">
            <w:pPr>
              <w:tabs>
                <w:tab w:val="left" w:pos="993"/>
              </w:tabs>
              <w:spacing w:before="0"/>
              <w:rPr>
                <w:rFonts w:ascii="Verdana" w:hAnsi="Verdana"/>
                <w:b/>
                <w:sz w:val="20"/>
                <w:lang w:val="en-US"/>
              </w:rPr>
            </w:pPr>
            <w:r w:rsidRPr="006D4220">
              <w:rPr>
                <w:rFonts w:ascii="Verdana" w:hAnsi="Verdana"/>
                <w:b/>
                <w:sz w:val="20"/>
                <w:lang w:val="en-US"/>
              </w:rPr>
              <w:t>Original: French</w:t>
            </w:r>
          </w:p>
        </w:tc>
      </w:tr>
      <w:tr w:rsidR="00A066F1" w:rsidRPr="006D4220" w:rsidTr="00025864">
        <w:trPr>
          <w:cantSplit/>
          <w:trHeight w:val="23"/>
        </w:trPr>
        <w:tc>
          <w:tcPr>
            <w:tcW w:w="10031" w:type="dxa"/>
            <w:gridSpan w:val="2"/>
            <w:shd w:val="clear" w:color="auto" w:fill="auto"/>
          </w:tcPr>
          <w:p w:rsidR="00A066F1" w:rsidRPr="006D4220" w:rsidRDefault="00A066F1" w:rsidP="00A066F1">
            <w:pPr>
              <w:tabs>
                <w:tab w:val="left" w:pos="993"/>
              </w:tabs>
              <w:spacing w:before="0"/>
              <w:rPr>
                <w:rFonts w:ascii="Verdana" w:hAnsi="Verdana"/>
                <w:b/>
                <w:sz w:val="20"/>
                <w:lang w:val="en-US"/>
              </w:rPr>
            </w:pPr>
          </w:p>
        </w:tc>
      </w:tr>
      <w:tr w:rsidR="00E55816" w:rsidRPr="006D4220" w:rsidTr="00025864">
        <w:trPr>
          <w:cantSplit/>
          <w:trHeight w:val="23"/>
        </w:trPr>
        <w:tc>
          <w:tcPr>
            <w:tcW w:w="10031" w:type="dxa"/>
            <w:gridSpan w:val="2"/>
            <w:shd w:val="clear" w:color="auto" w:fill="auto"/>
          </w:tcPr>
          <w:p w:rsidR="00E55816" w:rsidRPr="006D4220" w:rsidRDefault="00884D60" w:rsidP="00E55816">
            <w:pPr>
              <w:pStyle w:val="Source"/>
              <w:rPr>
                <w:lang w:val="en-US"/>
              </w:rPr>
            </w:pPr>
            <w:r w:rsidRPr="006D4220">
              <w:rPr>
                <w:lang w:val="en-US"/>
              </w:rPr>
              <w:t>Gabonese Republic</w:t>
            </w:r>
          </w:p>
        </w:tc>
      </w:tr>
      <w:tr w:rsidR="00E55816" w:rsidRPr="006D4220" w:rsidTr="00025864">
        <w:trPr>
          <w:cantSplit/>
          <w:trHeight w:val="23"/>
        </w:trPr>
        <w:tc>
          <w:tcPr>
            <w:tcW w:w="10031" w:type="dxa"/>
            <w:gridSpan w:val="2"/>
            <w:shd w:val="clear" w:color="auto" w:fill="auto"/>
          </w:tcPr>
          <w:p w:rsidR="00E55816" w:rsidRPr="006D4220" w:rsidRDefault="007D5320" w:rsidP="00E55816">
            <w:pPr>
              <w:pStyle w:val="Title1"/>
              <w:rPr>
                <w:lang w:val="en-US"/>
              </w:rPr>
            </w:pPr>
            <w:r w:rsidRPr="006D4220">
              <w:rPr>
                <w:lang w:val="en-US"/>
              </w:rPr>
              <w:t>Proposals for the work of the conference</w:t>
            </w:r>
          </w:p>
        </w:tc>
      </w:tr>
      <w:tr w:rsidR="00E55816" w:rsidRPr="006D4220" w:rsidTr="00025864">
        <w:trPr>
          <w:cantSplit/>
          <w:trHeight w:val="23"/>
        </w:trPr>
        <w:tc>
          <w:tcPr>
            <w:tcW w:w="10031" w:type="dxa"/>
            <w:gridSpan w:val="2"/>
            <w:shd w:val="clear" w:color="auto" w:fill="auto"/>
          </w:tcPr>
          <w:p w:rsidR="00E55816" w:rsidRPr="006D4220" w:rsidRDefault="00E55816" w:rsidP="00E55816">
            <w:pPr>
              <w:pStyle w:val="Title2"/>
              <w:rPr>
                <w:lang w:val="en-US"/>
              </w:rPr>
            </w:pPr>
          </w:p>
        </w:tc>
      </w:tr>
      <w:tr w:rsidR="00A538A6" w:rsidRPr="006D4220" w:rsidTr="00025864">
        <w:trPr>
          <w:cantSplit/>
          <w:trHeight w:val="23"/>
        </w:trPr>
        <w:tc>
          <w:tcPr>
            <w:tcW w:w="10031" w:type="dxa"/>
            <w:gridSpan w:val="2"/>
            <w:shd w:val="clear" w:color="auto" w:fill="auto"/>
          </w:tcPr>
          <w:p w:rsidR="00A538A6" w:rsidRPr="006D4220" w:rsidRDefault="004B13CB" w:rsidP="004B13CB">
            <w:pPr>
              <w:pStyle w:val="Agendaitem"/>
              <w:rPr>
                <w:lang w:val="en-US"/>
              </w:rPr>
            </w:pPr>
            <w:r w:rsidRPr="006D4220">
              <w:rPr>
                <w:lang w:val="en-US"/>
              </w:rPr>
              <w:t>Agenda item 1.1</w:t>
            </w:r>
          </w:p>
        </w:tc>
      </w:tr>
    </w:tbl>
    <w:p w:rsidR="005118F7" w:rsidRPr="006D4220" w:rsidRDefault="006D4220" w:rsidP="002119E8">
      <w:pPr>
        <w:overflowPunct/>
        <w:autoSpaceDE/>
        <w:autoSpaceDN/>
        <w:adjustRightInd/>
        <w:textAlignment w:val="auto"/>
        <w:rPr>
          <w:lang w:val="en-US"/>
        </w:rPr>
      </w:pPr>
      <w:bookmarkStart w:id="8" w:name="dbreak"/>
      <w:bookmarkEnd w:id="6"/>
      <w:bookmarkEnd w:id="7"/>
      <w:bookmarkEnd w:id="8"/>
      <w:r w:rsidRPr="006D4220">
        <w:rPr>
          <w:lang w:val="en-US"/>
        </w:rPr>
        <w:t>1.1</w:t>
      </w:r>
      <w:r w:rsidRPr="006D4220">
        <w:rPr>
          <w:lang w:val="en-US"/>
        </w:rPr>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6D4220">
        <w:rPr>
          <w:b/>
          <w:bCs/>
          <w:lang w:val="en-US"/>
        </w:rPr>
        <w:t>233 (WRC</w:t>
      </w:r>
      <w:r w:rsidRPr="006D4220">
        <w:rPr>
          <w:b/>
          <w:bCs/>
          <w:lang w:val="en-US"/>
        </w:rPr>
        <w:noBreakHyphen/>
        <w:t>12)</w:t>
      </w:r>
      <w:r w:rsidRPr="006D4220">
        <w:rPr>
          <w:lang w:val="en-US"/>
        </w:rPr>
        <w:t>;</w:t>
      </w:r>
    </w:p>
    <w:p w:rsidR="00913067" w:rsidRPr="006D4220" w:rsidRDefault="00913067" w:rsidP="00913067">
      <w:pPr>
        <w:pStyle w:val="Headingb"/>
        <w:rPr>
          <w:lang w:val="en-US"/>
        </w:rPr>
      </w:pPr>
      <w:r w:rsidRPr="006D4220">
        <w:rPr>
          <w:lang w:val="en-US"/>
        </w:rPr>
        <w:t>Introduction</w:t>
      </w:r>
    </w:p>
    <w:p w:rsidR="00913067" w:rsidRPr="006D4220" w:rsidRDefault="00913067" w:rsidP="00913067">
      <w:pPr>
        <w:rPr>
          <w:lang w:val="en-US"/>
        </w:rPr>
      </w:pPr>
      <w:r w:rsidRPr="006D4220">
        <w:rPr>
          <w:lang w:val="en-US"/>
        </w:rPr>
        <w:t>The timely availability of adequate spectrum, with appropriate regulatory provisions, as well as improvements to the technologies concerned, are crucial to supporting future growth of IMT and other mobile broadband systems. At the same time, harmonized spectrum for such systems at the global level is highly desirable as a means of facilitating global roaming and promoting economies of scale.</w:t>
      </w:r>
    </w:p>
    <w:p w:rsidR="00913067" w:rsidRPr="006D4220" w:rsidRDefault="00913067" w:rsidP="00913067">
      <w:pPr>
        <w:rPr>
          <w:lang w:val="en-US"/>
        </w:rPr>
      </w:pPr>
      <w:r w:rsidRPr="006D4220">
        <w:rPr>
          <w:lang w:val="en-US"/>
        </w:rPr>
        <w:t xml:space="preserve">Bearing in mind that: </w:t>
      </w:r>
    </w:p>
    <w:p w:rsidR="00913067" w:rsidRPr="006D4220" w:rsidRDefault="00913067" w:rsidP="00913067">
      <w:pPr>
        <w:pStyle w:val="enumlev1"/>
        <w:rPr>
          <w:lang w:val="en-US"/>
        </w:rPr>
      </w:pPr>
      <w:r w:rsidRPr="006D4220">
        <w:rPr>
          <w:lang w:val="en-US"/>
        </w:rPr>
        <w:t>−</w:t>
      </w:r>
      <w:r w:rsidRPr="006D4220">
        <w:rPr>
          <w:lang w:val="en-US"/>
        </w:rPr>
        <w:tab/>
        <w:t>mobile broadband communications contribute positively to the economic and social development of developed and developing countries;</w:t>
      </w:r>
    </w:p>
    <w:p w:rsidR="00913067" w:rsidRPr="006D4220" w:rsidRDefault="00913067" w:rsidP="00913067">
      <w:pPr>
        <w:pStyle w:val="enumlev1"/>
        <w:rPr>
          <w:lang w:val="en-US"/>
        </w:rPr>
      </w:pPr>
      <w:r w:rsidRPr="006D4220">
        <w:rPr>
          <w:lang w:val="en-US"/>
        </w:rPr>
        <w:t>−</w:t>
      </w:r>
      <w:r w:rsidRPr="006D4220">
        <w:rPr>
          <w:lang w:val="en-US"/>
        </w:rPr>
        <w:tab/>
        <w:t>many administrations consider that IMT and other broadband land mobile applications contribute significantly to reducing the digital divide;</w:t>
      </w:r>
    </w:p>
    <w:p w:rsidR="00913067" w:rsidRPr="006D4220" w:rsidRDefault="00913067" w:rsidP="00913067">
      <w:pPr>
        <w:pStyle w:val="enumlev1"/>
        <w:rPr>
          <w:lang w:val="en-US"/>
        </w:rPr>
      </w:pPr>
      <w:r w:rsidRPr="006D4220">
        <w:rPr>
          <w:lang w:val="en-US"/>
        </w:rPr>
        <w:t>−</w:t>
      </w:r>
      <w:r w:rsidRPr="006D4220">
        <w:rPr>
          <w:lang w:val="en-US"/>
        </w:rPr>
        <w:tab/>
        <w:t>high-speed mobile on smartphones and tablets has become the most dynamic sector of the global ICT market and is now more affordable than fixed broadband;</w:t>
      </w:r>
    </w:p>
    <w:p w:rsidR="00913067" w:rsidRPr="006D4220" w:rsidRDefault="00913067" w:rsidP="00913067">
      <w:pPr>
        <w:pStyle w:val="enumlev1"/>
        <w:rPr>
          <w:lang w:val="en-US"/>
        </w:rPr>
      </w:pPr>
      <w:r w:rsidRPr="006D4220">
        <w:rPr>
          <w:lang w:val="en-US"/>
        </w:rPr>
        <w:t>−</w:t>
      </w:r>
      <w:r w:rsidRPr="006D4220">
        <w:rPr>
          <w:lang w:val="en-US"/>
        </w:rPr>
        <w:tab/>
        <w:t>the frequency bands reserved for mobile s</w:t>
      </w:r>
      <w:r w:rsidR="006D4220" w:rsidRPr="006D4220">
        <w:rPr>
          <w:lang w:val="en-US"/>
        </w:rPr>
        <w:t>ervices (GSM 900 MHz, DCS 1 800 </w:t>
      </w:r>
      <w:r w:rsidRPr="006D4220">
        <w:rPr>
          <w:lang w:val="en-US"/>
        </w:rPr>
        <w:t>MHz, UMTS 2 100 MHz, and so on) are almost saturated in most countries;</w:t>
      </w:r>
    </w:p>
    <w:p w:rsidR="00913067" w:rsidRPr="006D4220" w:rsidRDefault="00913067" w:rsidP="00913067">
      <w:pPr>
        <w:pStyle w:val="enumlev1"/>
        <w:rPr>
          <w:lang w:val="en-US"/>
        </w:rPr>
      </w:pPr>
      <w:r w:rsidRPr="006D4220">
        <w:rPr>
          <w:lang w:val="en-US"/>
        </w:rPr>
        <w:t>−</w:t>
      </w:r>
      <w:r w:rsidRPr="006D4220">
        <w:rPr>
          <w:lang w:val="en-US"/>
        </w:rPr>
        <w:tab/>
        <w:t>since WRC-07, demand for mobile broadband applications has grown rapidly (see ITU</w:t>
      </w:r>
      <w:r w:rsidRPr="006D4220">
        <w:rPr>
          <w:lang w:val="en-US"/>
        </w:rPr>
        <w:noBreakHyphen/>
        <w:t>R Report M.2243, which gives detailed information on global mobile broadband deployments and IMT forecasts),</w:t>
      </w:r>
    </w:p>
    <w:p w:rsidR="00913067" w:rsidRPr="006D4220" w:rsidRDefault="00913067" w:rsidP="00913067">
      <w:pPr>
        <w:rPr>
          <w:lang w:val="en-US"/>
        </w:rPr>
      </w:pPr>
      <w:r w:rsidRPr="006D4220">
        <w:rPr>
          <w:lang w:val="en-US"/>
        </w:rPr>
        <w:t>it is essential to identify additional spectrum for IMT with a view to developing broadband mobile service applications, taking into account the results of ITU-R sharing and compatibility studies in order to protect existing services.</w:t>
      </w:r>
    </w:p>
    <w:p w:rsidR="006D4220" w:rsidRPr="006D4220" w:rsidRDefault="006D4220" w:rsidP="006D4220">
      <w:pPr>
        <w:rPr>
          <w:sz w:val="22"/>
          <w:lang w:val="en-US" w:eastAsia="zh-CN"/>
        </w:rPr>
      </w:pPr>
      <w:r w:rsidRPr="006D4220">
        <w:rPr>
          <w:lang w:val="en-US"/>
        </w:rPr>
        <w:lastRenderedPageBreak/>
        <w:t>ITU-R has carried out studies on a list of frequency bands which could be envisaged.</w:t>
      </w:r>
    </w:p>
    <w:p w:rsidR="00913067" w:rsidRPr="006D4220" w:rsidRDefault="00913067" w:rsidP="00913067">
      <w:pPr>
        <w:pStyle w:val="Headingb"/>
        <w:rPr>
          <w:lang w:val="en-US"/>
        </w:rPr>
      </w:pPr>
      <w:r w:rsidRPr="006D4220">
        <w:rPr>
          <w:lang w:val="en-US"/>
        </w:rPr>
        <w:t>Proposals</w:t>
      </w:r>
    </w:p>
    <w:p w:rsidR="00913067" w:rsidRPr="006D4220" w:rsidRDefault="00913067" w:rsidP="00913067">
      <w:pPr>
        <w:rPr>
          <w:lang w:val="en-US"/>
        </w:rPr>
      </w:pPr>
      <w:r w:rsidRPr="006D4220">
        <w:rPr>
          <w:lang w:val="en-US"/>
        </w:rPr>
        <w:t>Gabon puts forward the following proposals for some of the frequency bands envisaged by the ITU</w:t>
      </w:r>
      <w:r w:rsidRPr="006D4220">
        <w:rPr>
          <w:lang w:val="en-US"/>
        </w:rPr>
        <w:noBreakHyphen/>
        <w:t>R studies:</w:t>
      </w:r>
    </w:p>
    <w:p w:rsidR="00913067" w:rsidRPr="006D4220" w:rsidRDefault="00913067" w:rsidP="00124147">
      <w:pPr>
        <w:pStyle w:val="enumlev1"/>
        <w:rPr>
          <w:lang w:val="en-US"/>
        </w:rPr>
      </w:pPr>
      <w:r w:rsidRPr="006D4220">
        <w:rPr>
          <w:lang w:val="en-US"/>
        </w:rPr>
        <w:t>1</w:t>
      </w:r>
      <w:r w:rsidRPr="006D4220">
        <w:rPr>
          <w:lang w:val="en-US"/>
        </w:rPr>
        <w:tab/>
        <w:t>Frequency bands 2 700</w:t>
      </w:r>
      <w:r w:rsidRPr="006D4220">
        <w:rPr>
          <w:lang w:val="en-US"/>
        </w:rPr>
        <w:noBreakHyphen/>
        <w:t>2 900 MHz and 3 300-3 400 MHz: no change</w:t>
      </w:r>
      <w:r w:rsidR="006D4220" w:rsidRPr="006D4220">
        <w:rPr>
          <w:lang w:val="en-US"/>
        </w:rPr>
        <w:t xml:space="preserve"> to the Radio Regulations (NOC);</w:t>
      </w:r>
    </w:p>
    <w:p w:rsidR="00913067" w:rsidRPr="006D4220" w:rsidRDefault="00913067" w:rsidP="00124147">
      <w:pPr>
        <w:pStyle w:val="enumlev1"/>
        <w:rPr>
          <w:lang w:val="en-US"/>
        </w:rPr>
      </w:pPr>
      <w:r w:rsidRPr="006D4220">
        <w:rPr>
          <w:lang w:val="en-US"/>
        </w:rPr>
        <w:t>2</w:t>
      </w:r>
      <w:r w:rsidRPr="006D4220">
        <w:rPr>
          <w:lang w:val="en-US"/>
        </w:rPr>
        <w:tab/>
        <w:t xml:space="preserve">Frequency bands </w:t>
      </w:r>
      <w:r w:rsidRPr="006D4220">
        <w:rPr>
          <w:bCs/>
          <w:lang w:val="en-US"/>
        </w:rPr>
        <w:t xml:space="preserve">1 427-1 452 MHz, 1350-1400 MHz, </w:t>
      </w:r>
      <w:bookmarkStart w:id="9" w:name="_GoBack"/>
      <w:bookmarkEnd w:id="9"/>
      <w:r w:rsidRPr="006D4220">
        <w:rPr>
          <w:bCs/>
          <w:lang w:val="en-US"/>
        </w:rPr>
        <w:t>1492-1518 MHz</w:t>
      </w:r>
      <w:r w:rsidRPr="006D4220">
        <w:rPr>
          <w:lang w:val="en-US" w:eastAsia="fr-FR"/>
        </w:rPr>
        <w:t>,</w:t>
      </w:r>
      <w:r w:rsidRPr="006D4220">
        <w:rPr>
          <w:bCs/>
          <w:color w:val="000000" w:themeColor="text1"/>
          <w:lang w:val="en-US"/>
        </w:rPr>
        <w:t xml:space="preserve"> 1 518-1 525 MHz and </w:t>
      </w:r>
      <w:r w:rsidRPr="006D4220">
        <w:rPr>
          <w:lang w:val="en-US" w:eastAsia="fr-FR"/>
        </w:rPr>
        <w:t>4 800-</w:t>
      </w:r>
      <w:r w:rsidR="006D4220" w:rsidRPr="006D4220">
        <w:rPr>
          <w:lang w:val="en-US" w:eastAsia="fr-FR"/>
        </w:rPr>
        <w:t>4 990 MHz</w:t>
      </w:r>
      <w:r w:rsidRPr="006D4220">
        <w:rPr>
          <w:lang w:val="en-US"/>
        </w:rPr>
        <w:t>: identification for IMT.</w:t>
      </w:r>
    </w:p>
    <w:p w:rsidR="00913067" w:rsidRPr="006D4220" w:rsidRDefault="00913067" w:rsidP="00913067">
      <w:pPr>
        <w:rPr>
          <w:lang w:val="en-US"/>
        </w:rPr>
      </w:pPr>
      <w:r w:rsidRPr="006D4220">
        <w:rPr>
          <w:lang w:val="en-US"/>
        </w:rPr>
        <w:t>The following modifications to the Radio Regulations are accordingly proposed.</w:t>
      </w:r>
    </w:p>
    <w:p w:rsidR="00187BD9" w:rsidRPr="006D4220" w:rsidRDefault="00187BD9" w:rsidP="00913067">
      <w:pPr>
        <w:rPr>
          <w:lang w:val="en-US"/>
        </w:rPr>
      </w:pPr>
      <w:r w:rsidRPr="006D4220">
        <w:rPr>
          <w:lang w:val="en-US"/>
        </w:rPr>
        <w:br w:type="page"/>
      </w:r>
    </w:p>
    <w:p w:rsidR="009B463A" w:rsidRPr="006D4220" w:rsidRDefault="006D4220" w:rsidP="009B463A">
      <w:pPr>
        <w:pStyle w:val="ArtNo"/>
        <w:rPr>
          <w:lang w:val="en-US"/>
        </w:rPr>
      </w:pPr>
      <w:bookmarkStart w:id="10" w:name="_Toc327956582"/>
      <w:r w:rsidRPr="006D4220">
        <w:rPr>
          <w:lang w:val="en-US"/>
        </w:rPr>
        <w:lastRenderedPageBreak/>
        <w:t xml:space="preserve">ARTICLE </w:t>
      </w:r>
      <w:r w:rsidRPr="006D4220">
        <w:rPr>
          <w:rStyle w:val="href"/>
          <w:rFonts w:eastAsiaTheme="majorEastAsia"/>
          <w:color w:val="000000"/>
          <w:lang w:val="en-US"/>
        </w:rPr>
        <w:t>5</w:t>
      </w:r>
      <w:bookmarkEnd w:id="10"/>
    </w:p>
    <w:p w:rsidR="009B463A" w:rsidRPr="006D4220" w:rsidRDefault="006D4220" w:rsidP="009B463A">
      <w:pPr>
        <w:pStyle w:val="Arttitle"/>
        <w:rPr>
          <w:lang w:val="en-US"/>
        </w:rPr>
      </w:pPr>
      <w:bookmarkStart w:id="11" w:name="_Toc327956583"/>
      <w:r w:rsidRPr="006D4220">
        <w:rPr>
          <w:lang w:val="en-US"/>
        </w:rPr>
        <w:t>Frequency allocations</w:t>
      </w:r>
      <w:bookmarkEnd w:id="11"/>
    </w:p>
    <w:p w:rsidR="009B463A" w:rsidRPr="006D4220" w:rsidRDefault="006D4220" w:rsidP="009B463A">
      <w:pPr>
        <w:pStyle w:val="Section1"/>
        <w:keepNext/>
        <w:rPr>
          <w:lang w:val="en-US"/>
        </w:rPr>
      </w:pPr>
      <w:r w:rsidRPr="006D4220">
        <w:rPr>
          <w:lang w:val="en-US"/>
        </w:rPr>
        <w:t>Section IV – Table of Frequency Allocations</w:t>
      </w:r>
      <w:r w:rsidRPr="006D4220">
        <w:rPr>
          <w:lang w:val="en-US"/>
        </w:rPr>
        <w:br/>
      </w:r>
      <w:r w:rsidRPr="006D4220">
        <w:rPr>
          <w:b w:val="0"/>
          <w:bCs/>
          <w:lang w:val="en-US"/>
        </w:rPr>
        <w:t xml:space="preserve">(See No. </w:t>
      </w:r>
      <w:r w:rsidRPr="006D4220">
        <w:rPr>
          <w:lang w:val="en-US"/>
        </w:rPr>
        <w:t>2.1</w:t>
      </w:r>
      <w:r w:rsidRPr="006D4220">
        <w:rPr>
          <w:b w:val="0"/>
          <w:bCs/>
          <w:lang w:val="en-US"/>
        </w:rPr>
        <w:t>)</w:t>
      </w:r>
      <w:r w:rsidRPr="006D4220">
        <w:rPr>
          <w:b w:val="0"/>
          <w:bCs/>
          <w:lang w:val="en-US"/>
        </w:rPr>
        <w:br/>
      </w:r>
      <w:r w:rsidRPr="006D4220">
        <w:rPr>
          <w:lang w:val="en-US"/>
        </w:rPr>
        <w:br/>
      </w:r>
    </w:p>
    <w:p w:rsidR="000821DF" w:rsidRPr="006D4220" w:rsidRDefault="006D4220">
      <w:pPr>
        <w:pStyle w:val="Proposal"/>
        <w:rPr>
          <w:lang w:val="en-US"/>
        </w:rPr>
      </w:pPr>
      <w:r w:rsidRPr="006D4220">
        <w:rPr>
          <w:u w:val="single"/>
          <w:lang w:val="en-US"/>
        </w:rPr>
        <w:t>NOC</w:t>
      </w:r>
      <w:r w:rsidRPr="006D4220">
        <w:rPr>
          <w:lang w:val="en-US"/>
        </w:rPr>
        <w:tab/>
        <w:t>GAB/204A1/1</w:t>
      </w:r>
    </w:p>
    <w:p w:rsidR="009B463A" w:rsidRPr="006D4220" w:rsidRDefault="006D4220" w:rsidP="009B463A">
      <w:pPr>
        <w:pStyle w:val="Tabletitle"/>
        <w:rPr>
          <w:lang w:val="en-US"/>
        </w:rPr>
      </w:pPr>
      <w:r w:rsidRPr="006D4220">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6D4220"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Allocation to services</w:t>
            </w:r>
          </w:p>
        </w:tc>
      </w:tr>
      <w:tr w:rsidR="009B463A" w:rsidRPr="006D4220"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3</w:t>
            </w:r>
          </w:p>
        </w:tc>
      </w:tr>
      <w:tr w:rsidR="009B463A" w:rsidRPr="006D4220" w:rsidTr="00477577">
        <w:trPr>
          <w:cantSplit/>
          <w:jc w:val="center"/>
        </w:trPr>
        <w:tc>
          <w:tcPr>
            <w:tcW w:w="9303" w:type="dxa"/>
            <w:gridSpan w:val="3"/>
            <w:tcBorders>
              <w:left w:val="single" w:sz="6" w:space="0" w:color="auto"/>
              <w:bottom w:val="single" w:sz="6" w:space="0" w:color="auto"/>
              <w:right w:val="single" w:sz="6" w:space="0" w:color="auto"/>
            </w:tcBorders>
          </w:tcPr>
          <w:p w:rsidR="009B463A" w:rsidRPr="006D4220" w:rsidRDefault="006D4220" w:rsidP="00477577">
            <w:pPr>
              <w:pStyle w:val="TableTextS5"/>
              <w:spacing w:before="20" w:after="20" w:line="220" w:lineRule="exact"/>
              <w:ind w:left="170" w:hanging="170"/>
              <w:rPr>
                <w:color w:val="000000"/>
                <w:lang w:val="en-US"/>
              </w:rPr>
            </w:pPr>
            <w:r w:rsidRPr="006D4220">
              <w:rPr>
                <w:rStyle w:val="Tablefreq"/>
                <w:lang w:val="en-US"/>
              </w:rPr>
              <w:t>2 700-2 900</w:t>
            </w:r>
            <w:r w:rsidRPr="006D4220">
              <w:rPr>
                <w:color w:val="000000"/>
                <w:lang w:val="en-US"/>
              </w:rPr>
              <w:tab/>
              <w:t xml:space="preserve">AERONAUTICAL RADIONAVIGATION  </w:t>
            </w:r>
            <w:r w:rsidRPr="006D4220">
              <w:rPr>
                <w:rStyle w:val="Artref"/>
                <w:color w:val="000000"/>
                <w:lang w:val="en-US"/>
              </w:rPr>
              <w:t>5.337</w:t>
            </w:r>
          </w:p>
          <w:p w:rsidR="009B463A" w:rsidRPr="006D4220" w:rsidRDefault="006D4220" w:rsidP="00477577">
            <w:pPr>
              <w:pStyle w:val="TableTextS5"/>
              <w:spacing w:before="20" w:after="20" w:line="220" w:lineRule="exact"/>
              <w:ind w:left="170" w:hanging="170"/>
              <w:rPr>
                <w:color w:val="000000"/>
                <w:lang w:val="en-US"/>
              </w:rPr>
            </w:pPr>
            <w:r w:rsidRPr="006D4220">
              <w:rPr>
                <w:color w:val="000000"/>
                <w:lang w:val="en-US"/>
              </w:rPr>
              <w:tab/>
            </w:r>
            <w:r w:rsidRPr="006D4220">
              <w:rPr>
                <w:color w:val="000000"/>
                <w:lang w:val="en-US"/>
              </w:rPr>
              <w:tab/>
            </w:r>
            <w:r w:rsidRPr="006D4220">
              <w:rPr>
                <w:color w:val="000000"/>
                <w:lang w:val="en-US"/>
              </w:rPr>
              <w:tab/>
            </w:r>
            <w:r w:rsidRPr="006D4220">
              <w:rPr>
                <w:color w:val="000000"/>
                <w:lang w:val="en-US"/>
              </w:rPr>
              <w:tab/>
              <w:t>Radiolocation</w:t>
            </w:r>
          </w:p>
          <w:p w:rsidR="009B463A" w:rsidRPr="006D4220" w:rsidRDefault="006D4220" w:rsidP="00477577">
            <w:pPr>
              <w:pStyle w:val="TableTextS5"/>
              <w:rPr>
                <w:lang w:val="en-US"/>
              </w:rPr>
            </w:pPr>
            <w:r w:rsidRPr="006D4220">
              <w:rPr>
                <w:color w:val="000000"/>
                <w:lang w:val="en-US"/>
              </w:rPr>
              <w:tab/>
            </w:r>
            <w:r w:rsidRPr="006D4220">
              <w:rPr>
                <w:color w:val="000000"/>
                <w:lang w:val="en-US"/>
              </w:rPr>
              <w:tab/>
            </w:r>
            <w:r w:rsidRPr="006D4220">
              <w:rPr>
                <w:color w:val="000000"/>
                <w:lang w:val="en-US"/>
              </w:rPr>
              <w:tab/>
            </w:r>
            <w:r w:rsidRPr="006D4220">
              <w:rPr>
                <w:color w:val="000000"/>
                <w:lang w:val="en-US"/>
              </w:rPr>
              <w:tab/>
            </w:r>
            <w:r w:rsidRPr="006D4220">
              <w:rPr>
                <w:rStyle w:val="Artref"/>
                <w:color w:val="000000"/>
                <w:lang w:val="en-US"/>
              </w:rPr>
              <w:t>5.423</w:t>
            </w:r>
            <w:r w:rsidRPr="006D4220">
              <w:rPr>
                <w:color w:val="000000"/>
                <w:lang w:val="en-US"/>
              </w:rPr>
              <w:t xml:space="preserve">  </w:t>
            </w:r>
            <w:r w:rsidRPr="006D4220">
              <w:rPr>
                <w:rStyle w:val="Artref"/>
                <w:color w:val="000000"/>
                <w:lang w:val="en-US"/>
              </w:rPr>
              <w:t>5.424</w:t>
            </w:r>
          </w:p>
        </w:tc>
      </w:tr>
    </w:tbl>
    <w:p w:rsidR="000821DF" w:rsidRPr="006D4220" w:rsidRDefault="006D4220">
      <w:pPr>
        <w:pStyle w:val="Reasons"/>
        <w:rPr>
          <w:lang w:val="en-US"/>
        </w:rPr>
      </w:pPr>
      <w:r w:rsidRPr="006D4220">
        <w:rPr>
          <w:b/>
          <w:lang w:val="en-US"/>
        </w:rPr>
        <w:t>Reasons:</w:t>
      </w:r>
      <w:r w:rsidRPr="006D4220">
        <w:rPr>
          <w:lang w:val="en-US"/>
        </w:rPr>
        <w:tab/>
      </w:r>
      <w:r w:rsidR="00913067" w:rsidRPr="006D4220">
        <w:rPr>
          <w:lang w:val="en-US"/>
        </w:rPr>
        <w:t>This frequency range is widely used for ra</w:t>
      </w:r>
      <w:r w:rsidRPr="006D4220">
        <w:rPr>
          <w:lang w:val="en-US"/>
        </w:rPr>
        <w:t>dar systems. The results of ITU</w:t>
      </w:r>
      <w:r w:rsidRPr="006D4220">
        <w:rPr>
          <w:lang w:val="en-US"/>
        </w:rPr>
        <w:noBreakHyphen/>
      </w:r>
      <w:r w:rsidR="00913067" w:rsidRPr="006D4220">
        <w:rPr>
          <w:lang w:val="en-US"/>
        </w:rPr>
        <w:t>R studies show that within a given geographical area, operation of mobile broadband systems and radar systems on the same frequency is not feasible.</w:t>
      </w:r>
    </w:p>
    <w:p w:rsidR="000821DF" w:rsidRPr="006D4220" w:rsidRDefault="006D4220">
      <w:pPr>
        <w:pStyle w:val="Proposal"/>
        <w:rPr>
          <w:lang w:val="en-US"/>
        </w:rPr>
      </w:pPr>
      <w:r w:rsidRPr="006D4220">
        <w:rPr>
          <w:u w:val="single"/>
          <w:lang w:val="en-US"/>
        </w:rPr>
        <w:t>NOC</w:t>
      </w:r>
      <w:r w:rsidRPr="006D4220">
        <w:rPr>
          <w:lang w:val="en-US"/>
        </w:rPr>
        <w:tab/>
        <w:t>GAB/204A1/2</w:t>
      </w:r>
    </w:p>
    <w:p w:rsidR="009B463A" w:rsidRPr="006D4220" w:rsidRDefault="006D4220" w:rsidP="009B463A">
      <w:pPr>
        <w:pStyle w:val="Tabletitle"/>
        <w:rPr>
          <w:lang w:val="en-US"/>
        </w:rPr>
      </w:pPr>
      <w:r w:rsidRPr="006D4220">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6D4220"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Allocation to services</w:t>
            </w:r>
          </w:p>
        </w:tc>
      </w:tr>
      <w:tr w:rsidR="009B463A" w:rsidRPr="006D4220"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3</w:t>
            </w:r>
          </w:p>
        </w:tc>
      </w:tr>
      <w:tr w:rsidR="009B463A" w:rsidRPr="006D4220" w:rsidTr="00477577">
        <w:trPr>
          <w:cantSplit/>
          <w:jc w:val="center"/>
        </w:trPr>
        <w:tc>
          <w:tcPr>
            <w:tcW w:w="3093" w:type="dxa"/>
            <w:tcBorders>
              <w:top w:val="single" w:sz="6" w:space="0" w:color="auto"/>
              <w:left w:val="single" w:sz="6" w:space="0" w:color="auto"/>
              <w:right w:val="single" w:sz="6" w:space="0" w:color="auto"/>
            </w:tcBorders>
          </w:tcPr>
          <w:p w:rsidR="009B463A" w:rsidRPr="006D4220" w:rsidRDefault="006D4220" w:rsidP="00477577">
            <w:pPr>
              <w:pStyle w:val="TableTextS5"/>
              <w:spacing w:before="20" w:after="20" w:line="220" w:lineRule="exact"/>
              <w:ind w:left="170" w:hanging="170"/>
              <w:rPr>
                <w:rStyle w:val="Tablefreq"/>
                <w:lang w:val="en-US"/>
              </w:rPr>
            </w:pPr>
            <w:r w:rsidRPr="006D4220">
              <w:rPr>
                <w:rStyle w:val="Tablefreq"/>
                <w:lang w:val="en-US"/>
              </w:rPr>
              <w:t>3 300-3 400</w:t>
            </w:r>
          </w:p>
          <w:p w:rsidR="009B463A" w:rsidRPr="006D4220" w:rsidRDefault="006D4220" w:rsidP="00477577">
            <w:pPr>
              <w:pStyle w:val="TableTextS5"/>
              <w:rPr>
                <w:lang w:val="en-US"/>
              </w:rPr>
            </w:pPr>
            <w:r w:rsidRPr="006D4220">
              <w:rPr>
                <w:color w:val="000000"/>
                <w:lang w:val="en-US"/>
              </w:rPr>
              <w:t>RADIOLOCATION</w:t>
            </w:r>
          </w:p>
        </w:tc>
        <w:tc>
          <w:tcPr>
            <w:tcW w:w="3109" w:type="dxa"/>
            <w:tcBorders>
              <w:top w:val="single" w:sz="6" w:space="0" w:color="auto"/>
              <w:left w:val="single" w:sz="6" w:space="0" w:color="auto"/>
              <w:right w:val="single" w:sz="6" w:space="0" w:color="auto"/>
            </w:tcBorders>
          </w:tcPr>
          <w:p w:rsidR="009B463A" w:rsidRPr="006D4220" w:rsidRDefault="006D4220" w:rsidP="00477577">
            <w:pPr>
              <w:pStyle w:val="TableTextS5"/>
              <w:spacing w:before="20" w:after="20" w:line="220" w:lineRule="exact"/>
              <w:ind w:left="170" w:hanging="170"/>
              <w:rPr>
                <w:rStyle w:val="Tablefreq"/>
                <w:lang w:val="en-US"/>
              </w:rPr>
            </w:pPr>
            <w:r w:rsidRPr="006D4220">
              <w:rPr>
                <w:rStyle w:val="Tablefreq"/>
                <w:lang w:val="en-US"/>
              </w:rPr>
              <w:t>3 300-3 400</w:t>
            </w:r>
          </w:p>
          <w:p w:rsidR="009B463A" w:rsidRPr="006D4220" w:rsidRDefault="006D4220" w:rsidP="00477577">
            <w:pPr>
              <w:pStyle w:val="TableTextS5"/>
              <w:spacing w:before="20" w:after="20" w:line="220" w:lineRule="exact"/>
              <w:ind w:left="170" w:hanging="170"/>
              <w:rPr>
                <w:color w:val="000000"/>
                <w:lang w:val="en-US"/>
              </w:rPr>
            </w:pPr>
            <w:r w:rsidRPr="006D4220">
              <w:rPr>
                <w:color w:val="000000"/>
                <w:lang w:val="en-US"/>
              </w:rPr>
              <w:t>RADIOLOCATION</w:t>
            </w:r>
          </w:p>
          <w:p w:rsidR="009B463A" w:rsidRPr="006D4220" w:rsidRDefault="006D4220" w:rsidP="00477577">
            <w:pPr>
              <w:pStyle w:val="TableTextS5"/>
              <w:spacing w:before="20" w:after="20" w:line="220" w:lineRule="exact"/>
              <w:ind w:left="170" w:hanging="170"/>
              <w:rPr>
                <w:color w:val="000000"/>
                <w:lang w:val="en-US"/>
              </w:rPr>
            </w:pPr>
            <w:r w:rsidRPr="006D4220">
              <w:rPr>
                <w:color w:val="000000"/>
                <w:lang w:val="en-US"/>
              </w:rPr>
              <w:t>Amateur</w:t>
            </w:r>
          </w:p>
          <w:p w:rsidR="009B463A" w:rsidRPr="006D4220" w:rsidRDefault="006D4220" w:rsidP="00477577">
            <w:pPr>
              <w:pStyle w:val="TableTextS5"/>
              <w:spacing w:before="20" w:after="20" w:line="220" w:lineRule="exact"/>
              <w:ind w:left="170" w:hanging="170"/>
              <w:rPr>
                <w:color w:val="000000"/>
                <w:lang w:val="en-US"/>
              </w:rPr>
            </w:pPr>
            <w:r w:rsidRPr="006D4220">
              <w:rPr>
                <w:color w:val="000000"/>
                <w:lang w:val="en-US"/>
              </w:rPr>
              <w:t>Fixed</w:t>
            </w:r>
          </w:p>
          <w:p w:rsidR="009B463A" w:rsidRPr="006D4220" w:rsidRDefault="006D4220" w:rsidP="00477577">
            <w:pPr>
              <w:pStyle w:val="TableTextS5"/>
              <w:rPr>
                <w:lang w:val="en-US"/>
              </w:rPr>
            </w:pPr>
            <w:r w:rsidRPr="006D4220">
              <w:rPr>
                <w:color w:val="000000"/>
                <w:lang w:val="en-US"/>
              </w:rPr>
              <w:t>Mobile</w:t>
            </w:r>
          </w:p>
        </w:tc>
        <w:tc>
          <w:tcPr>
            <w:tcW w:w="3101" w:type="dxa"/>
            <w:tcBorders>
              <w:top w:val="single" w:sz="6" w:space="0" w:color="auto"/>
              <w:left w:val="single" w:sz="6" w:space="0" w:color="auto"/>
              <w:right w:val="single" w:sz="6" w:space="0" w:color="auto"/>
            </w:tcBorders>
          </w:tcPr>
          <w:p w:rsidR="009B463A" w:rsidRPr="006D4220" w:rsidRDefault="006D4220" w:rsidP="00477577">
            <w:pPr>
              <w:pStyle w:val="TableTextS5"/>
              <w:spacing w:before="20" w:after="20" w:line="220" w:lineRule="exact"/>
              <w:ind w:left="170" w:hanging="170"/>
              <w:rPr>
                <w:rStyle w:val="Tablefreq"/>
                <w:lang w:val="en-US"/>
              </w:rPr>
            </w:pPr>
            <w:r w:rsidRPr="006D4220">
              <w:rPr>
                <w:rStyle w:val="Tablefreq"/>
                <w:lang w:val="en-US"/>
              </w:rPr>
              <w:t>3 300-3 400</w:t>
            </w:r>
          </w:p>
          <w:p w:rsidR="009B463A" w:rsidRPr="006D4220" w:rsidRDefault="006D4220" w:rsidP="00477577">
            <w:pPr>
              <w:pStyle w:val="TableTextS5"/>
              <w:spacing w:before="20" w:after="20" w:line="220" w:lineRule="exact"/>
              <w:ind w:left="170" w:hanging="170"/>
              <w:rPr>
                <w:color w:val="000000"/>
                <w:lang w:val="en-US"/>
              </w:rPr>
            </w:pPr>
            <w:r w:rsidRPr="006D4220">
              <w:rPr>
                <w:color w:val="000000"/>
                <w:lang w:val="en-US"/>
              </w:rPr>
              <w:t>RADIOLOCATION</w:t>
            </w:r>
          </w:p>
          <w:p w:rsidR="009B463A" w:rsidRPr="006D4220" w:rsidRDefault="006D4220" w:rsidP="00477577">
            <w:pPr>
              <w:pStyle w:val="TableTextS5"/>
              <w:spacing w:before="0"/>
              <w:rPr>
                <w:lang w:val="en-US"/>
              </w:rPr>
            </w:pPr>
            <w:r w:rsidRPr="006D4220">
              <w:rPr>
                <w:color w:val="000000"/>
                <w:lang w:val="en-US"/>
              </w:rPr>
              <w:t>Amateur</w:t>
            </w:r>
          </w:p>
        </w:tc>
      </w:tr>
      <w:tr w:rsidR="009B463A" w:rsidRPr="006D4220" w:rsidTr="00477577">
        <w:trPr>
          <w:cantSplit/>
          <w:jc w:val="center"/>
        </w:trPr>
        <w:tc>
          <w:tcPr>
            <w:tcW w:w="3093" w:type="dxa"/>
            <w:tcBorders>
              <w:left w:val="single" w:sz="6" w:space="0" w:color="auto"/>
              <w:bottom w:val="single" w:sz="6" w:space="0" w:color="auto"/>
              <w:right w:val="single" w:sz="6" w:space="0" w:color="auto"/>
            </w:tcBorders>
          </w:tcPr>
          <w:p w:rsidR="009B463A" w:rsidRPr="006D4220" w:rsidRDefault="006D4220" w:rsidP="00477577">
            <w:pPr>
              <w:pStyle w:val="TableTextS5"/>
              <w:rPr>
                <w:lang w:val="en-US"/>
              </w:rPr>
            </w:pPr>
            <w:r w:rsidRPr="006D4220">
              <w:rPr>
                <w:rStyle w:val="Artref"/>
                <w:color w:val="000000"/>
                <w:lang w:val="en-US"/>
              </w:rPr>
              <w:t>5.149</w:t>
            </w:r>
            <w:r w:rsidRPr="006D4220">
              <w:rPr>
                <w:color w:val="000000"/>
                <w:lang w:val="en-US"/>
              </w:rPr>
              <w:t xml:space="preserve">  </w:t>
            </w:r>
            <w:r w:rsidRPr="006D4220">
              <w:rPr>
                <w:rStyle w:val="Artref"/>
                <w:color w:val="000000"/>
                <w:lang w:val="en-US"/>
              </w:rPr>
              <w:t>5.429</w:t>
            </w:r>
            <w:r w:rsidRPr="006D4220">
              <w:rPr>
                <w:color w:val="000000"/>
                <w:lang w:val="en-US"/>
              </w:rPr>
              <w:t xml:space="preserve">  </w:t>
            </w:r>
            <w:r w:rsidRPr="006D4220">
              <w:rPr>
                <w:rStyle w:val="Artref"/>
                <w:color w:val="000000"/>
                <w:lang w:val="en-US"/>
              </w:rPr>
              <w:t>5.430</w:t>
            </w:r>
          </w:p>
        </w:tc>
        <w:tc>
          <w:tcPr>
            <w:tcW w:w="3109" w:type="dxa"/>
            <w:tcBorders>
              <w:left w:val="single" w:sz="6" w:space="0" w:color="auto"/>
              <w:bottom w:val="single" w:sz="4" w:space="0" w:color="auto"/>
              <w:right w:val="single" w:sz="6" w:space="0" w:color="auto"/>
            </w:tcBorders>
          </w:tcPr>
          <w:p w:rsidR="009B463A" w:rsidRPr="006D4220" w:rsidRDefault="006D4220" w:rsidP="00477577">
            <w:pPr>
              <w:pStyle w:val="TableTextS5"/>
              <w:rPr>
                <w:lang w:val="en-US"/>
              </w:rPr>
            </w:pPr>
            <w:r w:rsidRPr="006D4220">
              <w:rPr>
                <w:rStyle w:val="Artref"/>
                <w:color w:val="000000"/>
                <w:lang w:val="en-US"/>
              </w:rPr>
              <w:t>5.149</w:t>
            </w:r>
          </w:p>
        </w:tc>
        <w:tc>
          <w:tcPr>
            <w:tcW w:w="3101" w:type="dxa"/>
            <w:tcBorders>
              <w:left w:val="single" w:sz="6" w:space="0" w:color="auto"/>
              <w:bottom w:val="single" w:sz="4" w:space="0" w:color="auto"/>
              <w:right w:val="single" w:sz="6" w:space="0" w:color="auto"/>
            </w:tcBorders>
          </w:tcPr>
          <w:p w:rsidR="009B463A" w:rsidRPr="006D4220" w:rsidRDefault="006D4220" w:rsidP="00477577">
            <w:pPr>
              <w:pStyle w:val="TableTextS5"/>
              <w:rPr>
                <w:lang w:val="en-US"/>
              </w:rPr>
            </w:pPr>
            <w:r w:rsidRPr="006D4220">
              <w:rPr>
                <w:rStyle w:val="Artref"/>
                <w:color w:val="000000"/>
                <w:lang w:val="en-US"/>
              </w:rPr>
              <w:t>5.149</w:t>
            </w:r>
            <w:r w:rsidRPr="006D4220">
              <w:rPr>
                <w:color w:val="000000"/>
                <w:lang w:val="en-US"/>
              </w:rPr>
              <w:t xml:space="preserve">  </w:t>
            </w:r>
            <w:r w:rsidRPr="006D4220">
              <w:rPr>
                <w:rStyle w:val="Artref"/>
                <w:color w:val="000000"/>
                <w:lang w:val="en-US"/>
              </w:rPr>
              <w:t>5.429</w:t>
            </w:r>
          </w:p>
        </w:tc>
      </w:tr>
    </w:tbl>
    <w:p w:rsidR="000821DF" w:rsidRPr="006D4220" w:rsidRDefault="006D4220">
      <w:pPr>
        <w:pStyle w:val="Reasons"/>
        <w:rPr>
          <w:lang w:val="en-US"/>
        </w:rPr>
      </w:pPr>
      <w:r w:rsidRPr="006D4220">
        <w:rPr>
          <w:b/>
          <w:lang w:val="en-US"/>
        </w:rPr>
        <w:t>Reasons:</w:t>
      </w:r>
      <w:r w:rsidRPr="006D4220">
        <w:rPr>
          <w:lang w:val="en-US"/>
        </w:rPr>
        <w:tab/>
      </w:r>
      <w:r w:rsidR="00913067" w:rsidRPr="006D4220">
        <w:rPr>
          <w:lang w:val="en-US"/>
        </w:rPr>
        <w:t>This frequency range is widely used for radar systems.</w:t>
      </w:r>
    </w:p>
    <w:p w:rsidR="000821DF" w:rsidRPr="006D4220" w:rsidRDefault="006D4220">
      <w:pPr>
        <w:pStyle w:val="Proposal"/>
        <w:rPr>
          <w:lang w:val="en-US"/>
        </w:rPr>
      </w:pPr>
      <w:r w:rsidRPr="006D4220">
        <w:rPr>
          <w:u w:val="single"/>
          <w:lang w:val="en-US"/>
        </w:rPr>
        <w:t>NOC</w:t>
      </w:r>
      <w:r w:rsidRPr="006D4220">
        <w:rPr>
          <w:lang w:val="en-US"/>
        </w:rPr>
        <w:tab/>
        <w:t>GAB/204A1/3</w:t>
      </w:r>
    </w:p>
    <w:p w:rsidR="009B463A" w:rsidRPr="006D4220" w:rsidRDefault="006D4220" w:rsidP="009B463A">
      <w:pPr>
        <w:pStyle w:val="Tabletitle"/>
        <w:rPr>
          <w:lang w:val="en-US"/>
        </w:rPr>
      </w:pPr>
      <w:r w:rsidRPr="006D4220">
        <w:rPr>
          <w:lang w:val="en-US"/>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6D4220"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Allocation to services</w:t>
            </w:r>
          </w:p>
        </w:tc>
      </w:tr>
      <w:tr w:rsidR="009B463A" w:rsidRPr="006D4220"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1</w:t>
            </w:r>
          </w:p>
        </w:tc>
        <w:tc>
          <w:tcPr>
            <w:tcW w:w="3109"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2</w:t>
            </w:r>
          </w:p>
        </w:tc>
        <w:tc>
          <w:tcPr>
            <w:tcW w:w="3101" w:type="dxa"/>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head"/>
              <w:rPr>
                <w:lang w:val="en-US"/>
              </w:rPr>
            </w:pPr>
            <w:r w:rsidRPr="006D4220">
              <w:rPr>
                <w:lang w:val="en-US"/>
              </w:rPr>
              <w:t>Region 3</w:t>
            </w:r>
          </w:p>
        </w:tc>
      </w:tr>
      <w:tr w:rsidR="009B463A" w:rsidRPr="006D4220"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6D4220" w:rsidRDefault="006D4220" w:rsidP="00477577">
            <w:pPr>
              <w:pStyle w:val="TableTextS5"/>
              <w:rPr>
                <w:lang w:val="en-US"/>
              </w:rPr>
            </w:pPr>
            <w:r w:rsidRPr="006D4220">
              <w:rPr>
                <w:rStyle w:val="Tablefreq"/>
                <w:lang w:val="en-US"/>
              </w:rPr>
              <w:t>4 400-4 500</w:t>
            </w:r>
            <w:r w:rsidRPr="006D4220">
              <w:rPr>
                <w:b/>
                <w:color w:val="000000"/>
                <w:lang w:val="en-US"/>
              </w:rPr>
              <w:tab/>
            </w:r>
            <w:r w:rsidRPr="006D4220">
              <w:rPr>
                <w:lang w:val="en-US"/>
              </w:rPr>
              <w:t>FIXED</w:t>
            </w:r>
          </w:p>
          <w:p w:rsidR="009B463A" w:rsidRPr="006D4220" w:rsidRDefault="006D4220" w:rsidP="00477577">
            <w:pPr>
              <w:pStyle w:val="TableTextS5"/>
              <w:tabs>
                <w:tab w:val="clear" w:pos="170"/>
                <w:tab w:val="clear" w:pos="567"/>
                <w:tab w:val="clear" w:pos="737"/>
                <w:tab w:val="clear" w:pos="2977"/>
                <w:tab w:val="left" w:pos="2986"/>
              </w:tabs>
              <w:spacing w:before="20" w:after="20" w:line="220" w:lineRule="exact"/>
              <w:ind w:left="567" w:hanging="567"/>
              <w:rPr>
                <w:rStyle w:val="Tablefreq"/>
                <w:color w:val="000000"/>
                <w:lang w:val="en-US"/>
              </w:rPr>
            </w:pPr>
            <w:r w:rsidRPr="006D4220">
              <w:rPr>
                <w:color w:val="000000"/>
                <w:lang w:val="en-US"/>
              </w:rPr>
              <w:tab/>
            </w:r>
            <w:r w:rsidRPr="006D4220">
              <w:rPr>
                <w:color w:val="000000"/>
                <w:lang w:val="en-US"/>
              </w:rPr>
              <w:tab/>
              <w:t xml:space="preserve">MOBILE  </w:t>
            </w:r>
            <w:r w:rsidRPr="006D4220">
              <w:rPr>
                <w:rStyle w:val="Artref"/>
                <w:lang w:val="en-US"/>
              </w:rPr>
              <w:t>5.440A</w:t>
            </w:r>
          </w:p>
        </w:tc>
      </w:tr>
    </w:tbl>
    <w:p w:rsidR="000821DF" w:rsidRPr="006D4220" w:rsidRDefault="00913067">
      <w:pPr>
        <w:pStyle w:val="Reasons"/>
        <w:rPr>
          <w:lang w:val="en-US"/>
        </w:rPr>
      </w:pPr>
      <w:r w:rsidRPr="006D4220">
        <w:rPr>
          <w:lang w:val="en-US"/>
        </w:rPr>
        <w:t>Apart from the above proposals, the Gabonese Republic supports the African common proposals.</w:t>
      </w:r>
    </w:p>
    <w:p w:rsidR="006B5A43" w:rsidRPr="006D4220" w:rsidRDefault="006B5A43">
      <w:pPr>
        <w:jc w:val="center"/>
        <w:rPr>
          <w:lang w:val="en-US"/>
        </w:rPr>
      </w:pPr>
      <w:r w:rsidRPr="006D4220">
        <w:rPr>
          <w:lang w:val="en-US"/>
        </w:rPr>
        <w:t>______________</w:t>
      </w:r>
    </w:p>
    <w:sectPr w:rsidR="006B5A43" w:rsidRPr="006D422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D4220">
      <w:rPr>
        <w:noProof/>
        <w:lang w:val="en-US"/>
      </w:rPr>
      <w:t>P:\ENG\ITU-R\CONF-R\CMR15\200\204ADD01E.docx</w:t>
    </w:r>
    <w:r>
      <w:fldChar w:fldCharType="end"/>
    </w:r>
    <w:r w:rsidRPr="0041348E">
      <w:rPr>
        <w:lang w:val="en-US"/>
      </w:rPr>
      <w:tab/>
    </w:r>
    <w:r>
      <w:fldChar w:fldCharType="begin"/>
    </w:r>
    <w:r>
      <w:instrText xml:space="preserve"> SAVEDATE \@ DD.MM.YY </w:instrText>
    </w:r>
    <w:r>
      <w:fldChar w:fldCharType="separate"/>
    </w:r>
    <w:r w:rsidR="00124147">
      <w:rPr>
        <w:noProof/>
      </w:rPr>
      <w:t>06.11.15</w:t>
    </w:r>
    <w:r>
      <w:fldChar w:fldCharType="end"/>
    </w:r>
    <w:r w:rsidRPr="0041348E">
      <w:rPr>
        <w:lang w:val="en-US"/>
      </w:rPr>
      <w:tab/>
    </w:r>
    <w:r>
      <w:fldChar w:fldCharType="begin"/>
    </w:r>
    <w:r>
      <w:instrText xml:space="preserve"> PRINTDATE \@ DD.MM.YY </w:instrText>
    </w:r>
    <w:r>
      <w:fldChar w:fldCharType="separate"/>
    </w:r>
    <w:r w:rsidR="006D4220">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6D4220">
      <w:rPr>
        <w:lang w:val="en-US"/>
      </w:rPr>
      <w:t>P:\ENG\ITU-R\CONF-R\CMR15\200\204ADD01E.docx</w:t>
    </w:r>
    <w:r>
      <w:fldChar w:fldCharType="end"/>
    </w:r>
    <w:r w:rsidR="00913067">
      <w:t xml:space="preserve"> (389826)</w:t>
    </w:r>
    <w:r w:rsidRPr="0041348E">
      <w:rPr>
        <w:lang w:val="en-US"/>
      </w:rPr>
      <w:tab/>
    </w:r>
    <w:r>
      <w:fldChar w:fldCharType="begin"/>
    </w:r>
    <w:r>
      <w:instrText xml:space="preserve"> SAVEDATE \@ DD.MM.YY </w:instrText>
    </w:r>
    <w:r>
      <w:fldChar w:fldCharType="separate"/>
    </w:r>
    <w:r w:rsidR="00124147">
      <w:t>06.11.15</w:t>
    </w:r>
    <w:r>
      <w:fldChar w:fldCharType="end"/>
    </w:r>
    <w:r w:rsidRPr="0041348E">
      <w:rPr>
        <w:lang w:val="en-US"/>
      </w:rPr>
      <w:tab/>
    </w:r>
    <w:r>
      <w:fldChar w:fldCharType="begin"/>
    </w:r>
    <w:r>
      <w:instrText xml:space="preserve"> PRINTDATE \@ DD.MM.YY </w:instrText>
    </w:r>
    <w:r>
      <w:fldChar w:fldCharType="separate"/>
    </w:r>
    <w:r w:rsidR="006D4220">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6D4220">
      <w:rPr>
        <w:lang w:val="en-US"/>
      </w:rPr>
      <w:t>P:\ENG\ITU-R\CONF-R\CMR15\200\204ADD01E.docx</w:t>
    </w:r>
    <w:r>
      <w:fldChar w:fldCharType="end"/>
    </w:r>
    <w:r w:rsidR="00913067">
      <w:t xml:space="preserve"> (389826)</w:t>
    </w:r>
    <w:r w:rsidRPr="0041348E">
      <w:rPr>
        <w:lang w:val="en-US"/>
      </w:rPr>
      <w:tab/>
    </w:r>
    <w:r>
      <w:fldChar w:fldCharType="begin"/>
    </w:r>
    <w:r>
      <w:instrText xml:space="preserve"> SAVEDATE \@ DD.MM.YY </w:instrText>
    </w:r>
    <w:r>
      <w:fldChar w:fldCharType="separate"/>
    </w:r>
    <w:r w:rsidR="00124147">
      <w:t>06.11.15</w:t>
    </w:r>
    <w:r>
      <w:fldChar w:fldCharType="end"/>
    </w:r>
    <w:r w:rsidRPr="0041348E">
      <w:rPr>
        <w:lang w:val="en-US"/>
      </w:rPr>
      <w:tab/>
    </w:r>
    <w:r>
      <w:fldChar w:fldCharType="begin"/>
    </w:r>
    <w:r>
      <w:instrText xml:space="preserve"> PRINTDATE \@ DD.MM.YY </w:instrText>
    </w:r>
    <w:r>
      <w:fldChar w:fldCharType="separate"/>
    </w:r>
    <w:r w:rsidR="006D4220">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24147">
      <w:rPr>
        <w:noProof/>
      </w:rPr>
      <w:t>3</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204(Add.1)</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76FF"/>
    <w:rsid w:val="000705F2"/>
    <w:rsid w:val="00077239"/>
    <w:rsid w:val="000821DF"/>
    <w:rsid w:val="00086491"/>
    <w:rsid w:val="00091346"/>
    <w:rsid w:val="0009706C"/>
    <w:rsid w:val="000D154B"/>
    <w:rsid w:val="000F73FF"/>
    <w:rsid w:val="00114CF7"/>
    <w:rsid w:val="00123B68"/>
    <w:rsid w:val="00124147"/>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5A43"/>
    <w:rsid w:val="006B7C2A"/>
    <w:rsid w:val="006C23DA"/>
    <w:rsid w:val="006D4220"/>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13067"/>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F293DA5-CA92-4954-B938-524C30C2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6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R15-WRC15-C-0204!A1!MSW-E</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0BA351C2-C590-4258-8D7E-39011A92F5EA}">
  <ds:schemaRefs>
    <ds:schemaRef ds:uri="http://schemas.openxmlformats.org/package/2006/metadata/core-properties"/>
    <ds:schemaRef ds:uri="996b2e75-67fd-4955-a3b0-5ab9934cb50b"/>
    <ds:schemaRef ds:uri="http://www.w3.org/XML/1998/namespace"/>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A13BE316-AB8F-4E03-A797-3FAD434A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15</TotalTime>
  <Pages>3</Pages>
  <Words>537</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R15-WRC15-C-0204!A1!MSW-E</vt:lpstr>
    </vt:vector>
  </TitlesOfParts>
  <Manager>General Secretariat - Pool</Manager>
  <Company>International Telecommunication Union (ITU)</Company>
  <LinksUpToDate>false</LinksUpToDate>
  <CharactersWithSpaces>3576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R15-WRC15-C-0204!A1!MSW-E</dc:title>
  <dc:subject>World Radiocommunication Conference - 2015</dc:subject>
  <dc:creator>Documents Proposals Manager (DPM)</dc:creator>
  <cp:keywords>DPM_v5.2015.11.61_prod</cp:keywords>
  <dc:description>Uploaded on 2015.07.06</dc:description>
  <cp:lastModifiedBy>Neal, Sharon</cp:lastModifiedBy>
  <cp:revision>6</cp:revision>
  <cp:lastPrinted>2015-11-06T21:35:00Z</cp:lastPrinted>
  <dcterms:created xsi:type="dcterms:W3CDTF">2015-11-06T21:22:00Z</dcterms:created>
  <dcterms:modified xsi:type="dcterms:W3CDTF">2015-11-06T21:44:00Z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