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2A6F8F" w:rsidTr="0050008E">
        <w:trPr>
          <w:cantSplit/>
        </w:trPr>
        <w:tc>
          <w:tcPr>
            <w:tcW w:w="6911" w:type="dxa"/>
          </w:tcPr>
          <w:p w:rsidR="00BB1D82" w:rsidRPr="00930FFD" w:rsidRDefault="00851625" w:rsidP="002A6F8F">
            <w:pPr>
              <w:spacing w:before="400" w:after="48" w:line="240" w:lineRule="atLeast"/>
              <w:rPr>
                <w:rFonts w:ascii="Verdana" w:hAnsi="Verdana"/>
                <w:b/>
                <w:bCs/>
                <w:sz w:val="20"/>
                <w:lang w:val="fr-CH"/>
              </w:rPr>
            </w:pPr>
            <w:r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(CMR-15)</w:t>
            </w:r>
            <w:r w:rsidRPr="00930FFD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Genève,</w:t>
            </w:r>
            <w:r w:rsidR="00E537F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2-27 novembre 2015</w:t>
            </w:r>
          </w:p>
        </w:tc>
        <w:tc>
          <w:tcPr>
            <w:tcW w:w="3120" w:type="dxa"/>
          </w:tcPr>
          <w:p w:rsidR="00BB1D82" w:rsidRPr="002A6F8F" w:rsidRDefault="002C28A4" w:rsidP="002C28A4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4EDCAEED" wp14:editId="032F8E9F">
                  <wp:extent cx="1247775" cy="93583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2A6F8F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B1D82" w:rsidRPr="002A6F8F" w:rsidRDefault="002C28A4" w:rsidP="00BB1D82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1" w:name="dhead"/>
            <w:r w:rsidRPr="00BB51CC">
              <w:rPr>
                <w:rFonts w:ascii="Verdana" w:hAnsi="Verdana"/>
                <w:b/>
                <w:bCs/>
                <w:sz w:val="20"/>
              </w:rPr>
              <w:t>UNION INTERNATIONALE DES T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L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COMMUNICATIONS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B1D82" w:rsidRPr="002A6F8F" w:rsidRDefault="00BB1D82" w:rsidP="00BB1D82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BB1D82" w:rsidRPr="00930FFD" w:rsidRDefault="008605CE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>
              <w:rPr>
                <w:rFonts w:ascii="Verdana" w:hAnsi="Verdana"/>
                <w:b/>
                <w:sz w:val="20"/>
                <w:lang w:val="en-US"/>
              </w:rPr>
              <w:t>COMMISSION 4</w:t>
            </w:r>
          </w:p>
        </w:tc>
        <w:tc>
          <w:tcPr>
            <w:tcW w:w="3120" w:type="dxa"/>
            <w:shd w:val="clear" w:color="auto" w:fill="auto"/>
          </w:tcPr>
          <w:p w:rsidR="00BB1D82" w:rsidRPr="002A6F8F" w:rsidRDefault="006D4724" w:rsidP="00BA5BD0">
            <w:pPr>
              <w:spacing w:before="0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t>Addendum 1 au</w:t>
            </w:r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br/>
              <w:t>Document 204</w:t>
            </w:r>
            <w:r w:rsidR="00BB1D82" w:rsidRPr="002A6F8F">
              <w:rPr>
                <w:rFonts w:ascii="Verdana" w:hAnsi="Verdana"/>
                <w:b/>
                <w:sz w:val="20"/>
                <w:lang w:val="en-US"/>
              </w:rPr>
              <w:t>-</w:t>
            </w:r>
            <w:r w:rsidRPr="002A6F8F">
              <w:rPr>
                <w:rFonts w:ascii="Verdana" w:hAnsi="Verdana"/>
                <w:b/>
                <w:sz w:val="20"/>
                <w:lang w:val="en-US"/>
              </w:rPr>
              <w:t>F</w:t>
            </w:r>
          </w:p>
        </w:tc>
      </w:tr>
      <w:bookmarkEnd w:id="1"/>
      <w:tr w:rsidR="00690C7B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690C7B" w:rsidRPr="00930FFD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  <w:tc>
          <w:tcPr>
            <w:tcW w:w="3120" w:type="dxa"/>
            <w:shd w:val="clear" w:color="auto" w:fill="auto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6 novembre 2015</w:t>
            </w:r>
          </w:p>
        </w:tc>
      </w:tr>
      <w:tr w:rsidR="00690C7B" w:rsidRPr="002A6F8F" w:rsidTr="00BB1D82">
        <w:trPr>
          <w:cantSplit/>
        </w:trPr>
        <w:tc>
          <w:tcPr>
            <w:tcW w:w="6911" w:type="dxa"/>
          </w:tcPr>
          <w:p w:rsidR="00690C7B" w:rsidRPr="002A6F8F" w:rsidRDefault="00690C7B" w:rsidP="00BA5BD0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:rsidR="00690C7B" w:rsidRPr="002A6F8F" w:rsidRDefault="00690C7B" w:rsidP="008605CE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 xml:space="preserve">Original: </w:t>
            </w:r>
            <w:r w:rsidR="008605CE">
              <w:rPr>
                <w:rFonts w:ascii="Verdana" w:hAnsi="Verdana"/>
                <w:b/>
                <w:sz w:val="20"/>
                <w:lang w:val="en-US"/>
              </w:rPr>
              <w:t>franç</w:t>
            </w:r>
            <w:r w:rsidRPr="002A6F8F">
              <w:rPr>
                <w:rFonts w:ascii="Verdana" w:hAnsi="Verdana"/>
                <w:b/>
                <w:sz w:val="20"/>
                <w:lang w:val="en-US"/>
              </w:rPr>
              <w:t>ais</w:t>
            </w:r>
          </w:p>
        </w:tc>
      </w:tr>
      <w:tr w:rsidR="00690C7B" w:rsidRPr="002A6F8F" w:rsidTr="00C11970">
        <w:trPr>
          <w:cantSplit/>
        </w:trPr>
        <w:tc>
          <w:tcPr>
            <w:tcW w:w="10031" w:type="dxa"/>
            <w:gridSpan w:val="2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2A6F8F" w:rsidRDefault="00690C7B" w:rsidP="00690C7B">
            <w:pPr>
              <w:pStyle w:val="Source"/>
              <w:rPr>
                <w:lang w:val="en-US"/>
              </w:rPr>
            </w:pPr>
            <w:bookmarkStart w:id="2" w:name="dsource" w:colFirst="0" w:colLast="0"/>
            <w:r w:rsidRPr="002A6F8F">
              <w:rPr>
                <w:lang w:val="en-US"/>
              </w:rPr>
              <w:t>Gabonaise (République)</w:t>
            </w: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353D5E" w:rsidRDefault="00353D5E" w:rsidP="00690C7B">
            <w:pPr>
              <w:pStyle w:val="Title1"/>
              <w:rPr>
                <w:lang w:val="fr-CH"/>
              </w:rPr>
            </w:pPr>
            <w:bookmarkStart w:id="3" w:name="dtitle1" w:colFirst="0" w:colLast="0"/>
            <w:bookmarkEnd w:id="2"/>
            <w:r w:rsidRPr="00353D5E">
              <w:rPr>
                <w:lang w:val="fr-CH"/>
              </w:rPr>
              <w:t>PROPOSITIONS POUR LES TRAVAUX DE LA CONFéRENCE</w:t>
            </w: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353D5E" w:rsidRDefault="00690C7B" w:rsidP="00690C7B">
            <w:pPr>
              <w:pStyle w:val="Title2"/>
              <w:rPr>
                <w:lang w:val="fr-CH"/>
              </w:rPr>
            </w:pPr>
            <w:bookmarkStart w:id="4" w:name="dtitle2" w:colFirst="0" w:colLast="0"/>
            <w:bookmarkEnd w:id="3"/>
          </w:p>
        </w:tc>
      </w:tr>
      <w:tr w:rsidR="00690C7B" w:rsidTr="0050008E">
        <w:trPr>
          <w:cantSplit/>
        </w:trPr>
        <w:tc>
          <w:tcPr>
            <w:tcW w:w="10031" w:type="dxa"/>
            <w:gridSpan w:val="2"/>
          </w:tcPr>
          <w:p w:rsidR="00690C7B" w:rsidRDefault="00690C7B" w:rsidP="00690C7B">
            <w:pPr>
              <w:pStyle w:val="Agendaitem"/>
            </w:pPr>
            <w:bookmarkStart w:id="5" w:name="dtitle3" w:colFirst="0" w:colLast="0"/>
            <w:bookmarkEnd w:id="4"/>
            <w:r w:rsidRPr="006D4724">
              <w:t>Point 1.1 de l'ordre du jour</w:t>
            </w:r>
          </w:p>
        </w:tc>
      </w:tr>
    </w:tbl>
    <w:bookmarkEnd w:id="5"/>
    <w:p w:rsidR="001C0E40" w:rsidRPr="0000257F" w:rsidRDefault="00A11EED" w:rsidP="0000257F">
      <w:pPr>
        <w:rPr>
          <w:lang w:val="fr-CA"/>
        </w:rPr>
      </w:pPr>
      <w:r w:rsidRPr="0000257F">
        <w:rPr>
          <w:lang w:val="fr-CA"/>
        </w:rPr>
        <w:t>1.1</w:t>
      </w:r>
      <w:r w:rsidRPr="0000257F">
        <w:rPr>
          <w:lang w:val="fr-CA"/>
        </w:rPr>
        <w:tab/>
        <w:t>envisager des attributions de fréquences additionnelles au service mobile à titre primaire et identifier des bandes de fréquences additionnelles pour les Télécommunications mobiles internationales (IMT) ainsi que les dispositions réglementaires correspondantes, afin de faciliter le développement des applications mobiles à large bande de Terre, conformément à la Résolution </w:t>
      </w:r>
      <w:r w:rsidRPr="00645CBD">
        <w:rPr>
          <w:b/>
          <w:bCs/>
          <w:lang w:val="fr-CA"/>
        </w:rPr>
        <w:t>233 (CMR</w:t>
      </w:r>
      <w:r w:rsidRPr="00645CBD">
        <w:rPr>
          <w:b/>
          <w:bCs/>
          <w:lang w:val="fr-CA"/>
        </w:rPr>
        <w:noBreakHyphen/>
        <w:t>12)</w:t>
      </w:r>
      <w:r w:rsidRPr="0000257F">
        <w:rPr>
          <w:lang w:val="fr-CA"/>
        </w:rPr>
        <w:t>;</w:t>
      </w:r>
    </w:p>
    <w:p w:rsidR="00353D5E" w:rsidRPr="00907123" w:rsidRDefault="00353D5E" w:rsidP="00353D5E">
      <w:pPr>
        <w:pStyle w:val="Headingb"/>
        <w:rPr>
          <w:lang w:val="fr-CH"/>
        </w:rPr>
      </w:pPr>
      <w:r w:rsidRPr="00BE286F">
        <w:t>Introduction</w:t>
      </w:r>
    </w:p>
    <w:p w:rsidR="00353D5E" w:rsidRPr="00312984" w:rsidRDefault="00353D5E" w:rsidP="00353D5E">
      <w:r>
        <w:rPr>
          <w:lang w:val="fr-CH"/>
        </w:rPr>
        <w:t>L</w:t>
      </w:r>
      <w:r w:rsidR="00DE1217">
        <w:t>a disponibilité d'</w:t>
      </w:r>
      <w:r w:rsidRPr="00312984">
        <w:t>un spectre de fréquences adé</w:t>
      </w:r>
      <w:r w:rsidR="00DE1217">
        <w:t>quat et en temps opportun avec l</w:t>
      </w:r>
      <w:r w:rsidRPr="00312984">
        <w:t>es dispositions réglementaires appropriées, ainsi que l'amélioration des technologies, sont essentiel</w:t>
      </w:r>
      <w:r w:rsidR="000415D2">
        <w:t>le</w:t>
      </w:r>
      <w:r w:rsidRPr="00312984">
        <w:t>s pour soutenir la croissance future des IMT et d'autres systèmes mobiles à large bande. De même, les bandes de fréquences harmonisées à travers le monde pour ces systèmes sont hautement souhaitables afin de faciliter l'itinérance mondiale et les économies d'échelle.</w:t>
      </w:r>
    </w:p>
    <w:p w:rsidR="00353D5E" w:rsidRPr="00312984" w:rsidRDefault="00353D5E" w:rsidP="00353D5E">
      <w:pPr>
        <w:jc w:val="both"/>
        <w:rPr>
          <w:rFonts w:cs="Calibri"/>
          <w:szCs w:val="24"/>
        </w:rPr>
      </w:pPr>
      <w:r>
        <w:rPr>
          <w:rFonts w:cs="Calibri"/>
          <w:bCs/>
          <w:szCs w:val="24"/>
        </w:rPr>
        <w:t xml:space="preserve">Compte tenu </w:t>
      </w:r>
      <w:r w:rsidRPr="00312984">
        <w:rPr>
          <w:rFonts w:cs="Calibri"/>
          <w:bCs/>
          <w:szCs w:val="24"/>
        </w:rPr>
        <w:t>de ce que</w:t>
      </w:r>
      <w:r>
        <w:rPr>
          <w:rFonts w:cs="Calibri"/>
          <w:bCs/>
          <w:szCs w:val="24"/>
        </w:rPr>
        <w:t>:</w:t>
      </w:r>
    </w:p>
    <w:p w:rsidR="00353D5E" w:rsidRPr="00312984" w:rsidRDefault="00353D5E" w:rsidP="00353D5E">
      <w:pPr>
        <w:pStyle w:val="enumlev1"/>
      </w:pPr>
      <w:r>
        <w:rPr>
          <w:lang w:val="fr-CH"/>
        </w:rPr>
        <w:t>–</w:t>
      </w:r>
      <w:r w:rsidRPr="007B5A3A">
        <w:rPr>
          <w:lang w:val="fr-CH"/>
        </w:rPr>
        <w:tab/>
      </w:r>
      <w:r w:rsidRPr="00312984">
        <w:t>les communications mobiles à large bande contribuent positivement au dév</w:t>
      </w:r>
      <w:r w:rsidR="00DE1217">
        <w:t>eloppement économique et social</w:t>
      </w:r>
      <w:r w:rsidRPr="00312984">
        <w:t xml:space="preserve"> des pays</w:t>
      </w:r>
      <w:r>
        <w:t xml:space="preserve"> développés et en développement</w:t>
      </w:r>
      <w:r w:rsidRPr="00312984">
        <w:t xml:space="preserve">; </w:t>
      </w:r>
    </w:p>
    <w:p w:rsidR="00353D5E" w:rsidRPr="00312984" w:rsidRDefault="00353D5E" w:rsidP="00353D5E">
      <w:pPr>
        <w:pStyle w:val="enumlev1"/>
      </w:pPr>
      <w:r>
        <w:rPr>
          <w:lang w:val="fr-CH"/>
        </w:rPr>
        <w:t>–</w:t>
      </w:r>
      <w:r w:rsidRPr="007B5A3A">
        <w:rPr>
          <w:lang w:val="fr-CH"/>
        </w:rPr>
        <w:tab/>
      </w:r>
      <w:r w:rsidRPr="00312984">
        <w:t xml:space="preserve">beaucoup </w:t>
      </w:r>
      <w:r w:rsidRPr="00312984">
        <w:rPr>
          <w:color w:val="0F243E"/>
        </w:rPr>
        <w:t>d</w:t>
      </w:r>
      <w:r w:rsidR="00DE1217">
        <w:rPr>
          <w:color w:val="0F243E"/>
        </w:rPr>
        <w:t>'</w:t>
      </w:r>
      <w:r w:rsidRPr="00312984">
        <w:t xml:space="preserve">administrations </w:t>
      </w:r>
      <w:r>
        <w:t xml:space="preserve">considèrent que les </w:t>
      </w:r>
      <w:r w:rsidRPr="00312984">
        <w:t>IMT et d'autres applications à large bande mobiles terrestre</w:t>
      </w:r>
      <w:r>
        <w:t xml:space="preserve"> contribuent significativement à la </w:t>
      </w:r>
      <w:r w:rsidRPr="00312984">
        <w:t>rédu</w:t>
      </w:r>
      <w:r>
        <w:t>ction de la fracture numérique</w:t>
      </w:r>
      <w:r w:rsidRPr="00312984">
        <w:t>;</w:t>
      </w:r>
    </w:p>
    <w:p w:rsidR="00353D5E" w:rsidRPr="00312984" w:rsidRDefault="00353D5E" w:rsidP="00353D5E">
      <w:pPr>
        <w:pStyle w:val="enumlev1"/>
      </w:pPr>
      <w:r>
        <w:rPr>
          <w:lang w:val="fr-CH"/>
        </w:rPr>
        <w:t>–</w:t>
      </w:r>
      <w:r w:rsidRPr="007B5A3A">
        <w:rPr>
          <w:lang w:val="fr-CH"/>
        </w:rPr>
        <w:tab/>
      </w:r>
      <w:r w:rsidRPr="00312984">
        <w:t xml:space="preserve">le haut débit mobile fourni sur les smartphones et tablettes est devenu le segment le plus dynamique du marché mondial des TIC et est </w:t>
      </w:r>
      <w:r w:rsidR="00DE1217">
        <w:t>maintenant plus abordable que le</w:t>
      </w:r>
      <w:r w:rsidRPr="00312984">
        <w:t xml:space="preserve"> large bande </w:t>
      </w:r>
      <w:r>
        <w:t>fixe</w:t>
      </w:r>
      <w:r w:rsidRPr="00312984">
        <w:t>;</w:t>
      </w:r>
    </w:p>
    <w:p w:rsidR="00353D5E" w:rsidRPr="00312984" w:rsidRDefault="00353D5E" w:rsidP="00353D5E">
      <w:pPr>
        <w:pStyle w:val="enumlev1"/>
      </w:pPr>
      <w:r>
        <w:rPr>
          <w:lang w:val="fr-CH"/>
        </w:rPr>
        <w:t>–</w:t>
      </w:r>
      <w:r w:rsidRPr="007B5A3A">
        <w:rPr>
          <w:lang w:val="fr-CH"/>
        </w:rPr>
        <w:tab/>
      </w:r>
      <w:r w:rsidRPr="00312984">
        <w:t>les bandes de fréquences réservées aux ser</w:t>
      </w:r>
      <w:r>
        <w:t>vices mobiles (GSM 900 MHz, DCS </w:t>
      </w:r>
      <w:r w:rsidRPr="00312984">
        <w:t>1</w:t>
      </w:r>
      <w:r>
        <w:t> 800 </w:t>
      </w:r>
      <w:r w:rsidRPr="00312984">
        <w:t>MHz, UMTS 2</w:t>
      </w:r>
      <w:r>
        <w:t> </w:t>
      </w:r>
      <w:r w:rsidRPr="00312984">
        <w:t>100 MHz, etc.) sont quasi sa</w:t>
      </w:r>
      <w:r>
        <w:t>turées dans la plupart des pays</w:t>
      </w:r>
      <w:r w:rsidRPr="00312984">
        <w:t>;</w:t>
      </w:r>
    </w:p>
    <w:p w:rsidR="00353D5E" w:rsidRPr="00312984" w:rsidRDefault="00353D5E" w:rsidP="00353D5E">
      <w:pPr>
        <w:pStyle w:val="enumlev1"/>
      </w:pPr>
      <w:r>
        <w:rPr>
          <w:lang w:val="fr-CH"/>
        </w:rPr>
        <w:t>–</w:t>
      </w:r>
      <w:r w:rsidRPr="007B5A3A">
        <w:rPr>
          <w:lang w:val="fr-CH"/>
        </w:rPr>
        <w:tab/>
      </w:r>
      <w:r w:rsidRPr="00312984">
        <w:t xml:space="preserve">depuis la CMR-07, la demande pour les applications mobiles à large bande </w:t>
      </w:r>
      <w:r>
        <w:t>a connu une croissance rapide (c</w:t>
      </w:r>
      <w:r w:rsidRPr="00312984">
        <w:t>f. Rapport UIT-R M.2243 qui fournit des informations détaillées sur les déploiements à large bande mobiles mondiau</w:t>
      </w:r>
      <w:r>
        <w:t>x et les prévisions pour l'IMT),</w:t>
      </w:r>
    </w:p>
    <w:p w:rsidR="00353D5E" w:rsidRDefault="00353D5E" w:rsidP="00353D5E">
      <w:pPr>
        <w:rPr>
          <w:color w:val="0D0D0D" w:themeColor="text1" w:themeTint="F2"/>
        </w:rPr>
      </w:pPr>
      <w:r w:rsidRPr="00312984">
        <w:lastRenderedPageBreak/>
        <w:t>il s’avère nécessaire d’identifier du spectre additionnel</w:t>
      </w:r>
      <w:r>
        <w:t xml:space="preserve"> pour les IMT,</w:t>
      </w:r>
      <w:r w:rsidRPr="00312984">
        <w:t xml:space="preserve"> en vue du développement des</w:t>
      </w:r>
      <w:r w:rsidR="00DE1217">
        <w:t xml:space="preserve"> applications large bande</w:t>
      </w:r>
      <w:r w:rsidRPr="00312984">
        <w:t xml:space="preserve"> du service mobile</w:t>
      </w:r>
      <w:r>
        <w:t>,</w:t>
      </w:r>
      <w:r w:rsidRPr="00312984">
        <w:t xml:space="preserve"> </w:t>
      </w:r>
      <w:r>
        <w:t>en tenant compte des résultats des études de partage et de compatibilité de l’UIT-R, afin de veiller à la protection des services existants.</w:t>
      </w:r>
    </w:p>
    <w:p w:rsidR="00353D5E" w:rsidRDefault="00353D5E" w:rsidP="00353D5E">
      <w:r>
        <w:t>L’UIT-R a réalisé des études sur une liste de bande de fréquences qui pourraient être envisagées.</w:t>
      </w:r>
    </w:p>
    <w:p w:rsidR="00353D5E" w:rsidRPr="00907123" w:rsidRDefault="00353D5E" w:rsidP="00353D5E">
      <w:pPr>
        <w:pStyle w:val="Headingb"/>
        <w:rPr>
          <w:lang w:val="fr-CH"/>
        </w:rPr>
      </w:pPr>
      <w:r w:rsidRPr="00BE286F">
        <w:t>Proposition</w:t>
      </w:r>
      <w:r>
        <w:t>s</w:t>
      </w:r>
    </w:p>
    <w:p w:rsidR="00353D5E" w:rsidRDefault="00353D5E" w:rsidP="00353D5E">
      <w:pPr>
        <w:jc w:val="both"/>
        <w:rPr>
          <w:color w:val="0D0D0D" w:themeColor="text1" w:themeTint="F2"/>
          <w:lang w:eastAsia="fr-FR"/>
        </w:rPr>
      </w:pPr>
      <w:r w:rsidRPr="00907123">
        <w:rPr>
          <w:color w:val="0D0D0D" w:themeColor="text1" w:themeTint="F2"/>
          <w:lang w:eastAsia="fr-FR"/>
        </w:rPr>
        <w:t xml:space="preserve">Le </w:t>
      </w:r>
      <w:r>
        <w:rPr>
          <w:color w:val="0D0D0D" w:themeColor="text1" w:themeTint="F2"/>
          <w:lang w:eastAsia="fr-FR"/>
        </w:rPr>
        <w:t>Gabon</w:t>
      </w:r>
      <w:r w:rsidRPr="00907123">
        <w:rPr>
          <w:color w:val="0D0D0D" w:themeColor="text1" w:themeTint="F2"/>
          <w:lang w:eastAsia="fr-FR"/>
        </w:rPr>
        <w:t xml:space="preserve"> </w:t>
      </w:r>
      <w:r>
        <w:rPr>
          <w:color w:val="0D0D0D" w:themeColor="text1" w:themeTint="F2"/>
          <w:lang w:eastAsia="fr-FR"/>
        </w:rPr>
        <w:t>formule les propositions suivantes pour certaines des bandes de fréquences envisagées par les études de l’UIT-R:</w:t>
      </w:r>
    </w:p>
    <w:p w:rsidR="00353D5E" w:rsidRDefault="008605CE" w:rsidP="00353D5E">
      <w:pPr>
        <w:pStyle w:val="enumlev1"/>
        <w:rPr>
          <w:lang w:eastAsia="fr-FR"/>
        </w:rPr>
      </w:pPr>
      <w:r>
        <w:rPr>
          <w:lang w:eastAsia="fr-FR"/>
        </w:rPr>
        <w:t>1)</w:t>
      </w:r>
      <w:r>
        <w:rPr>
          <w:lang w:eastAsia="fr-FR"/>
        </w:rPr>
        <w:tab/>
        <w:t>bandes de fréquences</w:t>
      </w:r>
      <w:r w:rsidR="00353D5E">
        <w:rPr>
          <w:lang w:eastAsia="fr-FR"/>
        </w:rPr>
        <w:t>:</w:t>
      </w:r>
      <w:r>
        <w:rPr>
          <w:lang w:eastAsia="fr-FR"/>
        </w:rPr>
        <w:t xml:space="preserve"> </w:t>
      </w:r>
      <w:r w:rsidR="00353D5E" w:rsidRPr="008C29EE">
        <w:rPr>
          <w:lang w:eastAsia="fr-FR"/>
        </w:rPr>
        <w:t>2 700</w:t>
      </w:r>
      <w:r w:rsidR="00353D5E">
        <w:rPr>
          <w:lang w:eastAsia="fr-FR"/>
        </w:rPr>
        <w:t>-</w:t>
      </w:r>
      <w:r w:rsidR="00353D5E" w:rsidRPr="008C29EE">
        <w:rPr>
          <w:lang w:eastAsia="fr-FR"/>
        </w:rPr>
        <w:t>2 900 MHz</w:t>
      </w:r>
      <w:r w:rsidR="00353D5E">
        <w:rPr>
          <w:lang w:eastAsia="fr-FR"/>
        </w:rPr>
        <w:t xml:space="preserve">, </w:t>
      </w:r>
      <w:r w:rsidR="00353D5E" w:rsidRPr="008C29EE">
        <w:rPr>
          <w:lang w:eastAsia="fr-FR"/>
        </w:rPr>
        <w:t>3 300</w:t>
      </w:r>
      <w:r w:rsidR="00353D5E">
        <w:rPr>
          <w:lang w:eastAsia="fr-FR"/>
        </w:rPr>
        <w:t>-</w:t>
      </w:r>
      <w:r>
        <w:rPr>
          <w:lang w:eastAsia="fr-FR"/>
        </w:rPr>
        <w:t>3 400 MHz</w:t>
      </w:r>
      <w:r w:rsidR="00353D5E" w:rsidRPr="008C29EE">
        <w:rPr>
          <w:lang w:eastAsia="fr-FR"/>
        </w:rPr>
        <w:t>: Pas de modification au Règlement des radiocommunications (NOC)</w:t>
      </w:r>
      <w:r w:rsidR="00353D5E">
        <w:rPr>
          <w:lang w:eastAsia="fr-FR"/>
        </w:rPr>
        <w:t>;</w:t>
      </w:r>
    </w:p>
    <w:p w:rsidR="00353D5E" w:rsidRDefault="00353D5E" w:rsidP="008605CE">
      <w:pPr>
        <w:pStyle w:val="enumlev1"/>
        <w:rPr>
          <w:lang w:eastAsia="fr-FR"/>
        </w:rPr>
      </w:pPr>
      <w:r>
        <w:rPr>
          <w:lang w:eastAsia="fr-FR"/>
        </w:rPr>
        <w:t>2)</w:t>
      </w:r>
      <w:r>
        <w:rPr>
          <w:lang w:eastAsia="fr-FR"/>
        </w:rPr>
        <w:tab/>
      </w:r>
      <w:r w:rsidRPr="008C29EE">
        <w:rPr>
          <w:lang w:eastAsia="fr-FR"/>
        </w:rPr>
        <w:t xml:space="preserve">bande de fréquences </w:t>
      </w:r>
      <w:r w:rsidRPr="008C29EE">
        <w:rPr>
          <w:bCs/>
        </w:rPr>
        <w:t>1 </w:t>
      </w:r>
      <w:r>
        <w:rPr>
          <w:bCs/>
        </w:rPr>
        <w:t>427</w:t>
      </w:r>
      <w:r w:rsidRPr="008C29EE">
        <w:rPr>
          <w:bCs/>
        </w:rPr>
        <w:t>-1 </w:t>
      </w:r>
      <w:r>
        <w:rPr>
          <w:bCs/>
        </w:rPr>
        <w:t>452</w:t>
      </w:r>
      <w:r w:rsidRPr="008C29EE">
        <w:rPr>
          <w:bCs/>
        </w:rPr>
        <w:t xml:space="preserve"> MHz, </w:t>
      </w:r>
      <w:r>
        <w:rPr>
          <w:bCs/>
        </w:rPr>
        <w:t>1</w:t>
      </w:r>
      <w:r w:rsidR="008605CE">
        <w:rPr>
          <w:bCs/>
        </w:rPr>
        <w:t> </w:t>
      </w:r>
      <w:r>
        <w:rPr>
          <w:bCs/>
        </w:rPr>
        <w:t>350</w:t>
      </w:r>
      <w:r w:rsidRPr="008C29EE">
        <w:rPr>
          <w:bCs/>
        </w:rPr>
        <w:t>-</w:t>
      </w:r>
      <w:r>
        <w:rPr>
          <w:bCs/>
        </w:rPr>
        <w:t>1</w:t>
      </w:r>
      <w:r w:rsidR="008605CE">
        <w:rPr>
          <w:bCs/>
        </w:rPr>
        <w:t> </w:t>
      </w:r>
      <w:r>
        <w:rPr>
          <w:bCs/>
        </w:rPr>
        <w:t>400</w:t>
      </w:r>
      <w:r w:rsidRPr="008C29EE">
        <w:rPr>
          <w:bCs/>
        </w:rPr>
        <w:t xml:space="preserve"> MHz, </w:t>
      </w:r>
      <w:r>
        <w:rPr>
          <w:bCs/>
        </w:rPr>
        <w:t>1</w:t>
      </w:r>
      <w:r w:rsidR="008605CE">
        <w:rPr>
          <w:bCs/>
        </w:rPr>
        <w:t> </w:t>
      </w:r>
      <w:r>
        <w:rPr>
          <w:bCs/>
        </w:rPr>
        <w:t>492</w:t>
      </w:r>
      <w:r w:rsidRPr="008C29EE">
        <w:rPr>
          <w:bCs/>
        </w:rPr>
        <w:t>-</w:t>
      </w:r>
      <w:r>
        <w:rPr>
          <w:bCs/>
        </w:rPr>
        <w:t>1</w:t>
      </w:r>
      <w:r w:rsidR="008605CE">
        <w:rPr>
          <w:bCs/>
        </w:rPr>
        <w:t> </w:t>
      </w:r>
      <w:r>
        <w:rPr>
          <w:bCs/>
        </w:rPr>
        <w:t>518</w:t>
      </w:r>
      <w:r w:rsidRPr="008C29EE">
        <w:rPr>
          <w:bCs/>
        </w:rPr>
        <w:t xml:space="preserve"> MHz</w:t>
      </w:r>
      <w:r>
        <w:rPr>
          <w:lang w:eastAsia="fr-FR"/>
        </w:rPr>
        <w:t>,</w:t>
      </w:r>
      <w:r w:rsidRPr="006B7D3B">
        <w:rPr>
          <w:bCs/>
          <w:color w:val="000000" w:themeColor="text1"/>
        </w:rPr>
        <w:t xml:space="preserve"> </w:t>
      </w:r>
      <w:r w:rsidRPr="008C29EE">
        <w:rPr>
          <w:bCs/>
          <w:color w:val="000000" w:themeColor="text1"/>
        </w:rPr>
        <w:t>1</w:t>
      </w:r>
      <w:r w:rsidR="008605CE">
        <w:rPr>
          <w:bCs/>
          <w:color w:val="000000" w:themeColor="text1"/>
        </w:rPr>
        <w:t> </w:t>
      </w:r>
      <w:r w:rsidRPr="008C29EE">
        <w:rPr>
          <w:bCs/>
          <w:color w:val="000000" w:themeColor="text1"/>
        </w:rPr>
        <w:t>518</w:t>
      </w:r>
      <w:r w:rsidR="008605CE">
        <w:rPr>
          <w:bCs/>
          <w:color w:val="000000" w:themeColor="text1"/>
        </w:rPr>
        <w:noBreakHyphen/>
      </w:r>
      <w:r w:rsidRPr="008C29EE">
        <w:rPr>
          <w:bCs/>
          <w:color w:val="000000" w:themeColor="text1"/>
        </w:rPr>
        <w:t>1 525</w:t>
      </w:r>
      <w:r>
        <w:rPr>
          <w:bCs/>
          <w:color w:val="000000" w:themeColor="text1"/>
        </w:rPr>
        <w:t xml:space="preserve"> MHz, </w:t>
      </w:r>
      <w:r w:rsidRPr="008C29EE">
        <w:rPr>
          <w:lang w:eastAsia="fr-FR"/>
        </w:rPr>
        <w:t>4 800</w:t>
      </w:r>
      <w:r>
        <w:rPr>
          <w:lang w:eastAsia="fr-FR"/>
        </w:rPr>
        <w:t>-</w:t>
      </w:r>
      <w:r w:rsidR="008605CE">
        <w:rPr>
          <w:lang w:eastAsia="fr-FR"/>
        </w:rPr>
        <w:t>4 990 MHz</w:t>
      </w:r>
      <w:r w:rsidRPr="00005E92">
        <w:rPr>
          <w:lang w:eastAsia="fr-FR"/>
        </w:rPr>
        <w:t>:</w:t>
      </w:r>
      <w:r>
        <w:rPr>
          <w:lang w:eastAsia="fr-FR"/>
        </w:rPr>
        <w:t xml:space="preserve"> Identification pour les IMT.</w:t>
      </w:r>
    </w:p>
    <w:p w:rsidR="00353D5E" w:rsidRDefault="00353D5E" w:rsidP="00353D5E">
      <w:pPr>
        <w:ind w:right="-142"/>
      </w:pPr>
      <w:r>
        <w:rPr>
          <w:color w:val="0D0D0D" w:themeColor="text1" w:themeTint="F2"/>
          <w:lang w:eastAsia="fr-FR"/>
        </w:rPr>
        <w:t>En conséquence, les modifications suivantes sont proposées au Règlement des radiocommunications</w:t>
      </w:r>
      <w:r w:rsidR="008605CE">
        <w:rPr>
          <w:color w:val="0D0D0D" w:themeColor="text1" w:themeTint="F2"/>
          <w:lang w:eastAsia="fr-FR"/>
        </w:rPr>
        <w:t>.</w:t>
      </w:r>
    </w:p>
    <w:p w:rsidR="003A583E" w:rsidRDefault="003A583E" w:rsidP="00786598"/>
    <w:p w:rsidR="00353D5E" w:rsidRDefault="00353D5E" w:rsidP="00786598"/>
    <w:p w:rsidR="00353D5E" w:rsidRDefault="00353D5E" w:rsidP="00786598"/>
    <w:p w:rsidR="00353D5E" w:rsidRDefault="00353D5E" w:rsidP="00786598"/>
    <w:p w:rsidR="0015203F" w:rsidRDefault="0015203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4A6A8C" w:rsidRDefault="00A11EED" w:rsidP="00D94B99">
      <w:pPr>
        <w:pStyle w:val="ArtNo"/>
      </w:pPr>
      <w:r>
        <w:lastRenderedPageBreak/>
        <w:t xml:space="preserve">ARTICLE </w:t>
      </w:r>
      <w:r>
        <w:rPr>
          <w:rStyle w:val="href"/>
          <w:color w:val="000000"/>
        </w:rPr>
        <w:t>5</w:t>
      </w:r>
    </w:p>
    <w:p w:rsidR="004A6A8C" w:rsidRDefault="00A11EED" w:rsidP="00D94B99">
      <w:pPr>
        <w:pStyle w:val="Arttitle"/>
        <w:rPr>
          <w:lang w:val="fr-CH"/>
        </w:rPr>
      </w:pPr>
      <w:r>
        <w:rPr>
          <w:lang w:val="fr-CH"/>
        </w:rPr>
        <w:t>Attribution des bandes de fréquences</w:t>
      </w:r>
    </w:p>
    <w:p w:rsidR="004A6A8C" w:rsidRPr="00375EEA" w:rsidRDefault="00A11EED" w:rsidP="00D94B99">
      <w:pPr>
        <w:pStyle w:val="Section1"/>
        <w:keepNext/>
      </w:pPr>
      <w:r>
        <w:t>Section IV –</w:t>
      </w:r>
      <w:r w:rsidRPr="00375EEA">
        <w:t xml:space="preserve"> Tableau d'attribution des bandes de fréquences</w:t>
      </w:r>
      <w:r w:rsidRPr="00375EEA">
        <w:br/>
      </w:r>
      <w:r w:rsidRPr="008605CE">
        <w:rPr>
          <w:b w:val="0"/>
          <w:bCs/>
        </w:rPr>
        <w:t xml:space="preserve">(Voir le numéro </w:t>
      </w:r>
      <w:r w:rsidRPr="00260AE5">
        <w:t>2.1</w:t>
      </w:r>
      <w:r w:rsidRPr="008605CE">
        <w:rPr>
          <w:b w:val="0"/>
          <w:bCs/>
        </w:rPr>
        <w:t>)</w:t>
      </w:r>
      <w:r>
        <w:rPr>
          <w:b w:val="0"/>
          <w:color w:val="000000"/>
        </w:rPr>
        <w:br/>
      </w:r>
      <w:r>
        <w:rPr>
          <w:b w:val="0"/>
          <w:color w:val="000000"/>
        </w:rPr>
        <w:br/>
      </w:r>
    </w:p>
    <w:p w:rsidR="005D6AE8" w:rsidRDefault="00A11EED">
      <w:pPr>
        <w:pStyle w:val="Proposal"/>
      </w:pPr>
      <w:r>
        <w:rPr>
          <w:u w:val="single"/>
        </w:rPr>
        <w:t>NOC</w:t>
      </w:r>
      <w:r>
        <w:tab/>
        <w:t>GAB/204A1/1</w:t>
      </w:r>
    </w:p>
    <w:p w:rsidR="004A6A8C" w:rsidRDefault="00A11EED" w:rsidP="00D94B99">
      <w:pPr>
        <w:pStyle w:val="Tabletitle"/>
        <w:rPr>
          <w:color w:val="000000"/>
        </w:rPr>
      </w:pPr>
      <w:r>
        <w:rPr>
          <w:color w:val="000000"/>
        </w:rPr>
        <w:t>2 700-4 800 MHz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55"/>
        <w:gridCol w:w="3124"/>
        <w:gridCol w:w="3219"/>
      </w:tblGrid>
      <w:tr w:rsidR="004A6A8C" w:rsidTr="00D94B99">
        <w:trPr>
          <w:cantSplit/>
          <w:jc w:val="center"/>
        </w:trPr>
        <w:tc>
          <w:tcPr>
            <w:tcW w:w="9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Default="00A11EED" w:rsidP="00D94B99">
            <w:pPr>
              <w:pStyle w:val="Tablehead"/>
              <w:rPr>
                <w:color w:val="000000"/>
              </w:rPr>
            </w:pPr>
            <w:r>
              <w:rPr>
                <w:color w:val="000000"/>
              </w:rPr>
              <w:t>Attribution aux services</w:t>
            </w:r>
          </w:p>
        </w:tc>
      </w:tr>
      <w:tr w:rsidR="004A6A8C" w:rsidTr="00D94B99">
        <w:trPr>
          <w:cantSplit/>
          <w:jc w:val="center"/>
        </w:trPr>
        <w:tc>
          <w:tcPr>
            <w:tcW w:w="3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Default="00A11EED" w:rsidP="00D94B99">
            <w:pPr>
              <w:pStyle w:val="Tablehead"/>
              <w:rPr>
                <w:color w:val="000000"/>
              </w:rPr>
            </w:pPr>
            <w:r>
              <w:rPr>
                <w:color w:val="000000"/>
              </w:rPr>
              <w:t>Région 1</w:t>
            </w:r>
          </w:p>
        </w:tc>
        <w:tc>
          <w:tcPr>
            <w:tcW w:w="3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Default="00A11EED" w:rsidP="00D94B99">
            <w:pPr>
              <w:pStyle w:val="Tablehead"/>
              <w:rPr>
                <w:color w:val="000000"/>
              </w:rPr>
            </w:pPr>
            <w:r>
              <w:rPr>
                <w:color w:val="000000"/>
              </w:rPr>
              <w:t>Région 2</w:t>
            </w:r>
          </w:p>
        </w:tc>
        <w:tc>
          <w:tcPr>
            <w:tcW w:w="3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Default="00A11EED" w:rsidP="00D94B99">
            <w:pPr>
              <w:pStyle w:val="Tablehead"/>
              <w:rPr>
                <w:color w:val="000000"/>
              </w:rPr>
            </w:pPr>
            <w:r>
              <w:rPr>
                <w:color w:val="000000"/>
              </w:rPr>
              <w:t>Région 3</w:t>
            </w:r>
          </w:p>
        </w:tc>
      </w:tr>
      <w:tr w:rsidR="004A6A8C" w:rsidTr="00D94B99">
        <w:tblPrEx>
          <w:tblCellMar>
            <w:left w:w="0" w:type="dxa"/>
            <w:right w:w="0" w:type="dxa"/>
          </w:tblCellMar>
        </w:tblPrEx>
        <w:trPr>
          <w:cantSplit/>
          <w:jc w:val="center"/>
        </w:trPr>
        <w:tc>
          <w:tcPr>
            <w:tcW w:w="9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8" w:type="dxa"/>
              <w:right w:w="108" w:type="dxa"/>
            </w:tcMar>
          </w:tcPr>
          <w:p w:rsidR="004A6A8C" w:rsidRDefault="00A11EED" w:rsidP="00D94B99">
            <w:pPr>
              <w:pStyle w:val="TableTextS5"/>
              <w:spacing w:before="10" w:after="10"/>
              <w:rPr>
                <w:color w:val="000000"/>
              </w:rPr>
            </w:pPr>
            <w:r w:rsidRPr="0046453D">
              <w:rPr>
                <w:rStyle w:val="Tablefreq"/>
              </w:rPr>
              <w:t>2 700-2 900</w:t>
            </w:r>
            <w:r>
              <w:rPr>
                <w:color w:val="000000"/>
              </w:rPr>
              <w:tab/>
              <w:t xml:space="preserve">RADIONAVIGATION AÉRONAUTIQUE  </w:t>
            </w:r>
            <w:r w:rsidRPr="00880E98">
              <w:t>5.337</w:t>
            </w:r>
          </w:p>
          <w:p w:rsidR="004A6A8C" w:rsidRDefault="00A11EED" w:rsidP="00D94B99">
            <w:pPr>
              <w:pStyle w:val="TableTextS5"/>
              <w:spacing w:before="10" w:after="10"/>
              <w:rPr>
                <w:color w:val="000000"/>
                <w:lang w:val="fr-CH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  <w:lang w:val="fr-CH"/>
              </w:rPr>
              <w:t>Radiolocalisation</w:t>
            </w:r>
          </w:p>
          <w:p w:rsidR="004A6A8C" w:rsidRDefault="00A11EED" w:rsidP="00D94B99">
            <w:pPr>
              <w:pStyle w:val="TableTextS5"/>
              <w:spacing w:before="10" w:after="10"/>
              <w:rPr>
                <w:color w:val="000000"/>
                <w:lang w:val="fr-CH"/>
              </w:rPr>
            </w:pP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  <w:lang w:val="fr-CH"/>
              </w:rPr>
              <w:tab/>
            </w:r>
            <w:r>
              <w:rPr>
                <w:rStyle w:val="Artref"/>
                <w:color w:val="000000"/>
                <w:lang w:val="fr-CH"/>
              </w:rPr>
              <w:t>5.423</w:t>
            </w:r>
            <w:r>
              <w:rPr>
                <w:color w:val="000000"/>
                <w:lang w:val="fr-CH"/>
              </w:rPr>
              <w:t xml:space="preserve">  </w:t>
            </w:r>
            <w:r>
              <w:rPr>
                <w:rStyle w:val="Artref"/>
                <w:color w:val="000000"/>
                <w:lang w:val="fr-CH"/>
              </w:rPr>
              <w:t>5.424</w:t>
            </w:r>
          </w:p>
        </w:tc>
      </w:tr>
    </w:tbl>
    <w:p w:rsidR="005D6AE8" w:rsidRDefault="00A11EED" w:rsidP="000415D2">
      <w:pPr>
        <w:pStyle w:val="Reasons"/>
      </w:pPr>
      <w:r>
        <w:rPr>
          <w:b/>
        </w:rPr>
        <w:t>Motifs:</w:t>
      </w:r>
      <w:r>
        <w:tab/>
      </w:r>
      <w:r w:rsidR="00353D5E" w:rsidRPr="006D138A">
        <w:t>C</w:t>
      </w:r>
      <w:r w:rsidR="00353D5E">
        <w:rPr>
          <w:rFonts w:ascii="TimesNewRoman" w:hAnsi="TimesNewRoman" w:cs="TimesNewRoman"/>
          <w:szCs w:val="24"/>
          <w:lang w:eastAsia="zh-CN"/>
        </w:rPr>
        <w:t>ette gamme de fréquences est largement utilisée pour les systèmes radar. Les résultats des études de l</w:t>
      </w:r>
      <w:r w:rsidR="000415D2">
        <w:rPr>
          <w:rFonts w:ascii="TimesNewRoman" w:hAnsi="TimesNewRoman" w:cs="TimesNewRoman"/>
          <w:szCs w:val="24"/>
          <w:lang w:eastAsia="zh-CN"/>
        </w:rPr>
        <w:t>'</w:t>
      </w:r>
      <w:r w:rsidR="00353D5E">
        <w:rPr>
          <w:rFonts w:ascii="TimesNewRoman" w:hAnsi="TimesNewRoman" w:cs="TimesNewRoman"/>
          <w:szCs w:val="24"/>
          <w:lang w:eastAsia="zh-CN"/>
        </w:rPr>
        <w:t>UIT-R montrent qu'à l'intérieur de la même zone géographique, l'exploitation sur la même fréquence de systèmes mobiles à large bande et de systèmes radar est impossible.</w:t>
      </w:r>
    </w:p>
    <w:p w:rsidR="005D6AE8" w:rsidRDefault="00A11EED">
      <w:pPr>
        <w:pStyle w:val="Proposal"/>
      </w:pPr>
      <w:r>
        <w:rPr>
          <w:u w:val="single"/>
        </w:rPr>
        <w:t>NOC</w:t>
      </w:r>
      <w:r>
        <w:tab/>
        <w:t>GAB/204A1/2</w:t>
      </w:r>
    </w:p>
    <w:p w:rsidR="004A6A8C" w:rsidRDefault="00A11EED" w:rsidP="00D94B99">
      <w:pPr>
        <w:pStyle w:val="Tabletitle"/>
        <w:rPr>
          <w:color w:val="000000"/>
        </w:rPr>
      </w:pPr>
      <w:r>
        <w:rPr>
          <w:color w:val="000000"/>
        </w:rPr>
        <w:t>2 700-4 800 MHz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1"/>
        <w:gridCol w:w="3118"/>
        <w:gridCol w:w="9"/>
        <w:gridCol w:w="3260"/>
      </w:tblGrid>
      <w:tr w:rsidR="004A6A8C" w:rsidTr="00D94B99">
        <w:trPr>
          <w:cantSplit/>
          <w:jc w:val="center"/>
        </w:trPr>
        <w:tc>
          <w:tcPr>
            <w:tcW w:w="94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Default="00A11EED" w:rsidP="00D94B99">
            <w:pPr>
              <w:pStyle w:val="Tablehead"/>
              <w:rPr>
                <w:color w:val="000000"/>
              </w:rPr>
            </w:pPr>
            <w:r>
              <w:rPr>
                <w:color w:val="000000"/>
              </w:rPr>
              <w:t>Attribution aux services</w:t>
            </w:r>
          </w:p>
        </w:tc>
      </w:tr>
      <w:tr w:rsidR="004A6A8C" w:rsidTr="009E35AE">
        <w:trPr>
          <w:cantSplit/>
          <w:jc w:val="center"/>
        </w:trPr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Default="00A11EED" w:rsidP="00D94B99">
            <w:pPr>
              <w:pStyle w:val="Tablehead"/>
              <w:rPr>
                <w:color w:val="000000"/>
              </w:rPr>
            </w:pPr>
            <w:r>
              <w:rPr>
                <w:color w:val="000000"/>
              </w:rPr>
              <w:t>Région 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Default="00A11EED" w:rsidP="00D94B99">
            <w:pPr>
              <w:pStyle w:val="Tablehead"/>
              <w:rPr>
                <w:color w:val="000000"/>
              </w:rPr>
            </w:pPr>
            <w:r>
              <w:rPr>
                <w:color w:val="000000"/>
              </w:rPr>
              <w:t>Région 2</w:t>
            </w:r>
          </w:p>
        </w:tc>
        <w:tc>
          <w:tcPr>
            <w:tcW w:w="3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Default="00A11EED" w:rsidP="00D94B99">
            <w:pPr>
              <w:pStyle w:val="Tablehead"/>
              <w:rPr>
                <w:color w:val="000000"/>
              </w:rPr>
            </w:pPr>
            <w:r>
              <w:rPr>
                <w:color w:val="000000"/>
              </w:rPr>
              <w:t>Région 3</w:t>
            </w:r>
          </w:p>
        </w:tc>
      </w:tr>
      <w:tr w:rsidR="004A6A8C" w:rsidTr="009E35AE">
        <w:tblPrEx>
          <w:tblCellMar>
            <w:left w:w="0" w:type="dxa"/>
            <w:right w:w="0" w:type="dxa"/>
          </w:tblCellMar>
        </w:tblPrEx>
        <w:trPr>
          <w:cantSplit/>
          <w:jc w:val="center"/>
        </w:trPr>
        <w:tc>
          <w:tcPr>
            <w:tcW w:w="31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6A8C" w:rsidRPr="0046453D" w:rsidRDefault="00A11EED" w:rsidP="00D94B99">
            <w:pPr>
              <w:pStyle w:val="TableTextS5"/>
              <w:spacing w:before="10" w:after="10"/>
              <w:ind w:left="130" w:right="130"/>
              <w:rPr>
                <w:rStyle w:val="Tablefreq"/>
              </w:rPr>
            </w:pPr>
            <w:r w:rsidRPr="0046453D">
              <w:rPr>
                <w:rStyle w:val="Tablefreq"/>
              </w:rPr>
              <w:t>3 300-3 400</w:t>
            </w:r>
          </w:p>
          <w:p w:rsidR="004A6A8C" w:rsidRDefault="00A11EED" w:rsidP="00D94B99">
            <w:pPr>
              <w:pStyle w:val="TableTextS5"/>
              <w:spacing w:before="10" w:after="10"/>
              <w:ind w:left="130" w:right="130"/>
              <w:rPr>
                <w:color w:val="000000"/>
                <w:lang w:val="fr-CH"/>
              </w:rPr>
            </w:pPr>
            <w:r>
              <w:rPr>
                <w:color w:val="000000"/>
                <w:lang w:val="fr-CH"/>
              </w:rPr>
              <w:t>RADIOLOCALISATION</w:t>
            </w:r>
          </w:p>
        </w:tc>
        <w:tc>
          <w:tcPr>
            <w:tcW w:w="312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6A8C" w:rsidRPr="0046453D" w:rsidRDefault="00A11EED" w:rsidP="00D94B99">
            <w:pPr>
              <w:pStyle w:val="TableTextS5"/>
              <w:spacing w:before="10" w:after="10"/>
              <w:ind w:left="130" w:right="130"/>
              <w:rPr>
                <w:rStyle w:val="Tablefreq"/>
              </w:rPr>
            </w:pPr>
            <w:r w:rsidRPr="0046453D">
              <w:rPr>
                <w:rStyle w:val="Tablefreq"/>
              </w:rPr>
              <w:t>3 300-3 400</w:t>
            </w:r>
          </w:p>
          <w:p w:rsidR="004A6A8C" w:rsidRDefault="00A11EED" w:rsidP="00D94B99">
            <w:pPr>
              <w:pStyle w:val="TableTextS5"/>
              <w:spacing w:before="10" w:after="10"/>
              <w:ind w:left="130" w:right="130"/>
              <w:rPr>
                <w:color w:val="000000"/>
              </w:rPr>
            </w:pPr>
            <w:r>
              <w:rPr>
                <w:color w:val="000000"/>
              </w:rPr>
              <w:t>RADIOLOCALISATION</w:t>
            </w:r>
          </w:p>
          <w:p w:rsidR="004A6A8C" w:rsidRDefault="00A11EED" w:rsidP="00D94B99">
            <w:pPr>
              <w:pStyle w:val="TableTextS5"/>
              <w:spacing w:before="10" w:after="10"/>
              <w:ind w:left="130" w:right="130"/>
              <w:rPr>
                <w:color w:val="000000"/>
              </w:rPr>
            </w:pPr>
            <w:r>
              <w:rPr>
                <w:color w:val="000000"/>
              </w:rPr>
              <w:t>Amateur</w:t>
            </w:r>
          </w:p>
          <w:p w:rsidR="004A6A8C" w:rsidRDefault="00A11EED" w:rsidP="00D94B99">
            <w:pPr>
              <w:pStyle w:val="TableTextS5"/>
              <w:spacing w:before="10" w:after="10"/>
              <w:ind w:left="130" w:right="130"/>
              <w:rPr>
                <w:color w:val="000000"/>
              </w:rPr>
            </w:pPr>
            <w:r>
              <w:rPr>
                <w:color w:val="000000"/>
              </w:rPr>
              <w:t>Fixe</w:t>
            </w:r>
          </w:p>
          <w:p w:rsidR="004A6A8C" w:rsidRDefault="00A11EED" w:rsidP="00D94B99">
            <w:pPr>
              <w:pStyle w:val="TableTextS5"/>
              <w:spacing w:before="10" w:after="10"/>
              <w:ind w:left="130" w:right="130"/>
              <w:rPr>
                <w:color w:val="000000"/>
              </w:rPr>
            </w:pPr>
            <w:r>
              <w:rPr>
                <w:color w:val="000000"/>
              </w:rPr>
              <w:t>Mobile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6A8C" w:rsidRPr="0046453D" w:rsidRDefault="00A11EED" w:rsidP="00D94B99">
            <w:pPr>
              <w:pStyle w:val="TableTextS5"/>
              <w:spacing w:before="10" w:after="10"/>
              <w:ind w:left="130" w:right="130"/>
              <w:rPr>
                <w:rStyle w:val="Tablefreq"/>
              </w:rPr>
            </w:pPr>
            <w:r w:rsidRPr="0046453D">
              <w:rPr>
                <w:rStyle w:val="Tablefreq"/>
              </w:rPr>
              <w:t>3 300-3 400</w:t>
            </w:r>
          </w:p>
          <w:p w:rsidR="004A6A8C" w:rsidRDefault="00A11EED" w:rsidP="00D94B99">
            <w:pPr>
              <w:pStyle w:val="TableTextS5"/>
              <w:spacing w:before="10" w:after="10"/>
              <w:ind w:left="130" w:right="130"/>
              <w:rPr>
                <w:color w:val="000000"/>
                <w:lang w:val="fr-CH"/>
              </w:rPr>
            </w:pPr>
            <w:r>
              <w:rPr>
                <w:color w:val="000000"/>
                <w:lang w:val="fr-CH"/>
              </w:rPr>
              <w:t>RADIOLOCALISATION</w:t>
            </w:r>
          </w:p>
          <w:p w:rsidR="004A6A8C" w:rsidRDefault="00A11EED" w:rsidP="00D94B99">
            <w:pPr>
              <w:pStyle w:val="TableTextS5"/>
              <w:spacing w:before="10" w:after="10"/>
              <w:ind w:left="130" w:right="130"/>
              <w:rPr>
                <w:color w:val="000000"/>
                <w:lang w:val="fr-CH"/>
              </w:rPr>
            </w:pPr>
            <w:r>
              <w:rPr>
                <w:color w:val="000000"/>
                <w:lang w:val="fr-CH"/>
              </w:rPr>
              <w:t>Amateur</w:t>
            </w:r>
          </w:p>
        </w:tc>
      </w:tr>
      <w:tr w:rsidR="004A6A8C" w:rsidTr="009E35AE">
        <w:tblPrEx>
          <w:tblCellMar>
            <w:left w:w="0" w:type="dxa"/>
            <w:right w:w="0" w:type="dxa"/>
          </w:tblCellMar>
        </w:tblPrEx>
        <w:trPr>
          <w:cantSplit/>
          <w:jc w:val="center"/>
        </w:trPr>
        <w:tc>
          <w:tcPr>
            <w:tcW w:w="311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Default="00A11EED" w:rsidP="00D94B99">
            <w:pPr>
              <w:pStyle w:val="TableTextS5"/>
              <w:spacing w:before="10" w:after="10"/>
              <w:ind w:left="130" w:right="130"/>
              <w:rPr>
                <w:color w:val="000000"/>
                <w:lang w:val="fr-CH"/>
              </w:rPr>
            </w:pPr>
            <w:r>
              <w:rPr>
                <w:rStyle w:val="Artref"/>
                <w:color w:val="000000"/>
                <w:lang w:val="fr-CH"/>
              </w:rPr>
              <w:t>5.149</w:t>
            </w:r>
            <w:r>
              <w:rPr>
                <w:color w:val="000000"/>
                <w:lang w:val="fr-CH"/>
              </w:rPr>
              <w:t xml:space="preserve">  </w:t>
            </w:r>
            <w:r>
              <w:rPr>
                <w:rStyle w:val="Artref"/>
                <w:color w:val="000000"/>
                <w:lang w:val="fr-CH"/>
              </w:rPr>
              <w:t>5.429</w:t>
            </w:r>
            <w:r>
              <w:rPr>
                <w:color w:val="000000"/>
                <w:lang w:val="fr-CH"/>
              </w:rPr>
              <w:t xml:space="preserve">  </w:t>
            </w:r>
            <w:r>
              <w:rPr>
                <w:rStyle w:val="Artref"/>
                <w:color w:val="000000"/>
                <w:lang w:val="fr-CH"/>
              </w:rPr>
              <w:t>5.430</w:t>
            </w:r>
          </w:p>
        </w:tc>
        <w:tc>
          <w:tcPr>
            <w:tcW w:w="312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Default="00A11EED" w:rsidP="00D94B99">
            <w:pPr>
              <w:pStyle w:val="TableTextS5"/>
              <w:spacing w:before="10" w:after="10"/>
              <w:ind w:left="130" w:right="130"/>
              <w:rPr>
                <w:color w:val="000000"/>
                <w:lang w:val="fr-CH"/>
              </w:rPr>
            </w:pPr>
            <w:r>
              <w:rPr>
                <w:rStyle w:val="Artref"/>
                <w:color w:val="000000"/>
                <w:lang w:val="fr-CH"/>
              </w:rPr>
              <w:t>5.149</w:t>
            </w:r>
          </w:p>
        </w:tc>
        <w:tc>
          <w:tcPr>
            <w:tcW w:w="32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Default="00A11EED" w:rsidP="00D94B99">
            <w:pPr>
              <w:pStyle w:val="TableTextS5"/>
              <w:spacing w:before="10" w:after="10"/>
              <w:ind w:left="130" w:right="130"/>
              <w:rPr>
                <w:color w:val="000000"/>
                <w:lang w:val="fr-CH"/>
              </w:rPr>
            </w:pPr>
            <w:r>
              <w:rPr>
                <w:rStyle w:val="Artref"/>
                <w:color w:val="000000"/>
                <w:lang w:val="fr-CH"/>
              </w:rPr>
              <w:t>5.149</w:t>
            </w:r>
            <w:r>
              <w:rPr>
                <w:color w:val="000000"/>
                <w:lang w:val="fr-CH"/>
              </w:rPr>
              <w:t xml:space="preserve">  </w:t>
            </w:r>
            <w:r>
              <w:rPr>
                <w:rStyle w:val="Artref"/>
                <w:color w:val="000000"/>
                <w:lang w:val="fr-CH"/>
              </w:rPr>
              <w:t>5.429</w:t>
            </w:r>
          </w:p>
        </w:tc>
      </w:tr>
    </w:tbl>
    <w:p w:rsidR="005D6AE8" w:rsidRDefault="00A11EED">
      <w:pPr>
        <w:pStyle w:val="Reasons"/>
      </w:pPr>
      <w:r>
        <w:rPr>
          <w:b/>
        </w:rPr>
        <w:t>Motifs:</w:t>
      </w:r>
      <w:r>
        <w:tab/>
      </w:r>
      <w:r w:rsidR="00353D5E" w:rsidRPr="006D138A">
        <w:t>C</w:t>
      </w:r>
      <w:r w:rsidR="00353D5E">
        <w:rPr>
          <w:rFonts w:ascii="TimesNewRoman" w:hAnsi="TimesNewRoman" w:cs="TimesNewRoman"/>
          <w:szCs w:val="24"/>
          <w:lang w:eastAsia="zh-CN"/>
        </w:rPr>
        <w:t>ette gamme de fréquences est largement utilisée pour les systèmes radar.</w:t>
      </w:r>
    </w:p>
    <w:p w:rsidR="005D6AE8" w:rsidRDefault="00A11EED">
      <w:pPr>
        <w:pStyle w:val="Proposal"/>
      </w:pPr>
      <w:r>
        <w:rPr>
          <w:u w:val="single"/>
        </w:rPr>
        <w:t>NOC</w:t>
      </w:r>
      <w:r>
        <w:tab/>
        <w:t>GAB/204A1/3</w:t>
      </w:r>
    </w:p>
    <w:p w:rsidR="004A6A8C" w:rsidRDefault="00A11EED" w:rsidP="00D94B99">
      <w:pPr>
        <w:pStyle w:val="Tabletitle"/>
        <w:rPr>
          <w:color w:val="000000"/>
        </w:rPr>
      </w:pPr>
      <w:r>
        <w:rPr>
          <w:color w:val="000000"/>
        </w:rPr>
        <w:t>2 700-4 800 MHz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55"/>
        <w:gridCol w:w="3124"/>
        <w:gridCol w:w="3219"/>
      </w:tblGrid>
      <w:tr w:rsidR="004A6A8C" w:rsidTr="00D94B99">
        <w:trPr>
          <w:cantSplit/>
          <w:jc w:val="center"/>
        </w:trPr>
        <w:tc>
          <w:tcPr>
            <w:tcW w:w="9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Default="00A11EED" w:rsidP="00D94B99">
            <w:pPr>
              <w:pStyle w:val="Tablehead"/>
              <w:rPr>
                <w:color w:val="000000"/>
              </w:rPr>
            </w:pPr>
            <w:r>
              <w:rPr>
                <w:color w:val="000000"/>
              </w:rPr>
              <w:t>Attribution aux services</w:t>
            </w:r>
          </w:p>
        </w:tc>
      </w:tr>
      <w:tr w:rsidR="004A6A8C" w:rsidTr="00D94B99">
        <w:trPr>
          <w:cantSplit/>
          <w:jc w:val="center"/>
        </w:trPr>
        <w:tc>
          <w:tcPr>
            <w:tcW w:w="3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Default="00A11EED" w:rsidP="00D94B99">
            <w:pPr>
              <w:pStyle w:val="Tablehead"/>
              <w:rPr>
                <w:color w:val="000000"/>
              </w:rPr>
            </w:pPr>
            <w:r>
              <w:rPr>
                <w:color w:val="000000"/>
              </w:rPr>
              <w:t>Région 1</w:t>
            </w:r>
          </w:p>
        </w:tc>
        <w:tc>
          <w:tcPr>
            <w:tcW w:w="3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Default="00A11EED" w:rsidP="00D94B99">
            <w:pPr>
              <w:pStyle w:val="Tablehead"/>
              <w:rPr>
                <w:color w:val="000000"/>
              </w:rPr>
            </w:pPr>
            <w:r>
              <w:rPr>
                <w:color w:val="000000"/>
              </w:rPr>
              <w:t>Région 2</w:t>
            </w:r>
          </w:p>
        </w:tc>
        <w:tc>
          <w:tcPr>
            <w:tcW w:w="3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Default="00A11EED" w:rsidP="00D94B99">
            <w:pPr>
              <w:pStyle w:val="Tablehead"/>
              <w:rPr>
                <w:color w:val="000000"/>
              </w:rPr>
            </w:pPr>
            <w:r>
              <w:rPr>
                <w:color w:val="000000"/>
              </w:rPr>
              <w:t>Région 3</w:t>
            </w:r>
          </w:p>
        </w:tc>
      </w:tr>
      <w:tr w:rsidR="004A6A8C" w:rsidTr="00D94B99">
        <w:tblPrEx>
          <w:tblCellMar>
            <w:left w:w="0" w:type="dxa"/>
            <w:right w:w="0" w:type="dxa"/>
          </w:tblCellMar>
        </w:tblPrEx>
        <w:trPr>
          <w:cantSplit/>
          <w:jc w:val="center"/>
        </w:trPr>
        <w:tc>
          <w:tcPr>
            <w:tcW w:w="9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8" w:type="dxa"/>
              <w:right w:w="108" w:type="dxa"/>
            </w:tcMar>
          </w:tcPr>
          <w:p w:rsidR="004A6A8C" w:rsidRDefault="00A11EED" w:rsidP="00D94B99">
            <w:pPr>
              <w:pStyle w:val="TableTextS5"/>
              <w:spacing w:before="10" w:after="10"/>
              <w:rPr>
                <w:color w:val="000000"/>
              </w:rPr>
            </w:pPr>
            <w:r w:rsidRPr="0046453D">
              <w:rPr>
                <w:rStyle w:val="Tablefreq"/>
              </w:rPr>
              <w:t>4 400-4 500</w:t>
            </w:r>
            <w:r>
              <w:rPr>
                <w:color w:val="000000"/>
              </w:rPr>
              <w:tab/>
              <w:t>FIXE</w:t>
            </w:r>
          </w:p>
          <w:p w:rsidR="004A6A8C" w:rsidRDefault="00A11EED" w:rsidP="00D94B99">
            <w:pPr>
              <w:pStyle w:val="TableTextS5"/>
              <w:spacing w:before="10" w:after="10"/>
              <w:rPr>
                <w:b/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>MOBILE  5.440A</w:t>
            </w:r>
          </w:p>
        </w:tc>
      </w:tr>
    </w:tbl>
    <w:p w:rsidR="00353D5E" w:rsidRDefault="00353D5E" w:rsidP="00A11EED">
      <w:pPr>
        <w:pStyle w:val="Reasons"/>
      </w:pPr>
      <w:r>
        <w:t>Toutefois</w:t>
      </w:r>
      <w:r w:rsidR="00A11EED">
        <w:t>,</w:t>
      </w:r>
      <w:r>
        <w:t xml:space="preserve"> la République</w:t>
      </w:r>
      <w:r w:rsidR="00DE1217">
        <w:t xml:space="preserve"> Gabonaise, pour les points non </w:t>
      </w:r>
      <w:r>
        <w:t>inscrits dans les propositions susmentionnées, soutie</w:t>
      </w:r>
      <w:bookmarkStart w:id="6" w:name="_GoBack"/>
      <w:bookmarkEnd w:id="6"/>
      <w:r>
        <w:t>nt les propositions communes africaines.</w:t>
      </w:r>
    </w:p>
    <w:p w:rsidR="00353D5E" w:rsidRDefault="00353D5E" w:rsidP="0032202E">
      <w:pPr>
        <w:pStyle w:val="Reasons"/>
      </w:pPr>
    </w:p>
    <w:p w:rsidR="00353D5E" w:rsidRDefault="00353D5E">
      <w:pPr>
        <w:jc w:val="center"/>
      </w:pPr>
      <w:r>
        <w:t>______________</w:t>
      </w:r>
    </w:p>
    <w:p w:rsidR="00353D5E" w:rsidRDefault="00353D5E">
      <w:pPr>
        <w:pStyle w:val="Reasons"/>
      </w:pPr>
    </w:p>
    <w:sectPr w:rsidR="00353D5E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7E8" w:rsidRDefault="001F17E8">
      <w:r>
        <w:separator/>
      </w:r>
    </w:p>
  </w:endnote>
  <w:endnote w:type="continuationSeparator" w:id="0">
    <w:p w:rsidR="001F17E8" w:rsidRDefault="001F1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BB1D82">
      <w:rPr>
        <w:noProof/>
        <w:lang w:val="en-US"/>
      </w:rPr>
      <w:t>Document1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415D2">
      <w:rPr>
        <w:noProof/>
      </w:rPr>
      <w:t>06.11.15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B1D82">
      <w:rPr>
        <w:noProof/>
      </w:rPr>
      <w:t>05.06.03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A11EED">
      <w:rPr>
        <w:lang w:val="en-US"/>
      </w:rPr>
      <w:t>P:\FRA\ITU-R\CONF-R\CMR15\200\204ADD01F.docx</w:t>
    </w:r>
    <w:r>
      <w:fldChar w:fldCharType="end"/>
    </w:r>
    <w:r w:rsidR="00A11EED">
      <w:t xml:space="preserve"> (389826)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415D2">
      <w:t>06.11.15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B1D82">
      <w:t>05.06.03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A11EED">
      <w:rPr>
        <w:lang w:val="en-US"/>
      </w:rPr>
      <w:t>P:\FRA\ITU-R\CONF-R\CMR15\200\204ADD01F.docx</w:t>
    </w:r>
    <w:r>
      <w:fldChar w:fldCharType="end"/>
    </w:r>
    <w:r w:rsidR="00A11EED">
      <w:t xml:space="preserve"> (389826)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415D2">
      <w:t>06.11.15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B1D82">
      <w:t>05.06.03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7E8" w:rsidRDefault="001F17E8">
      <w:r>
        <w:rPr>
          <w:b/>
        </w:rPr>
        <w:t>_______________</w:t>
      </w:r>
    </w:p>
  </w:footnote>
  <w:footnote w:type="continuationSeparator" w:id="0">
    <w:p w:rsidR="001F17E8" w:rsidRDefault="001F17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0415D2">
      <w:rPr>
        <w:noProof/>
      </w:rPr>
      <w:t>3</w:t>
    </w:r>
    <w:r>
      <w:fldChar w:fldCharType="end"/>
    </w:r>
  </w:p>
  <w:p w:rsidR="004F1F8E" w:rsidRDefault="004F1F8E" w:rsidP="002C28A4">
    <w:pPr>
      <w:pStyle w:val="Header"/>
    </w:pPr>
    <w:r>
      <w:t>CMR1</w:t>
    </w:r>
    <w:r w:rsidR="002C28A4">
      <w:t>5</w:t>
    </w:r>
    <w:r>
      <w:t>/</w:t>
    </w:r>
    <w:r w:rsidR="006A4B45">
      <w:t>204(Add.1)-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D82"/>
    <w:rsid w:val="00007EC7"/>
    <w:rsid w:val="00010B43"/>
    <w:rsid w:val="00016648"/>
    <w:rsid w:val="0003522F"/>
    <w:rsid w:val="000415D2"/>
    <w:rsid w:val="00080E2C"/>
    <w:rsid w:val="000A4755"/>
    <w:rsid w:val="000B2E0C"/>
    <w:rsid w:val="000B3D0C"/>
    <w:rsid w:val="001167B9"/>
    <w:rsid w:val="001267A0"/>
    <w:rsid w:val="0015203F"/>
    <w:rsid w:val="00160C64"/>
    <w:rsid w:val="0018169B"/>
    <w:rsid w:val="0019352B"/>
    <w:rsid w:val="001960D0"/>
    <w:rsid w:val="001F17E8"/>
    <w:rsid w:val="00204306"/>
    <w:rsid w:val="00232FD2"/>
    <w:rsid w:val="0026554E"/>
    <w:rsid w:val="002A4622"/>
    <w:rsid w:val="002A6F8F"/>
    <w:rsid w:val="002B17E5"/>
    <w:rsid w:val="002C0EBF"/>
    <w:rsid w:val="002C28A4"/>
    <w:rsid w:val="00315AFE"/>
    <w:rsid w:val="00353D5E"/>
    <w:rsid w:val="003606A6"/>
    <w:rsid w:val="0036650C"/>
    <w:rsid w:val="00393ACD"/>
    <w:rsid w:val="003A583E"/>
    <w:rsid w:val="003E112B"/>
    <w:rsid w:val="003E1D1C"/>
    <w:rsid w:val="003E7B05"/>
    <w:rsid w:val="00466211"/>
    <w:rsid w:val="004834A9"/>
    <w:rsid w:val="004D01FC"/>
    <w:rsid w:val="004E28C3"/>
    <w:rsid w:val="004F1F8E"/>
    <w:rsid w:val="00512A32"/>
    <w:rsid w:val="00586CF2"/>
    <w:rsid w:val="005C3768"/>
    <w:rsid w:val="005C6C3F"/>
    <w:rsid w:val="005D6AE8"/>
    <w:rsid w:val="00613635"/>
    <w:rsid w:val="0062093D"/>
    <w:rsid w:val="00637ECF"/>
    <w:rsid w:val="00647B59"/>
    <w:rsid w:val="00690C7B"/>
    <w:rsid w:val="006A4B45"/>
    <w:rsid w:val="006D4724"/>
    <w:rsid w:val="00701BAE"/>
    <w:rsid w:val="00721F04"/>
    <w:rsid w:val="00730E95"/>
    <w:rsid w:val="007426B9"/>
    <w:rsid w:val="00764342"/>
    <w:rsid w:val="00774362"/>
    <w:rsid w:val="00786598"/>
    <w:rsid w:val="007A04E8"/>
    <w:rsid w:val="00851625"/>
    <w:rsid w:val="008605CE"/>
    <w:rsid w:val="00863C0A"/>
    <w:rsid w:val="008A3120"/>
    <w:rsid w:val="008D41BE"/>
    <w:rsid w:val="008D58D3"/>
    <w:rsid w:val="00923064"/>
    <w:rsid w:val="00930FFD"/>
    <w:rsid w:val="00936D25"/>
    <w:rsid w:val="00941EA5"/>
    <w:rsid w:val="00964700"/>
    <w:rsid w:val="00966C16"/>
    <w:rsid w:val="0098732F"/>
    <w:rsid w:val="009A045F"/>
    <w:rsid w:val="009C7E7C"/>
    <w:rsid w:val="009E35AE"/>
    <w:rsid w:val="00A00473"/>
    <w:rsid w:val="00A03C9B"/>
    <w:rsid w:val="00A11EED"/>
    <w:rsid w:val="00A37105"/>
    <w:rsid w:val="00A606C3"/>
    <w:rsid w:val="00A83B09"/>
    <w:rsid w:val="00A84541"/>
    <w:rsid w:val="00AE36A0"/>
    <w:rsid w:val="00B00294"/>
    <w:rsid w:val="00B64FD0"/>
    <w:rsid w:val="00BA5BD0"/>
    <w:rsid w:val="00BB1D82"/>
    <w:rsid w:val="00BF26E7"/>
    <w:rsid w:val="00C53FCA"/>
    <w:rsid w:val="00C76BAF"/>
    <w:rsid w:val="00C814B9"/>
    <w:rsid w:val="00CD516F"/>
    <w:rsid w:val="00D119A7"/>
    <w:rsid w:val="00D25FBA"/>
    <w:rsid w:val="00D32B28"/>
    <w:rsid w:val="00D42954"/>
    <w:rsid w:val="00D66EAC"/>
    <w:rsid w:val="00D730DF"/>
    <w:rsid w:val="00D772F0"/>
    <w:rsid w:val="00D77BDC"/>
    <w:rsid w:val="00DC402B"/>
    <w:rsid w:val="00DE0932"/>
    <w:rsid w:val="00DE1217"/>
    <w:rsid w:val="00E03A27"/>
    <w:rsid w:val="00E049F1"/>
    <w:rsid w:val="00E37A25"/>
    <w:rsid w:val="00E537FF"/>
    <w:rsid w:val="00E6539B"/>
    <w:rsid w:val="00E70A31"/>
    <w:rsid w:val="00EA3F38"/>
    <w:rsid w:val="00EA5AB6"/>
    <w:rsid w:val="00EC7615"/>
    <w:rsid w:val="00ED16AA"/>
    <w:rsid w:val="00EF662E"/>
    <w:rsid w:val="00F148F1"/>
    <w:rsid w:val="00FA3BBF"/>
    <w:rsid w:val="00FC41F8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5:docId w15:val="{AB54CE4C-26CE-47AE-AD12-8A5260AD3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D25FBA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786598"/>
    <w:rPr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4A6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R15-WRC15-C-0204!A1!MSW-F</DPM_x0020_File_x0020_name>
    <DPM_x0020_Author xmlns="32a1a8c5-2265-4ebc-b7a0-2071e2c5c9bb" xsi:nil="false">Documents Proposals Manager (DPM)</DPM_x0020_Author>
    <DPM_x0020_Version xmlns="32a1a8c5-2265-4ebc-b7a0-2071e2c5c9bb" xsi:nil="false">DPM_v5.2015.11.61_prod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010F7A-8D0F-4C8A-BF58-A55355BC8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53AE4B-EDAB-40AE-B7DC-565002779061}">
  <ds:schemaRefs>
    <ds:schemaRef ds:uri="http://schemas.microsoft.com/office/2006/documentManagement/types"/>
    <ds:schemaRef ds:uri="http://schemas.microsoft.com/office/infopath/2007/PartnerControls"/>
    <ds:schemaRef ds:uri="996b2e75-67fd-4955-a3b0-5ab9934cb50b"/>
    <ds:schemaRef ds:uri="http://www.w3.org/XML/1998/namespace"/>
    <ds:schemaRef ds:uri="http://schemas.microsoft.com/office/2006/metadata/properties"/>
    <ds:schemaRef ds:uri="http://purl.org/dc/elements/1.1/"/>
    <ds:schemaRef ds:uri="http://purl.org/dc/dcmitype/"/>
    <ds:schemaRef ds:uri="32a1a8c5-2265-4ebc-b7a0-2071e2c5c9bb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614</Words>
  <Characters>3594</Characters>
  <Application>Microsoft Office Word</Application>
  <DocSecurity>0</DocSecurity>
  <Lines>92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R15-WRC15-C-0204!A1!MSW-F</vt:lpstr>
    </vt:vector>
  </TitlesOfParts>
  <Manager>Secrétariat général - Pool</Manager>
  <Company>Union internationale des télécommunications (UIT)</Company>
  <LinksUpToDate>false</LinksUpToDate>
  <CharactersWithSpaces>4168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R15-WRC15-C-0204!A1!MSW-F</dc:title>
  <dc:subject>Conférence mondiale des radiocommunications - 2015</dc:subject>
  <dc:creator>Documents Proposals Manager (DPM)</dc:creator>
  <cp:keywords>DPM_v5.2015.11.61_prod</cp:keywords>
  <dc:description/>
  <cp:lastModifiedBy>Saxod, Nathalie</cp:lastModifiedBy>
  <cp:revision>7</cp:revision>
  <cp:lastPrinted>2003-06-05T19:34:00Z</cp:lastPrinted>
  <dcterms:created xsi:type="dcterms:W3CDTF">2015-11-06T20:46:00Z</dcterms:created>
  <dcterms:modified xsi:type="dcterms:W3CDTF">2015-11-06T22:24:00Z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