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545C9" w:rsidTr="0050008E">
        <w:trPr>
          <w:cantSplit/>
        </w:trPr>
        <w:tc>
          <w:tcPr>
            <w:tcW w:w="6911" w:type="dxa"/>
          </w:tcPr>
          <w:p w:rsidR="0090121B" w:rsidRPr="00F545C9" w:rsidRDefault="005D46FB" w:rsidP="0002785D">
            <w:pPr>
              <w:spacing w:before="400" w:after="48" w:line="240" w:lineRule="atLeast"/>
              <w:rPr>
                <w:rFonts w:ascii="Verdana" w:hAnsi="Verdana"/>
                <w:position w:val="6"/>
              </w:rPr>
            </w:pPr>
            <w:r w:rsidRPr="00F545C9">
              <w:rPr>
                <w:rFonts w:ascii="Verdana" w:hAnsi="Verdana" w:cs="Times"/>
                <w:b/>
                <w:position w:val="6"/>
                <w:sz w:val="20"/>
              </w:rPr>
              <w:t>Conferencia Mundial de Radiocomunicaciones (CMR-15)</w:t>
            </w:r>
            <w:r w:rsidRPr="00F545C9">
              <w:rPr>
                <w:rFonts w:ascii="Verdana" w:hAnsi="Verdana" w:cs="Times"/>
                <w:b/>
                <w:position w:val="6"/>
                <w:sz w:val="20"/>
              </w:rPr>
              <w:br/>
            </w:r>
            <w:r w:rsidRPr="00F545C9">
              <w:rPr>
                <w:rFonts w:ascii="Verdana" w:hAnsi="Verdana"/>
                <w:b/>
                <w:bCs/>
                <w:position w:val="6"/>
                <w:sz w:val="18"/>
                <w:szCs w:val="18"/>
              </w:rPr>
              <w:t>Ginebra, 2-27 de noviembre de 2015</w:t>
            </w:r>
          </w:p>
        </w:tc>
        <w:tc>
          <w:tcPr>
            <w:tcW w:w="3120" w:type="dxa"/>
          </w:tcPr>
          <w:p w:rsidR="0090121B" w:rsidRPr="00F545C9" w:rsidRDefault="00CE7431" w:rsidP="00CE7431">
            <w:pPr>
              <w:spacing w:before="0" w:line="240" w:lineRule="atLeast"/>
              <w:jc w:val="right"/>
            </w:pPr>
            <w:bookmarkStart w:id="0" w:name="ditulogo"/>
            <w:bookmarkEnd w:id="0"/>
            <w:r w:rsidRPr="00F545C9">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545C9" w:rsidTr="0050008E">
        <w:trPr>
          <w:cantSplit/>
        </w:trPr>
        <w:tc>
          <w:tcPr>
            <w:tcW w:w="6911" w:type="dxa"/>
            <w:tcBorders>
              <w:bottom w:val="single" w:sz="12" w:space="0" w:color="auto"/>
            </w:tcBorders>
          </w:tcPr>
          <w:p w:rsidR="0090121B" w:rsidRPr="00F545C9" w:rsidRDefault="00CE7431" w:rsidP="0090121B">
            <w:pPr>
              <w:spacing w:before="0" w:after="48" w:line="240" w:lineRule="atLeast"/>
              <w:rPr>
                <w:b/>
                <w:smallCaps/>
                <w:szCs w:val="24"/>
              </w:rPr>
            </w:pPr>
            <w:bookmarkStart w:id="1" w:name="dhead"/>
            <w:r w:rsidRPr="00F545C9">
              <w:rPr>
                <w:rFonts w:ascii="Verdana" w:hAnsi="Verdana"/>
                <w:b/>
                <w:smallCaps/>
                <w:sz w:val="20"/>
              </w:rPr>
              <w:t>UNIÓN INTERNACIONAL DE TELECOMUNICACIONES</w:t>
            </w:r>
          </w:p>
        </w:tc>
        <w:tc>
          <w:tcPr>
            <w:tcW w:w="3120" w:type="dxa"/>
            <w:tcBorders>
              <w:bottom w:val="single" w:sz="12" w:space="0" w:color="auto"/>
            </w:tcBorders>
          </w:tcPr>
          <w:p w:rsidR="0090121B" w:rsidRPr="00F545C9" w:rsidRDefault="0090121B" w:rsidP="0090121B">
            <w:pPr>
              <w:spacing w:before="0" w:line="240" w:lineRule="atLeast"/>
              <w:rPr>
                <w:rFonts w:ascii="Verdana" w:hAnsi="Verdana"/>
                <w:szCs w:val="24"/>
              </w:rPr>
            </w:pPr>
          </w:p>
        </w:tc>
      </w:tr>
      <w:tr w:rsidR="0090121B" w:rsidRPr="00F545C9" w:rsidTr="0090121B">
        <w:trPr>
          <w:cantSplit/>
        </w:trPr>
        <w:tc>
          <w:tcPr>
            <w:tcW w:w="6911" w:type="dxa"/>
            <w:tcBorders>
              <w:top w:val="single" w:sz="12" w:space="0" w:color="auto"/>
            </w:tcBorders>
          </w:tcPr>
          <w:p w:rsidR="0090121B" w:rsidRPr="00F545C9"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F545C9" w:rsidRDefault="0090121B" w:rsidP="0090121B">
            <w:pPr>
              <w:spacing w:before="0" w:line="240" w:lineRule="atLeast"/>
              <w:rPr>
                <w:rFonts w:ascii="Verdana" w:hAnsi="Verdana"/>
                <w:sz w:val="20"/>
              </w:rPr>
            </w:pPr>
          </w:p>
        </w:tc>
      </w:tr>
      <w:tr w:rsidR="0090121B" w:rsidRPr="00F545C9" w:rsidTr="0090121B">
        <w:trPr>
          <w:cantSplit/>
        </w:trPr>
        <w:tc>
          <w:tcPr>
            <w:tcW w:w="6911" w:type="dxa"/>
            <w:shd w:val="clear" w:color="auto" w:fill="auto"/>
          </w:tcPr>
          <w:p w:rsidR="0090121B" w:rsidRPr="00F545C9" w:rsidRDefault="007A0236" w:rsidP="00EA77F0">
            <w:pPr>
              <w:pStyle w:val="Committee"/>
              <w:framePr w:hSpace="0" w:wrap="auto" w:hAnchor="text" w:yAlign="inline"/>
              <w:rPr>
                <w:lang w:val="es-ES_tradnl"/>
              </w:rPr>
            </w:pPr>
            <w:r w:rsidRPr="00F545C9">
              <w:rPr>
                <w:rFonts w:ascii="Verdana" w:hAnsi="Verdana"/>
                <w:sz w:val="20"/>
                <w:lang w:val="es-ES_tradnl"/>
              </w:rPr>
              <w:t>COMISIÓN 4</w:t>
            </w:r>
          </w:p>
        </w:tc>
        <w:tc>
          <w:tcPr>
            <w:tcW w:w="3120" w:type="dxa"/>
            <w:shd w:val="clear" w:color="auto" w:fill="auto"/>
          </w:tcPr>
          <w:p w:rsidR="0090121B" w:rsidRPr="00F545C9" w:rsidRDefault="00AE658F" w:rsidP="0045384C">
            <w:pPr>
              <w:spacing w:before="0"/>
              <w:rPr>
                <w:rFonts w:ascii="Verdana" w:hAnsi="Verdana"/>
                <w:sz w:val="20"/>
              </w:rPr>
            </w:pPr>
            <w:r w:rsidRPr="00F545C9">
              <w:rPr>
                <w:rFonts w:ascii="Verdana" w:eastAsia="SimSun" w:hAnsi="Verdana" w:cs="Traditional Arabic"/>
                <w:b/>
                <w:sz w:val="20"/>
              </w:rPr>
              <w:t>Addéndum 1 al</w:t>
            </w:r>
            <w:r w:rsidRPr="00F545C9">
              <w:rPr>
                <w:rFonts w:ascii="Verdana" w:eastAsia="SimSun" w:hAnsi="Verdana" w:cs="Traditional Arabic"/>
                <w:b/>
                <w:sz w:val="20"/>
              </w:rPr>
              <w:br/>
              <w:t>Documento 204</w:t>
            </w:r>
            <w:r w:rsidR="0090121B" w:rsidRPr="00F545C9">
              <w:rPr>
                <w:rFonts w:ascii="Verdana" w:hAnsi="Verdana"/>
                <w:b/>
                <w:sz w:val="20"/>
              </w:rPr>
              <w:t>-</w:t>
            </w:r>
            <w:r w:rsidRPr="00F545C9">
              <w:rPr>
                <w:rFonts w:ascii="Verdana" w:hAnsi="Verdana"/>
                <w:b/>
                <w:sz w:val="20"/>
              </w:rPr>
              <w:t>S</w:t>
            </w:r>
          </w:p>
        </w:tc>
      </w:tr>
      <w:bookmarkEnd w:id="1"/>
      <w:tr w:rsidR="000A5B9A" w:rsidRPr="00F545C9" w:rsidTr="0090121B">
        <w:trPr>
          <w:cantSplit/>
        </w:trPr>
        <w:tc>
          <w:tcPr>
            <w:tcW w:w="6911" w:type="dxa"/>
            <w:shd w:val="clear" w:color="auto" w:fill="auto"/>
          </w:tcPr>
          <w:p w:rsidR="000A5B9A" w:rsidRPr="00F545C9" w:rsidRDefault="000A5B9A" w:rsidP="0045384C">
            <w:pPr>
              <w:spacing w:before="0" w:after="48"/>
              <w:rPr>
                <w:rFonts w:ascii="Verdana" w:hAnsi="Verdana"/>
                <w:b/>
                <w:smallCaps/>
                <w:sz w:val="20"/>
              </w:rPr>
            </w:pPr>
          </w:p>
        </w:tc>
        <w:tc>
          <w:tcPr>
            <w:tcW w:w="3120" w:type="dxa"/>
            <w:shd w:val="clear" w:color="auto" w:fill="auto"/>
          </w:tcPr>
          <w:p w:rsidR="000A5B9A" w:rsidRPr="00F545C9" w:rsidRDefault="000A5B9A" w:rsidP="0045384C">
            <w:pPr>
              <w:spacing w:before="0"/>
              <w:rPr>
                <w:rFonts w:ascii="Verdana" w:hAnsi="Verdana"/>
                <w:b/>
                <w:sz w:val="20"/>
              </w:rPr>
            </w:pPr>
            <w:r w:rsidRPr="00F545C9">
              <w:rPr>
                <w:rFonts w:ascii="Verdana" w:hAnsi="Verdana"/>
                <w:b/>
                <w:sz w:val="20"/>
              </w:rPr>
              <w:t>6 de noviembre de 2015</w:t>
            </w:r>
          </w:p>
        </w:tc>
      </w:tr>
      <w:tr w:rsidR="000A5B9A" w:rsidRPr="00F545C9" w:rsidTr="0090121B">
        <w:trPr>
          <w:cantSplit/>
        </w:trPr>
        <w:tc>
          <w:tcPr>
            <w:tcW w:w="6911" w:type="dxa"/>
          </w:tcPr>
          <w:p w:rsidR="000A5B9A" w:rsidRPr="00F545C9" w:rsidRDefault="000A5B9A" w:rsidP="0045384C">
            <w:pPr>
              <w:spacing w:before="0" w:after="48"/>
              <w:rPr>
                <w:rFonts w:ascii="Verdana" w:hAnsi="Verdana"/>
                <w:b/>
                <w:smallCaps/>
                <w:sz w:val="20"/>
              </w:rPr>
            </w:pPr>
          </w:p>
        </w:tc>
        <w:tc>
          <w:tcPr>
            <w:tcW w:w="3120" w:type="dxa"/>
          </w:tcPr>
          <w:p w:rsidR="000A5B9A" w:rsidRPr="00F545C9" w:rsidRDefault="000A5B9A" w:rsidP="0045384C">
            <w:pPr>
              <w:spacing w:before="0"/>
              <w:rPr>
                <w:rFonts w:ascii="Verdana" w:hAnsi="Verdana"/>
                <w:b/>
                <w:sz w:val="20"/>
              </w:rPr>
            </w:pPr>
            <w:r w:rsidRPr="00F545C9">
              <w:rPr>
                <w:rFonts w:ascii="Verdana" w:hAnsi="Verdana"/>
                <w:b/>
                <w:sz w:val="20"/>
              </w:rPr>
              <w:t>Original: francés</w:t>
            </w:r>
          </w:p>
        </w:tc>
      </w:tr>
      <w:tr w:rsidR="000A5B9A" w:rsidRPr="00F545C9" w:rsidTr="006744FC">
        <w:trPr>
          <w:cantSplit/>
        </w:trPr>
        <w:tc>
          <w:tcPr>
            <w:tcW w:w="10031" w:type="dxa"/>
            <w:gridSpan w:val="2"/>
          </w:tcPr>
          <w:p w:rsidR="000A5B9A" w:rsidRPr="00F545C9" w:rsidRDefault="000A5B9A" w:rsidP="0045384C">
            <w:pPr>
              <w:spacing w:before="0"/>
              <w:rPr>
                <w:rFonts w:ascii="Verdana" w:hAnsi="Verdana"/>
                <w:b/>
                <w:sz w:val="20"/>
              </w:rPr>
            </w:pPr>
          </w:p>
        </w:tc>
      </w:tr>
      <w:tr w:rsidR="000A5B9A" w:rsidRPr="00F545C9" w:rsidTr="0050008E">
        <w:trPr>
          <w:cantSplit/>
        </w:trPr>
        <w:tc>
          <w:tcPr>
            <w:tcW w:w="10031" w:type="dxa"/>
            <w:gridSpan w:val="2"/>
          </w:tcPr>
          <w:p w:rsidR="000A5B9A" w:rsidRPr="00F545C9" w:rsidRDefault="000A5B9A" w:rsidP="000A5B9A">
            <w:pPr>
              <w:pStyle w:val="Source"/>
            </w:pPr>
            <w:bookmarkStart w:id="2" w:name="dsource" w:colFirst="0" w:colLast="0"/>
            <w:r w:rsidRPr="00F545C9">
              <w:t>Gabonesa (República)</w:t>
            </w:r>
          </w:p>
        </w:tc>
      </w:tr>
      <w:tr w:rsidR="000A5B9A" w:rsidRPr="00F545C9" w:rsidTr="0050008E">
        <w:trPr>
          <w:cantSplit/>
        </w:trPr>
        <w:tc>
          <w:tcPr>
            <w:tcW w:w="10031" w:type="dxa"/>
            <w:gridSpan w:val="2"/>
          </w:tcPr>
          <w:p w:rsidR="000A5B9A" w:rsidRPr="00F545C9" w:rsidRDefault="007A0236" w:rsidP="007A0236">
            <w:pPr>
              <w:pStyle w:val="Title1"/>
            </w:pPr>
            <w:bookmarkStart w:id="3" w:name="dtitle1" w:colFirst="0" w:colLast="0"/>
            <w:bookmarkEnd w:id="2"/>
            <w:r w:rsidRPr="00F545C9">
              <w:t>Propuestas para los trabajos de la Conferencia</w:t>
            </w:r>
          </w:p>
        </w:tc>
      </w:tr>
      <w:tr w:rsidR="000A5B9A" w:rsidRPr="00F545C9" w:rsidTr="0050008E">
        <w:trPr>
          <w:cantSplit/>
        </w:trPr>
        <w:tc>
          <w:tcPr>
            <w:tcW w:w="10031" w:type="dxa"/>
            <w:gridSpan w:val="2"/>
          </w:tcPr>
          <w:p w:rsidR="000A5B9A" w:rsidRPr="00F545C9" w:rsidRDefault="000A5B9A" w:rsidP="000A5B9A">
            <w:pPr>
              <w:pStyle w:val="Title2"/>
            </w:pPr>
            <w:bookmarkStart w:id="4" w:name="dtitle2" w:colFirst="0" w:colLast="0"/>
            <w:bookmarkEnd w:id="3"/>
          </w:p>
        </w:tc>
      </w:tr>
      <w:tr w:rsidR="000A5B9A" w:rsidRPr="00F545C9" w:rsidTr="0050008E">
        <w:trPr>
          <w:cantSplit/>
        </w:trPr>
        <w:tc>
          <w:tcPr>
            <w:tcW w:w="10031" w:type="dxa"/>
            <w:gridSpan w:val="2"/>
          </w:tcPr>
          <w:p w:rsidR="000A5B9A" w:rsidRPr="00F545C9" w:rsidRDefault="000A5B9A" w:rsidP="000A5B9A">
            <w:pPr>
              <w:pStyle w:val="Agendaitem"/>
            </w:pPr>
            <w:bookmarkStart w:id="5" w:name="dtitle3" w:colFirst="0" w:colLast="0"/>
            <w:bookmarkEnd w:id="4"/>
            <w:r w:rsidRPr="00F545C9">
              <w:t>Punto 1.1 del orden del día</w:t>
            </w:r>
          </w:p>
        </w:tc>
      </w:tr>
    </w:tbl>
    <w:bookmarkEnd w:id="5"/>
    <w:p w:rsidR="001C0E40" w:rsidRPr="00F545C9" w:rsidRDefault="002C5ED6" w:rsidP="00C26A0A">
      <w:r w:rsidRPr="00F545C9">
        <w:t>1.1</w:t>
      </w:r>
      <w:r w:rsidRPr="00F545C9">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F545C9">
        <w:rPr>
          <w:b/>
          <w:bCs/>
        </w:rPr>
        <w:t>233 (CMR</w:t>
      </w:r>
      <w:r w:rsidRPr="00F545C9">
        <w:rPr>
          <w:b/>
          <w:bCs/>
        </w:rPr>
        <w:noBreakHyphen/>
        <w:t>12)</w:t>
      </w:r>
      <w:r w:rsidRPr="00F545C9">
        <w:t>;</w:t>
      </w:r>
    </w:p>
    <w:p w:rsidR="007A0236" w:rsidRPr="00F545C9" w:rsidRDefault="007A0236" w:rsidP="007A0236">
      <w:pPr>
        <w:pStyle w:val="Headingb"/>
      </w:pPr>
      <w:r w:rsidRPr="00F545C9">
        <w:t>Introducción</w:t>
      </w:r>
    </w:p>
    <w:p w:rsidR="007A0236" w:rsidRPr="00F545C9" w:rsidRDefault="007A0236" w:rsidP="007A0236">
      <w:r w:rsidRPr="00F545C9">
        <w:t xml:space="preserve">Disponer del espectro adecuado en el momento oportuno, mediante las disposiciones reglamentarias </w:t>
      </w:r>
      <w:r w:rsidRPr="00F545C9">
        <w:rPr>
          <w:cs/>
        </w:rPr>
        <w:t>‎</w:t>
      </w:r>
      <w:r w:rsidRPr="00F545C9">
        <w:t xml:space="preserve">correspondientes, junto con las mejoras pertinentes de las tecnologías implicadas, es fundamental </w:t>
      </w:r>
      <w:r w:rsidRPr="00F545C9">
        <w:rPr>
          <w:cs/>
        </w:rPr>
        <w:t>‎</w:t>
      </w:r>
      <w:r w:rsidRPr="00F545C9">
        <w:t xml:space="preserve">para respaldar el futuro crecimiento de las IMT y de otros sistemas móviles de banda ancha. Es </w:t>
      </w:r>
      <w:r w:rsidRPr="00F545C9">
        <w:rPr>
          <w:cs/>
        </w:rPr>
        <w:t>‎</w:t>
      </w:r>
      <w:r w:rsidRPr="00F545C9">
        <w:t xml:space="preserve">igualmente muy deseable disponer de espectro armonizado en todo el mundo para esos sistemas para </w:t>
      </w:r>
      <w:r w:rsidRPr="00F545C9">
        <w:rPr>
          <w:cs/>
        </w:rPr>
        <w:t>‎</w:t>
      </w:r>
      <w:r w:rsidRPr="00F545C9">
        <w:t>facilitar la itinerancia mundial y promover las economías de escala.</w:t>
      </w:r>
      <w:r w:rsidRPr="00F545C9">
        <w:rPr>
          <w:cs/>
        </w:rPr>
        <w:t>‎</w:t>
      </w:r>
    </w:p>
    <w:p w:rsidR="007A0236" w:rsidRPr="00F545C9" w:rsidRDefault="007A0236" w:rsidP="007A0236">
      <w:r w:rsidRPr="00F545C9">
        <w:t>Teniendo en cuenta que:</w:t>
      </w:r>
    </w:p>
    <w:p w:rsidR="007A0236" w:rsidRPr="00F545C9" w:rsidRDefault="007A0236" w:rsidP="007A0236">
      <w:pPr>
        <w:pStyle w:val="enumlev1"/>
      </w:pPr>
      <w:r w:rsidRPr="00F545C9">
        <w:rPr>
          <w:cs/>
        </w:rPr>
        <w:t>‎</w:t>
      </w:r>
      <w:r w:rsidRPr="00F545C9">
        <w:t>–</w:t>
      </w:r>
      <w:r w:rsidRPr="00F545C9">
        <w:rPr>
          <w:cs/>
        </w:rPr>
        <w:t>‎</w:t>
      </w:r>
      <w:r w:rsidRPr="00F545C9">
        <w:tab/>
        <w:t xml:space="preserve">las comunicaciones móviles de banda ancha contribuyen positivamente al desarrollo </w:t>
      </w:r>
      <w:r w:rsidRPr="00F545C9">
        <w:rPr>
          <w:cs/>
        </w:rPr>
        <w:t>‎</w:t>
      </w:r>
      <w:r w:rsidRPr="00F545C9">
        <w:t>económico y social de los países desarrollados y de los países en desarrollo;</w:t>
      </w:r>
      <w:r w:rsidRPr="00F545C9">
        <w:rPr>
          <w:cs/>
        </w:rPr>
        <w:t>‎</w:t>
      </w:r>
    </w:p>
    <w:p w:rsidR="007A0236" w:rsidRPr="00F545C9" w:rsidRDefault="007A0236" w:rsidP="007A0236">
      <w:pPr>
        <w:pStyle w:val="enumlev1"/>
      </w:pPr>
      <w:r w:rsidRPr="00F545C9">
        <w:rPr>
          <w:cs/>
        </w:rPr>
        <w:t>‎</w:t>
      </w:r>
      <w:r w:rsidRPr="00F545C9">
        <w:t>–</w:t>
      </w:r>
      <w:r w:rsidRPr="00F545C9">
        <w:rPr>
          <w:cs/>
        </w:rPr>
        <w:t>‎</w:t>
      </w:r>
      <w:r w:rsidRPr="00F545C9">
        <w:tab/>
        <w:t xml:space="preserve">muchas administraciones consideran que las IMT y otras aplicaciones terrestres móviles </w:t>
      </w:r>
      <w:r w:rsidRPr="00F545C9">
        <w:rPr>
          <w:cs/>
        </w:rPr>
        <w:t>‎</w:t>
      </w:r>
      <w:r w:rsidRPr="00F545C9">
        <w:t>de banda ancha contribuyen decisivamente en la reducción de la brecha digital;</w:t>
      </w:r>
      <w:r w:rsidRPr="00F545C9">
        <w:rPr>
          <w:cs/>
        </w:rPr>
        <w:t>‎</w:t>
      </w:r>
    </w:p>
    <w:p w:rsidR="007A0236" w:rsidRPr="00F545C9" w:rsidRDefault="007A0236" w:rsidP="007A0236">
      <w:pPr>
        <w:pStyle w:val="enumlev1"/>
      </w:pPr>
      <w:r w:rsidRPr="00F545C9">
        <w:rPr>
          <w:cs/>
        </w:rPr>
        <w:t>‎</w:t>
      </w:r>
      <w:r w:rsidRPr="00F545C9">
        <w:t>–</w:t>
      </w:r>
      <w:r w:rsidRPr="00F545C9">
        <w:rPr>
          <w:cs/>
        </w:rPr>
        <w:t>‎</w:t>
      </w:r>
      <w:r w:rsidRPr="00F545C9">
        <w:tab/>
        <w:t>el servicio móvil de alta velocidad en tel</w:t>
      </w:r>
      <w:r w:rsidR="0079451C">
        <w:t>éfonos inteligentes y tabletas s</w:t>
      </w:r>
      <w:r w:rsidRPr="00F545C9">
        <w:t xml:space="preserve">e ha convertido </w:t>
      </w:r>
      <w:r w:rsidRPr="00F545C9">
        <w:rPr>
          <w:cs/>
        </w:rPr>
        <w:t>‎</w:t>
      </w:r>
      <w:r w:rsidRPr="00F545C9">
        <w:t xml:space="preserve">en el sector más dinámico del mercado mundial de las TIC y es actualmente más </w:t>
      </w:r>
      <w:r w:rsidRPr="00F545C9">
        <w:rPr>
          <w:cs/>
        </w:rPr>
        <w:t>‎</w:t>
      </w:r>
      <w:r w:rsidRPr="00F545C9">
        <w:t>asequible que la banda ancha fija;</w:t>
      </w:r>
      <w:r w:rsidRPr="00F545C9">
        <w:rPr>
          <w:cs/>
        </w:rPr>
        <w:t>‎</w:t>
      </w:r>
    </w:p>
    <w:p w:rsidR="007A0236" w:rsidRPr="00F545C9" w:rsidRDefault="007A0236" w:rsidP="00C0678B">
      <w:pPr>
        <w:pStyle w:val="enumlev1"/>
      </w:pPr>
      <w:r w:rsidRPr="00F545C9">
        <w:rPr>
          <w:cs/>
        </w:rPr>
        <w:t>‎</w:t>
      </w:r>
      <w:r w:rsidRPr="00F545C9">
        <w:t>–</w:t>
      </w:r>
      <w:r w:rsidRPr="00F545C9">
        <w:rPr>
          <w:cs/>
        </w:rPr>
        <w:t>‎</w:t>
      </w:r>
      <w:r w:rsidRPr="00F545C9">
        <w:tab/>
        <w:t xml:space="preserve">las bandas de frecuencias reservadas </w:t>
      </w:r>
      <w:r w:rsidR="00C0678B" w:rsidRPr="00F545C9">
        <w:t>para los servicios móviles (GSM 900 MHz, DCS </w:t>
      </w:r>
      <w:r w:rsidRPr="00F545C9">
        <w:rPr>
          <w:cs/>
        </w:rPr>
        <w:t>‎‎</w:t>
      </w:r>
      <w:r w:rsidRPr="00F545C9">
        <w:t>1</w:t>
      </w:r>
      <w:r w:rsidR="00C0678B" w:rsidRPr="00F545C9">
        <w:t> 800 MHz, UMTS 2 100 </w:t>
      </w:r>
      <w:r w:rsidRPr="00F545C9">
        <w:t>MHz, etc.) están casi saturadas en la mayoría de los países;</w:t>
      </w:r>
      <w:r w:rsidRPr="00F545C9">
        <w:rPr>
          <w:cs/>
        </w:rPr>
        <w:t>‎</w:t>
      </w:r>
    </w:p>
    <w:p w:rsidR="007A0236" w:rsidRPr="00F545C9" w:rsidRDefault="007A0236" w:rsidP="007A0236">
      <w:pPr>
        <w:pStyle w:val="enumlev1"/>
        <w:rPr>
          <w:rtl/>
          <w:cs/>
        </w:rPr>
      </w:pPr>
      <w:r w:rsidRPr="00F545C9">
        <w:rPr>
          <w:cs/>
        </w:rPr>
        <w:t>‎</w:t>
      </w:r>
      <w:r w:rsidRPr="00F545C9">
        <w:t>–</w:t>
      </w:r>
      <w:r w:rsidRPr="00F545C9">
        <w:rPr>
          <w:cs/>
        </w:rPr>
        <w:t>‎</w:t>
      </w:r>
      <w:r w:rsidRPr="00F545C9">
        <w:tab/>
        <w:t xml:space="preserve">desde la CMR-07 la demanda para aplicaciones móviles de banda ancha ha crecido </w:t>
      </w:r>
      <w:r w:rsidRPr="00F545C9">
        <w:rPr>
          <w:cs/>
        </w:rPr>
        <w:t>‎</w:t>
      </w:r>
      <w:r w:rsidRPr="00F545C9">
        <w:t>rápi</w:t>
      </w:r>
      <w:r w:rsidR="008C5EB4" w:rsidRPr="00F545C9">
        <w:t>damente (véase el Informe UIT</w:t>
      </w:r>
      <w:r w:rsidR="008C5EB4" w:rsidRPr="00F545C9">
        <w:noBreakHyphen/>
        <w:t>R </w:t>
      </w:r>
      <w:r w:rsidRPr="00F545C9">
        <w:t xml:space="preserve">M.2243 que ofrece información detallada sobre la </w:t>
      </w:r>
      <w:r w:rsidRPr="00F545C9">
        <w:rPr>
          <w:cs/>
        </w:rPr>
        <w:t>‎</w:t>
      </w:r>
      <w:r w:rsidRPr="00F545C9">
        <w:t>implantación de la banda ancha móvil en todo el mundo y las previsiones para las IMT),</w:t>
      </w:r>
      <w:r w:rsidRPr="00F545C9">
        <w:rPr>
          <w:cs/>
        </w:rPr>
        <w:t>‎</w:t>
      </w:r>
    </w:p>
    <w:p w:rsidR="007A0236" w:rsidRPr="00F545C9" w:rsidRDefault="007A0236" w:rsidP="007A0236">
      <w:pPr>
        <w:pStyle w:val="enumlev1"/>
        <w:tabs>
          <w:tab w:val="clear" w:pos="1134"/>
          <w:tab w:val="left" w:pos="0"/>
          <w:tab w:val="left" w:pos="8647"/>
        </w:tabs>
        <w:ind w:left="0" w:firstLine="0"/>
      </w:pPr>
      <w:r w:rsidRPr="00F545C9">
        <w:lastRenderedPageBreak/>
        <w:t>resulta fundamental identificar espectro adicional para las IMT con miras a desarrollar las aplicaciones del servicio móvil de banda ancha, habida cuenta de los resultados de los estudios de compartición y compatibilidad del UIT-R para la protección de los servicios existentes.</w:t>
      </w:r>
    </w:p>
    <w:p w:rsidR="007A0236" w:rsidRPr="00F545C9" w:rsidRDefault="007A0236" w:rsidP="00D05C75">
      <w:r w:rsidRPr="00F545C9">
        <w:t>El UIT-R ha realizado estudios sobre una lista de bandas de frecue</w:t>
      </w:r>
      <w:r w:rsidR="008A6349" w:rsidRPr="00F545C9">
        <w:t>ncia</w:t>
      </w:r>
      <w:r w:rsidR="00742699">
        <w:t>s</w:t>
      </w:r>
      <w:r w:rsidR="008A6349" w:rsidRPr="00F545C9">
        <w:t xml:space="preserve"> que podrían considerarse.</w:t>
      </w:r>
      <w:bookmarkStart w:id="6" w:name="_GoBack"/>
      <w:bookmarkEnd w:id="6"/>
    </w:p>
    <w:p w:rsidR="007A0236" w:rsidRPr="00F545C9" w:rsidRDefault="007A0236" w:rsidP="007A0236">
      <w:pPr>
        <w:pStyle w:val="Headingb"/>
      </w:pPr>
      <w:r w:rsidRPr="00F545C9">
        <w:t>Propuestas</w:t>
      </w:r>
    </w:p>
    <w:p w:rsidR="007A0236" w:rsidRPr="00F545C9" w:rsidRDefault="007A0236" w:rsidP="007A0236">
      <w:pPr>
        <w:jc w:val="both"/>
        <w:rPr>
          <w:color w:val="0D0D0D" w:themeColor="text1" w:themeTint="F2"/>
          <w:lang w:eastAsia="fr-FR"/>
        </w:rPr>
      </w:pPr>
      <w:r w:rsidRPr="00F545C9">
        <w:rPr>
          <w:color w:val="0D0D0D" w:themeColor="text1" w:themeTint="F2"/>
          <w:lang w:eastAsia="fr-FR"/>
        </w:rPr>
        <w:t xml:space="preserve">Gabón presenta las siguientes propuestas para algunas de las bandas de frecuencias planteadas por los </w:t>
      </w:r>
      <w:r w:rsidRPr="00F545C9">
        <w:rPr>
          <w:color w:val="0D0D0D" w:themeColor="text1" w:themeTint="F2"/>
          <w:cs/>
          <w:lang w:eastAsia="fr-FR"/>
        </w:rPr>
        <w:t>‎</w:t>
      </w:r>
      <w:r w:rsidR="00390297" w:rsidRPr="00F545C9">
        <w:rPr>
          <w:color w:val="0D0D0D" w:themeColor="text1" w:themeTint="F2"/>
          <w:lang w:eastAsia="fr-FR"/>
        </w:rPr>
        <w:t>estudios del UIT-R:</w:t>
      </w:r>
    </w:p>
    <w:p w:rsidR="007A0236" w:rsidRPr="00F545C9" w:rsidRDefault="005F46FC" w:rsidP="007A0236">
      <w:pPr>
        <w:pStyle w:val="enumlev1"/>
        <w:rPr>
          <w:lang w:eastAsia="fr-FR"/>
        </w:rPr>
      </w:pPr>
      <w:r w:rsidRPr="00F545C9">
        <w:rPr>
          <w:lang w:eastAsia="fr-FR"/>
        </w:rPr>
        <w:t>1</w:t>
      </w:r>
      <w:r w:rsidR="005011E7">
        <w:rPr>
          <w:lang w:eastAsia="fr-FR"/>
        </w:rPr>
        <w:t>)</w:t>
      </w:r>
      <w:r w:rsidR="007A0236" w:rsidRPr="00F545C9">
        <w:rPr>
          <w:lang w:eastAsia="fr-FR"/>
        </w:rPr>
        <w:tab/>
      </w:r>
      <w:r w:rsidR="005011E7" w:rsidRPr="00F545C9">
        <w:rPr>
          <w:lang w:eastAsia="fr-FR"/>
        </w:rPr>
        <w:t xml:space="preserve">bandas </w:t>
      </w:r>
      <w:r w:rsidR="007A0236" w:rsidRPr="00F545C9">
        <w:rPr>
          <w:lang w:eastAsia="fr-FR"/>
        </w:rPr>
        <w:t>de frecuencias 2 7</w:t>
      </w:r>
      <w:r w:rsidR="0073058A" w:rsidRPr="00F545C9">
        <w:rPr>
          <w:lang w:eastAsia="fr-FR"/>
        </w:rPr>
        <w:t>00-2 900 </w:t>
      </w:r>
      <w:r w:rsidR="00CD4B10">
        <w:rPr>
          <w:lang w:eastAsia="fr-FR"/>
        </w:rPr>
        <w:t>MHz y</w:t>
      </w:r>
      <w:r w:rsidR="0073058A" w:rsidRPr="00F545C9">
        <w:rPr>
          <w:lang w:eastAsia="fr-FR"/>
        </w:rPr>
        <w:t xml:space="preserve"> 3 300-3 400 MHz</w:t>
      </w:r>
      <w:r w:rsidR="007A0236" w:rsidRPr="00F545C9">
        <w:rPr>
          <w:lang w:eastAsia="fr-FR"/>
        </w:rPr>
        <w:t>: sin cambios en el Reglamen</w:t>
      </w:r>
      <w:r w:rsidR="00D675BE" w:rsidRPr="00F545C9">
        <w:rPr>
          <w:lang w:eastAsia="fr-FR"/>
        </w:rPr>
        <w:t>to de Radiocomunicaciones (NOC)</w:t>
      </w:r>
      <w:r w:rsidR="005011E7">
        <w:rPr>
          <w:lang w:eastAsia="fr-FR"/>
        </w:rPr>
        <w:t>;</w:t>
      </w:r>
    </w:p>
    <w:p w:rsidR="007A0236" w:rsidRPr="00F545C9" w:rsidRDefault="005F46FC" w:rsidP="0073058A">
      <w:pPr>
        <w:pStyle w:val="enumlev1"/>
        <w:rPr>
          <w:lang w:eastAsia="fr-FR"/>
        </w:rPr>
      </w:pPr>
      <w:r w:rsidRPr="00F545C9">
        <w:rPr>
          <w:lang w:eastAsia="fr-FR"/>
        </w:rPr>
        <w:t>2</w:t>
      </w:r>
      <w:r w:rsidR="005011E7">
        <w:rPr>
          <w:lang w:eastAsia="fr-FR"/>
        </w:rPr>
        <w:t>)</w:t>
      </w:r>
      <w:r w:rsidR="007A0236" w:rsidRPr="00F545C9">
        <w:rPr>
          <w:lang w:eastAsia="fr-FR"/>
        </w:rPr>
        <w:tab/>
      </w:r>
      <w:r w:rsidR="005011E7" w:rsidRPr="00F545C9">
        <w:rPr>
          <w:lang w:eastAsia="fr-FR"/>
        </w:rPr>
        <w:t xml:space="preserve">bandas </w:t>
      </w:r>
      <w:r w:rsidR="007A0236" w:rsidRPr="00F545C9">
        <w:rPr>
          <w:lang w:eastAsia="fr-FR"/>
        </w:rPr>
        <w:t xml:space="preserve">de frecuencias </w:t>
      </w:r>
      <w:r w:rsidR="007A0236" w:rsidRPr="00F545C9">
        <w:rPr>
          <w:cs/>
          <w:lang w:eastAsia="fr-FR"/>
        </w:rPr>
        <w:t>‎</w:t>
      </w:r>
      <w:r w:rsidR="007A0236" w:rsidRPr="00F545C9">
        <w:rPr>
          <w:bCs/>
        </w:rPr>
        <w:t>1 427-1 45</w:t>
      </w:r>
      <w:r w:rsidR="0073058A" w:rsidRPr="00F545C9">
        <w:rPr>
          <w:bCs/>
        </w:rPr>
        <w:t>2 MHz, 1 350-1 400 MHz, 1 492-1 518 </w:t>
      </w:r>
      <w:r w:rsidR="007A0236" w:rsidRPr="00F545C9">
        <w:rPr>
          <w:bCs/>
        </w:rPr>
        <w:t>MHz</w:t>
      </w:r>
      <w:r w:rsidR="007A0236" w:rsidRPr="00F545C9">
        <w:rPr>
          <w:lang w:eastAsia="fr-FR"/>
        </w:rPr>
        <w:t>,</w:t>
      </w:r>
      <w:r w:rsidR="007A0236" w:rsidRPr="00F545C9">
        <w:rPr>
          <w:bCs/>
          <w:color w:val="000000" w:themeColor="text1"/>
        </w:rPr>
        <w:t xml:space="preserve"> 1</w:t>
      </w:r>
      <w:r w:rsidR="0073058A" w:rsidRPr="00F545C9">
        <w:rPr>
          <w:bCs/>
          <w:color w:val="000000" w:themeColor="text1"/>
        </w:rPr>
        <w:t> 518</w:t>
      </w:r>
      <w:r w:rsidR="0073058A" w:rsidRPr="00F545C9">
        <w:rPr>
          <w:bCs/>
          <w:color w:val="000000" w:themeColor="text1"/>
        </w:rPr>
        <w:noBreakHyphen/>
      </w:r>
      <w:r w:rsidR="007A0236" w:rsidRPr="00F545C9">
        <w:rPr>
          <w:bCs/>
          <w:color w:val="000000" w:themeColor="text1"/>
        </w:rPr>
        <w:t xml:space="preserve">1 525 MHz, </w:t>
      </w:r>
      <w:r w:rsidR="0073058A" w:rsidRPr="00F545C9">
        <w:rPr>
          <w:lang w:eastAsia="fr-FR"/>
        </w:rPr>
        <w:t>4 800-4 990 MHz</w:t>
      </w:r>
      <w:r w:rsidR="007A0236" w:rsidRPr="00F545C9">
        <w:rPr>
          <w:lang w:eastAsia="fr-FR"/>
        </w:rPr>
        <w:t>: identificadas para las IMT.</w:t>
      </w:r>
    </w:p>
    <w:p w:rsidR="007A0236" w:rsidRPr="00F545C9" w:rsidRDefault="007A0236" w:rsidP="007A0236">
      <w:r w:rsidRPr="00F545C9">
        <w:rPr>
          <w:color w:val="0D0D0D" w:themeColor="text1" w:themeTint="F2"/>
          <w:lang w:eastAsia="fr-FR"/>
        </w:rPr>
        <w:t>Se proponen por consiguiente las siguientes modificaciones al Reglamento de Radiocomunicaciones.</w:t>
      </w:r>
      <w:r w:rsidRPr="00F545C9">
        <w:rPr>
          <w:color w:val="0D0D0D" w:themeColor="text1" w:themeTint="F2"/>
          <w:cs/>
          <w:lang w:eastAsia="fr-FR"/>
        </w:rPr>
        <w:t>‎</w:t>
      </w:r>
    </w:p>
    <w:p w:rsidR="008750A8" w:rsidRPr="00F545C9" w:rsidRDefault="008750A8" w:rsidP="008750A8">
      <w:pPr>
        <w:tabs>
          <w:tab w:val="clear" w:pos="1134"/>
          <w:tab w:val="clear" w:pos="1871"/>
          <w:tab w:val="clear" w:pos="2268"/>
        </w:tabs>
        <w:overflowPunct/>
        <w:autoSpaceDE/>
        <w:autoSpaceDN/>
        <w:adjustRightInd/>
        <w:spacing w:before="0"/>
        <w:textAlignment w:val="auto"/>
      </w:pPr>
      <w:r w:rsidRPr="00F545C9">
        <w:br w:type="page"/>
      </w:r>
    </w:p>
    <w:p w:rsidR="00F008F3" w:rsidRPr="00F545C9" w:rsidRDefault="002C5ED6" w:rsidP="00D44B91">
      <w:pPr>
        <w:pStyle w:val="ArtNo"/>
      </w:pPr>
      <w:r w:rsidRPr="00F545C9">
        <w:lastRenderedPageBreak/>
        <w:t xml:space="preserve">ARTÍCULO </w:t>
      </w:r>
      <w:r w:rsidRPr="00F545C9">
        <w:rPr>
          <w:rStyle w:val="href"/>
        </w:rPr>
        <w:t>5</w:t>
      </w:r>
    </w:p>
    <w:p w:rsidR="00F008F3" w:rsidRPr="00F545C9" w:rsidRDefault="002C5ED6" w:rsidP="00D44B91">
      <w:pPr>
        <w:pStyle w:val="Arttitle"/>
      </w:pPr>
      <w:r w:rsidRPr="00F545C9">
        <w:t>Atribuciones de frecuencia</w:t>
      </w:r>
    </w:p>
    <w:p w:rsidR="00F008F3" w:rsidRPr="00F545C9" w:rsidRDefault="002C5ED6" w:rsidP="00417F4D">
      <w:pPr>
        <w:pStyle w:val="Section1"/>
      </w:pPr>
      <w:r w:rsidRPr="00F545C9">
        <w:t>Sección IV – Cuadro de atribución de bandas de frecuencias</w:t>
      </w:r>
      <w:r w:rsidRPr="00F545C9">
        <w:br/>
      </w:r>
      <w:r w:rsidRPr="00F545C9">
        <w:rPr>
          <w:b w:val="0"/>
          <w:bCs/>
        </w:rPr>
        <w:t>(Véase el número</w:t>
      </w:r>
      <w:r w:rsidRPr="00F545C9">
        <w:t xml:space="preserve"> </w:t>
      </w:r>
      <w:r w:rsidRPr="00F545C9">
        <w:rPr>
          <w:rStyle w:val="Artref"/>
        </w:rPr>
        <w:t>2.1</w:t>
      </w:r>
      <w:r w:rsidRPr="00F545C9">
        <w:rPr>
          <w:b w:val="0"/>
          <w:bCs/>
        </w:rPr>
        <w:t>)</w:t>
      </w:r>
      <w:r w:rsidR="00B2797C" w:rsidRPr="00F545C9">
        <w:rPr>
          <w:b w:val="0"/>
          <w:bCs/>
        </w:rPr>
        <w:br/>
      </w:r>
      <w:r w:rsidRPr="00F545C9">
        <w:br/>
      </w:r>
    </w:p>
    <w:p w:rsidR="00BF7A29" w:rsidRPr="00F545C9" w:rsidRDefault="002C5ED6">
      <w:pPr>
        <w:pStyle w:val="Proposal"/>
      </w:pPr>
      <w:r w:rsidRPr="00F545C9">
        <w:rPr>
          <w:u w:val="single"/>
        </w:rPr>
        <w:t>NOC</w:t>
      </w:r>
      <w:r w:rsidRPr="00F545C9">
        <w:tab/>
        <w:t>GAB/204A1/1</w:t>
      </w:r>
    </w:p>
    <w:p w:rsidR="00F008F3" w:rsidRPr="00F545C9" w:rsidRDefault="002C5ED6" w:rsidP="00F008F3">
      <w:pPr>
        <w:pStyle w:val="Tabletitle"/>
      </w:pPr>
      <w:r w:rsidRPr="00F545C9">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F545C9" w:rsidTr="004C7C9D">
        <w:trPr>
          <w:cantSplit/>
          <w:trHeight w:val="20"/>
        </w:trPr>
        <w:tc>
          <w:tcPr>
            <w:tcW w:w="9203" w:type="dxa"/>
            <w:gridSpan w:val="3"/>
          </w:tcPr>
          <w:p w:rsidR="00F008F3" w:rsidRPr="00F545C9" w:rsidRDefault="002C5ED6" w:rsidP="004C7C9D">
            <w:pPr>
              <w:pStyle w:val="Tablehead"/>
            </w:pPr>
            <w:r w:rsidRPr="00F545C9">
              <w:rPr>
                <w:color w:val="000000"/>
              </w:rPr>
              <w:t>Atribución a los servicios</w:t>
            </w:r>
          </w:p>
        </w:tc>
      </w:tr>
      <w:tr w:rsidR="00F008F3" w:rsidRPr="00F545C9" w:rsidTr="004C7C9D">
        <w:trPr>
          <w:cantSplit/>
          <w:trHeight w:val="20"/>
        </w:trPr>
        <w:tc>
          <w:tcPr>
            <w:tcW w:w="3068" w:type="dxa"/>
          </w:tcPr>
          <w:p w:rsidR="00F008F3" w:rsidRPr="00F545C9" w:rsidRDefault="002C5ED6" w:rsidP="004C7C9D">
            <w:pPr>
              <w:pStyle w:val="Tablehead"/>
            </w:pPr>
            <w:r w:rsidRPr="00F545C9">
              <w:rPr>
                <w:color w:val="000000"/>
              </w:rPr>
              <w:t>Región 1</w:t>
            </w:r>
          </w:p>
        </w:tc>
        <w:tc>
          <w:tcPr>
            <w:tcW w:w="3067" w:type="dxa"/>
          </w:tcPr>
          <w:p w:rsidR="00F008F3" w:rsidRPr="00F545C9" w:rsidRDefault="002C5ED6" w:rsidP="004C7C9D">
            <w:pPr>
              <w:pStyle w:val="Tablehead"/>
            </w:pPr>
            <w:r w:rsidRPr="00F545C9">
              <w:rPr>
                <w:color w:val="000000"/>
              </w:rPr>
              <w:t>Región 2</w:t>
            </w:r>
          </w:p>
        </w:tc>
        <w:tc>
          <w:tcPr>
            <w:tcW w:w="3068" w:type="dxa"/>
          </w:tcPr>
          <w:p w:rsidR="00F008F3" w:rsidRPr="00F545C9" w:rsidRDefault="002C5ED6" w:rsidP="004C7C9D">
            <w:pPr>
              <w:pStyle w:val="Tablehead"/>
            </w:pPr>
            <w:r w:rsidRPr="00F545C9">
              <w:rPr>
                <w:color w:val="000000"/>
              </w:rPr>
              <w:t>Región 3</w:t>
            </w:r>
          </w:p>
        </w:tc>
      </w:tr>
      <w:tr w:rsidR="00F008F3" w:rsidRPr="00F545C9" w:rsidTr="004C7C9D">
        <w:trPr>
          <w:cantSplit/>
          <w:trHeight w:val="20"/>
        </w:trPr>
        <w:tc>
          <w:tcPr>
            <w:tcW w:w="9203" w:type="dxa"/>
            <w:gridSpan w:val="3"/>
          </w:tcPr>
          <w:p w:rsidR="00F008F3" w:rsidRPr="00F545C9" w:rsidRDefault="002C5ED6" w:rsidP="004C7C9D">
            <w:pPr>
              <w:pStyle w:val="TableTextS5"/>
              <w:tabs>
                <w:tab w:val="left" w:pos="4872"/>
              </w:tabs>
              <w:spacing w:before="20" w:after="20"/>
              <w:ind w:left="300" w:right="130" w:hanging="170"/>
              <w:rPr>
                <w:color w:val="000000"/>
              </w:rPr>
            </w:pPr>
            <w:r w:rsidRPr="00F545C9">
              <w:rPr>
                <w:rStyle w:val="Tablefreq"/>
                <w:color w:val="000000"/>
              </w:rPr>
              <w:t>2 700-2 900</w:t>
            </w:r>
            <w:r w:rsidRPr="00F545C9">
              <w:rPr>
                <w:color w:val="000000"/>
              </w:rPr>
              <w:tab/>
              <w:t xml:space="preserve">RADIONAVEGACIÓN AERONÁUTICA  </w:t>
            </w:r>
            <w:r w:rsidRPr="00F545C9">
              <w:rPr>
                <w:rStyle w:val="Artref10pt"/>
              </w:rPr>
              <w:t>5.337</w:t>
            </w:r>
          </w:p>
          <w:p w:rsidR="00F008F3" w:rsidRPr="00F545C9" w:rsidRDefault="002C5ED6" w:rsidP="004C7C9D">
            <w:pPr>
              <w:pStyle w:val="TableTextS5"/>
              <w:tabs>
                <w:tab w:val="left" w:pos="4872"/>
              </w:tabs>
              <w:spacing w:before="20" w:after="20"/>
              <w:ind w:left="300" w:right="130" w:hanging="170"/>
              <w:rPr>
                <w:color w:val="000000"/>
              </w:rPr>
            </w:pPr>
            <w:r w:rsidRPr="00F545C9">
              <w:rPr>
                <w:color w:val="000000"/>
              </w:rPr>
              <w:tab/>
            </w:r>
            <w:r w:rsidRPr="00F545C9">
              <w:rPr>
                <w:color w:val="000000"/>
              </w:rPr>
              <w:tab/>
            </w:r>
            <w:r w:rsidRPr="00F545C9">
              <w:rPr>
                <w:color w:val="000000"/>
              </w:rPr>
              <w:tab/>
            </w:r>
            <w:r w:rsidRPr="00F545C9">
              <w:rPr>
                <w:color w:val="000000"/>
              </w:rPr>
              <w:tab/>
            </w:r>
            <w:r w:rsidRPr="00F545C9">
              <w:rPr>
                <w:color w:val="000000"/>
              </w:rPr>
              <w:tab/>
              <w:t>Radiolocalización</w:t>
            </w:r>
          </w:p>
          <w:p w:rsidR="00F008F3" w:rsidRPr="00F545C9" w:rsidRDefault="002C5ED6" w:rsidP="004C7C9D">
            <w:pPr>
              <w:pStyle w:val="TableTextS5"/>
              <w:spacing w:before="20" w:after="20"/>
              <w:ind w:left="300" w:right="130" w:hanging="170"/>
              <w:rPr>
                <w:color w:val="000000"/>
              </w:rPr>
            </w:pPr>
            <w:r w:rsidRPr="00F545C9">
              <w:rPr>
                <w:color w:val="000000"/>
              </w:rPr>
              <w:tab/>
            </w:r>
            <w:r w:rsidRPr="00F545C9">
              <w:rPr>
                <w:color w:val="000000"/>
              </w:rPr>
              <w:tab/>
            </w:r>
            <w:r w:rsidRPr="00F545C9">
              <w:rPr>
                <w:color w:val="000000"/>
              </w:rPr>
              <w:tab/>
            </w:r>
            <w:r w:rsidRPr="00F545C9">
              <w:rPr>
                <w:color w:val="000000"/>
              </w:rPr>
              <w:tab/>
            </w:r>
            <w:r w:rsidRPr="00F545C9">
              <w:rPr>
                <w:color w:val="000000"/>
              </w:rPr>
              <w:tab/>
            </w:r>
            <w:r w:rsidRPr="00F545C9">
              <w:rPr>
                <w:rStyle w:val="Artref"/>
                <w:color w:val="000000"/>
              </w:rPr>
              <w:t>5.423</w:t>
            </w:r>
            <w:r w:rsidRPr="00F545C9">
              <w:rPr>
                <w:color w:val="000000"/>
              </w:rPr>
              <w:t xml:space="preserve">  </w:t>
            </w:r>
            <w:r w:rsidRPr="00F545C9">
              <w:rPr>
                <w:rStyle w:val="Artref"/>
                <w:color w:val="000000"/>
              </w:rPr>
              <w:t>5.424</w:t>
            </w:r>
          </w:p>
        </w:tc>
      </w:tr>
    </w:tbl>
    <w:p w:rsidR="00BF7A29" w:rsidRPr="00F545C9" w:rsidRDefault="002C5ED6" w:rsidP="002C5ED6">
      <w:pPr>
        <w:pStyle w:val="Reasons"/>
        <w:tabs>
          <w:tab w:val="clear" w:pos="1588"/>
          <w:tab w:val="clear" w:pos="1985"/>
          <w:tab w:val="left" w:pos="1560"/>
        </w:tabs>
      </w:pPr>
      <w:r w:rsidRPr="00F545C9">
        <w:rPr>
          <w:b/>
        </w:rPr>
        <w:t>Motivos:</w:t>
      </w:r>
      <w:r w:rsidRPr="00F545C9">
        <w:tab/>
        <w:t>Esta gama de frecuencias se utiliza ampliamente para los sistemas de radar. Los resultados de los estudios del UIT-R muestran que dentro de una determinada zona geográfica no es factible el funcionamiento de sistemas móviles de banda ancha y de sistemas de radar en la misma frecuencia.</w:t>
      </w:r>
    </w:p>
    <w:p w:rsidR="00BF7A29" w:rsidRPr="00F545C9" w:rsidRDefault="002C5ED6">
      <w:pPr>
        <w:pStyle w:val="Proposal"/>
      </w:pPr>
      <w:r w:rsidRPr="00F545C9">
        <w:rPr>
          <w:u w:val="single"/>
        </w:rPr>
        <w:t>NOC</w:t>
      </w:r>
      <w:r w:rsidRPr="00F545C9">
        <w:tab/>
        <w:t>GAB/204A1/2</w:t>
      </w:r>
    </w:p>
    <w:p w:rsidR="00F008F3" w:rsidRPr="00F545C9" w:rsidRDefault="002C5ED6" w:rsidP="00F008F3">
      <w:pPr>
        <w:pStyle w:val="Tabletitle"/>
      </w:pPr>
      <w:r w:rsidRPr="00F545C9">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F545C9" w:rsidTr="004C7C9D">
        <w:trPr>
          <w:cantSplit/>
          <w:trHeight w:val="20"/>
        </w:trPr>
        <w:tc>
          <w:tcPr>
            <w:tcW w:w="9203" w:type="dxa"/>
            <w:gridSpan w:val="3"/>
          </w:tcPr>
          <w:p w:rsidR="00F008F3" w:rsidRPr="00F545C9" w:rsidRDefault="002C5ED6" w:rsidP="004C7C9D">
            <w:pPr>
              <w:pStyle w:val="Tablehead"/>
            </w:pPr>
            <w:r w:rsidRPr="00F545C9">
              <w:rPr>
                <w:color w:val="000000"/>
              </w:rPr>
              <w:t>Atribución a los servicios</w:t>
            </w:r>
          </w:p>
        </w:tc>
      </w:tr>
      <w:tr w:rsidR="00F008F3" w:rsidRPr="00F545C9" w:rsidTr="004C7C9D">
        <w:trPr>
          <w:cantSplit/>
          <w:trHeight w:val="20"/>
        </w:trPr>
        <w:tc>
          <w:tcPr>
            <w:tcW w:w="3068" w:type="dxa"/>
          </w:tcPr>
          <w:p w:rsidR="00F008F3" w:rsidRPr="00F545C9" w:rsidRDefault="002C5ED6" w:rsidP="004C7C9D">
            <w:pPr>
              <w:pStyle w:val="Tablehead"/>
            </w:pPr>
            <w:r w:rsidRPr="00F545C9">
              <w:rPr>
                <w:color w:val="000000"/>
              </w:rPr>
              <w:t>Región 1</w:t>
            </w:r>
          </w:p>
        </w:tc>
        <w:tc>
          <w:tcPr>
            <w:tcW w:w="3067" w:type="dxa"/>
          </w:tcPr>
          <w:p w:rsidR="00F008F3" w:rsidRPr="00F545C9" w:rsidRDefault="002C5ED6" w:rsidP="004C7C9D">
            <w:pPr>
              <w:pStyle w:val="Tablehead"/>
            </w:pPr>
            <w:r w:rsidRPr="00F545C9">
              <w:rPr>
                <w:color w:val="000000"/>
              </w:rPr>
              <w:t>Región 2</w:t>
            </w:r>
          </w:p>
        </w:tc>
        <w:tc>
          <w:tcPr>
            <w:tcW w:w="3068" w:type="dxa"/>
          </w:tcPr>
          <w:p w:rsidR="00F008F3" w:rsidRPr="00F545C9" w:rsidRDefault="002C5ED6" w:rsidP="004C7C9D">
            <w:pPr>
              <w:pStyle w:val="Tablehead"/>
            </w:pPr>
            <w:r w:rsidRPr="00F545C9">
              <w:rPr>
                <w:color w:val="000000"/>
              </w:rPr>
              <w:t>Región 3</w:t>
            </w:r>
          </w:p>
        </w:tc>
      </w:tr>
      <w:tr w:rsidR="00F008F3" w:rsidRPr="00F545C9"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top w:val="single" w:sz="6" w:space="0" w:color="auto"/>
              <w:left w:val="single" w:sz="6" w:space="0" w:color="auto"/>
              <w:right w:val="single" w:sz="6" w:space="0" w:color="auto"/>
            </w:tcBorders>
          </w:tcPr>
          <w:p w:rsidR="00F008F3" w:rsidRPr="00F545C9" w:rsidRDefault="002C5ED6" w:rsidP="004C7C9D">
            <w:pPr>
              <w:pStyle w:val="TableTextS5"/>
              <w:spacing w:before="20" w:after="20"/>
              <w:ind w:left="130" w:right="130"/>
              <w:rPr>
                <w:color w:val="000000"/>
              </w:rPr>
            </w:pPr>
            <w:r w:rsidRPr="00F545C9">
              <w:rPr>
                <w:rStyle w:val="Tablefreq"/>
                <w:color w:val="000000"/>
              </w:rPr>
              <w:t>3 300-3 400</w:t>
            </w:r>
          </w:p>
          <w:p w:rsidR="00F008F3" w:rsidRPr="00F545C9" w:rsidRDefault="002C5ED6" w:rsidP="004C7C9D">
            <w:pPr>
              <w:pStyle w:val="TableTextS5"/>
              <w:spacing w:before="20" w:after="20"/>
              <w:ind w:left="130" w:right="130"/>
              <w:rPr>
                <w:color w:val="000000"/>
              </w:rPr>
            </w:pPr>
            <w:r w:rsidRPr="00F545C9">
              <w:rPr>
                <w:color w:val="000000"/>
              </w:rPr>
              <w:t>RADIOLOCALIZACIÓN</w:t>
            </w:r>
          </w:p>
        </w:tc>
        <w:tc>
          <w:tcPr>
            <w:tcW w:w="3067" w:type="dxa"/>
            <w:tcBorders>
              <w:top w:val="single" w:sz="6" w:space="0" w:color="auto"/>
              <w:left w:val="single" w:sz="6" w:space="0" w:color="auto"/>
              <w:right w:val="single" w:sz="6" w:space="0" w:color="auto"/>
            </w:tcBorders>
          </w:tcPr>
          <w:p w:rsidR="00F008F3" w:rsidRPr="00F545C9" w:rsidRDefault="002C5ED6" w:rsidP="004C7C9D">
            <w:pPr>
              <w:pStyle w:val="TableTextS5"/>
              <w:spacing w:before="20" w:after="20"/>
              <w:ind w:left="130" w:right="130"/>
              <w:rPr>
                <w:color w:val="000000"/>
              </w:rPr>
            </w:pPr>
            <w:r w:rsidRPr="00F545C9">
              <w:rPr>
                <w:rStyle w:val="Tablefreq"/>
                <w:color w:val="000000"/>
              </w:rPr>
              <w:t>3 300-3 400</w:t>
            </w:r>
          </w:p>
          <w:p w:rsidR="00F008F3" w:rsidRPr="00F545C9" w:rsidRDefault="002C5ED6" w:rsidP="004C7C9D">
            <w:pPr>
              <w:pStyle w:val="TableTextS5"/>
              <w:spacing w:before="20" w:after="20"/>
              <w:ind w:left="130" w:right="130"/>
              <w:rPr>
                <w:color w:val="000000"/>
              </w:rPr>
            </w:pPr>
            <w:r w:rsidRPr="00F545C9">
              <w:rPr>
                <w:color w:val="000000"/>
              </w:rPr>
              <w:t>RADIOLOCALIZACIÓN</w:t>
            </w:r>
          </w:p>
          <w:p w:rsidR="00F008F3" w:rsidRPr="00F545C9" w:rsidRDefault="002C5ED6" w:rsidP="004C7C9D">
            <w:pPr>
              <w:pStyle w:val="TableTextS5"/>
              <w:spacing w:before="20" w:after="20"/>
              <w:ind w:left="130" w:right="130"/>
              <w:rPr>
                <w:color w:val="000000"/>
              </w:rPr>
            </w:pPr>
            <w:r w:rsidRPr="00F545C9">
              <w:rPr>
                <w:color w:val="000000"/>
              </w:rPr>
              <w:t>Aficionados</w:t>
            </w:r>
          </w:p>
          <w:p w:rsidR="00F008F3" w:rsidRPr="00F545C9" w:rsidRDefault="002C5ED6" w:rsidP="004C7C9D">
            <w:pPr>
              <w:pStyle w:val="TableTextS5"/>
              <w:spacing w:before="20" w:after="20"/>
              <w:ind w:left="130" w:right="130"/>
              <w:rPr>
                <w:color w:val="000000"/>
              </w:rPr>
            </w:pPr>
            <w:r w:rsidRPr="00F545C9">
              <w:rPr>
                <w:color w:val="000000"/>
              </w:rPr>
              <w:t>Fijo</w:t>
            </w:r>
          </w:p>
          <w:p w:rsidR="00F008F3" w:rsidRPr="00F545C9" w:rsidRDefault="002C5ED6" w:rsidP="004C7C9D">
            <w:pPr>
              <w:pStyle w:val="TableTextS5"/>
              <w:spacing w:before="20" w:after="20"/>
              <w:ind w:left="130" w:right="130"/>
              <w:rPr>
                <w:color w:val="000000"/>
              </w:rPr>
            </w:pPr>
            <w:r w:rsidRPr="00F545C9">
              <w:rPr>
                <w:color w:val="000000"/>
              </w:rPr>
              <w:t>Móvil</w:t>
            </w:r>
          </w:p>
        </w:tc>
        <w:tc>
          <w:tcPr>
            <w:tcW w:w="3068" w:type="dxa"/>
            <w:tcBorders>
              <w:top w:val="single" w:sz="6" w:space="0" w:color="auto"/>
              <w:left w:val="single" w:sz="6" w:space="0" w:color="auto"/>
              <w:right w:val="single" w:sz="6" w:space="0" w:color="auto"/>
            </w:tcBorders>
          </w:tcPr>
          <w:p w:rsidR="00F008F3" w:rsidRPr="00F545C9" w:rsidRDefault="002C5ED6" w:rsidP="004C7C9D">
            <w:pPr>
              <w:pStyle w:val="TableTextS5"/>
              <w:spacing w:before="20" w:after="20"/>
              <w:ind w:left="130" w:right="130"/>
              <w:rPr>
                <w:color w:val="000000"/>
              </w:rPr>
            </w:pPr>
            <w:r w:rsidRPr="00F545C9">
              <w:rPr>
                <w:rStyle w:val="Tablefreq"/>
                <w:color w:val="000000"/>
              </w:rPr>
              <w:t>3 300-3 400</w:t>
            </w:r>
          </w:p>
          <w:p w:rsidR="00F008F3" w:rsidRPr="00F545C9" w:rsidRDefault="002C5ED6" w:rsidP="004C7C9D">
            <w:pPr>
              <w:pStyle w:val="TableTextS5"/>
              <w:spacing w:before="20" w:after="20"/>
              <w:ind w:left="130" w:right="130"/>
              <w:rPr>
                <w:color w:val="000000"/>
              </w:rPr>
            </w:pPr>
            <w:r w:rsidRPr="00F545C9">
              <w:rPr>
                <w:color w:val="000000"/>
              </w:rPr>
              <w:t>RADIOLOCALIZACIÓN</w:t>
            </w:r>
          </w:p>
          <w:p w:rsidR="00F008F3" w:rsidRPr="00F545C9" w:rsidRDefault="002C5ED6" w:rsidP="004C7C9D">
            <w:pPr>
              <w:pStyle w:val="TableTextS5"/>
              <w:spacing w:before="20" w:after="20"/>
              <w:ind w:left="130" w:right="130"/>
              <w:rPr>
                <w:color w:val="000000"/>
              </w:rPr>
            </w:pPr>
            <w:r w:rsidRPr="00F545C9">
              <w:rPr>
                <w:color w:val="000000"/>
              </w:rPr>
              <w:t>Aficionados</w:t>
            </w:r>
          </w:p>
        </w:tc>
      </w:tr>
      <w:tr w:rsidR="00F008F3" w:rsidRPr="00F545C9" w:rsidTr="00EA4D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3068" w:type="dxa"/>
            <w:tcBorders>
              <w:left w:val="single" w:sz="6" w:space="0" w:color="auto"/>
              <w:bottom w:val="single" w:sz="6" w:space="0" w:color="auto"/>
              <w:right w:val="single" w:sz="6" w:space="0" w:color="auto"/>
            </w:tcBorders>
          </w:tcPr>
          <w:p w:rsidR="00F008F3" w:rsidRPr="00F545C9" w:rsidRDefault="002C5ED6" w:rsidP="004C7C9D">
            <w:pPr>
              <w:pStyle w:val="TableTextS5"/>
              <w:spacing w:before="20" w:after="20"/>
              <w:ind w:left="130" w:right="130"/>
              <w:rPr>
                <w:color w:val="000000"/>
              </w:rPr>
            </w:pPr>
            <w:r w:rsidRPr="00F545C9">
              <w:rPr>
                <w:rStyle w:val="Artref"/>
                <w:color w:val="000000"/>
              </w:rPr>
              <w:t>5.149</w:t>
            </w:r>
            <w:r w:rsidRPr="00F545C9">
              <w:rPr>
                <w:color w:val="000000"/>
              </w:rPr>
              <w:t xml:space="preserve">  </w:t>
            </w:r>
            <w:r w:rsidRPr="00F545C9">
              <w:rPr>
                <w:rStyle w:val="Artref"/>
                <w:color w:val="000000"/>
              </w:rPr>
              <w:t>5.429</w:t>
            </w:r>
            <w:r w:rsidRPr="00F545C9">
              <w:rPr>
                <w:color w:val="000000"/>
              </w:rPr>
              <w:t xml:space="preserve">  </w:t>
            </w:r>
            <w:r w:rsidRPr="00F545C9">
              <w:rPr>
                <w:rStyle w:val="Artref"/>
                <w:color w:val="000000"/>
              </w:rPr>
              <w:t>5.430</w:t>
            </w:r>
          </w:p>
        </w:tc>
        <w:tc>
          <w:tcPr>
            <w:tcW w:w="3067" w:type="dxa"/>
            <w:tcBorders>
              <w:left w:val="single" w:sz="6" w:space="0" w:color="auto"/>
              <w:bottom w:val="single" w:sz="6" w:space="0" w:color="auto"/>
              <w:right w:val="single" w:sz="6" w:space="0" w:color="auto"/>
            </w:tcBorders>
          </w:tcPr>
          <w:p w:rsidR="00F008F3" w:rsidRPr="00F545C9" w:rsidRDefault="002C5ED6" w:rsidP="000813B8">
            <w:pPr>
              <w:pStyle w:val="TableTextS5"/>
              <w:ind w:left="130" w:right="130"/>
              <w:rPr>
                <w:color w:val="000000"/>
              </w:rPr>
            </w:pPr>
            <w:r w:rsidRPr="00F545C9">
              <w:rPr>
                <w:rStyle w:val="Artref"/>
                <w:color w:val="000000"/>
              </w:rPr>
              <w:t>5.149</w:t>
            </w:r>
          </w:p>
        </w:tc>
        <w:tc>
          <w:tcPr>
            <w:tcW w:w="3068" w:type="dxa"/>
            <w:tcBorders>
              <w:left w:val="single" w:sz="6" w:space="0" w:color="auto"/>
              <w:bottom w:val="single" w:sz="6" w:space="0" w:color="auto"/>
              <w:right w:val="single" w:sz="6" w:space="0" w:color="auto"/>
            </w:tcBorders>
          </w:tcPr>
          <w:p w:rsidR="00F008F3" w:rsidRPr="00F545C9" w:rsidRDefault="002C5ED6" w:rsidP="004C7C9D">
            <w:pPr>
              <w:pStyle w:val="TableTextS5"/>
              <w:spacing w:before="20" w:after="20"/>
              <w:ind w:left="130" w:right="130"/>
              <w:rPr>
                <w:color w:val="000000"/>
              </w:rPr>
            </w:pPr>
            <w:r w:rsidRPr="00F545C9">
              <w:rPr>
                <w:rStyle w:val="Artref"/>
                <w:color w:val="000000"/>
              </w:rPr>
              <w:t>5.149</w:t>
            </w:r>
            <w:r w:rsidRPr="00F545C9">
              <w:rPr>
                <w:color w:val="000000"/>
              </w:rPr>
              <w:t xml:space="preserve">  </w:t>
            </w:r>
            <w:r w:rsidRPr="00F545C9">
              <w:rPr>
                <w:rStyle w:val="Artref"/>
                <w:color w:val="000000"/>
              </w:rPr>
              <w:t>5.429</w:t>
            </w:r>
          </w:p>
        </w:tc>
      </w:tr>
    </w:tbl>
    <w:p w:rsidR="00BF7A29" w:rsidRPr="00F545C9" w:rsidRDefault="002C5ED6">
      <w:pPr>
        <w:pStyle w:val="Reasons"/>
      </w:pPr>
      <w:r w:rsidRPr="00F545C9">
        <w:rPr>
          <w:b/>
        </w:rPr>
        <w:t>Motivos:</w:t>
      </w:r>
      <w:r w:rsidRPr="00F545C9">
        <w:tab/>
        <w:t>Esta gama de frecuencias se utiliza ampliamente para los sistemas de radar.</w:t>
      </w:r>
    </w:p>
    <w:p w:rsidR="00BF7A29" w:rsidRPr="00F545C9" w:rsidRDefault="002C5ED6">
      <w:pPr>
        <w:pStyle w:val="Proposal"/>
      </w:pPr>
      <w:r w:rsidRPr="00F545C9">
        <w:rPr>
          <w:u w:val="single"/>
        </w:rPr>
        <w:t>NOC</w:t>
      </w:r>
      <w:r w:rsidRPr="00F545C9">
        <w:tab/>
        <w:t>GAB/204A1/3</w:t>
      </w:r>
    </w:p>
    <w:p w:rsidR="00F008F3" w:rsidRPr="00F545C9" w:rsidRDefault="002C5ED6" w:rsidP="00F008F3">
      <w:pPr>
        <w:pStyle w:val="Tabletitle"/>
      </w:pPr>
      <w:r w:rsidRPr="00F545C9">
        <w:t>2 700-4 800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F008F3" w:rsidRPr="00F545C9" w:rsidTr="004C7C9D">
        <w:trPr>
          <w:cantSplit/>
          <w:trHeight w:val="20"/>
        </w:trPr>
        <w:tc>
          <w:tcPr>
            <w:tcW w:w="9203" w:type="dxa"/>
            <w:gridSpan w:val="3"/>
          </w:tcPr>
          <w:p w:rsidR="00F008F3" w:rsidRPr="00F545C9" w:rsidRDefault="002C5ED6" w:rsidP="004C7C9D">
            <w:pPr>
              <w:pStyle w:val="Tablehead"/>
            </w:pPr>
            <w:r w:rsidRPr="00F545C9">
              <w:rPr>
                <w:color w:val="000000"/>
              </w:rPr>
              <w:t>Atribución a los servicios</w:t>
            </w:r>
          </w:p>
        </w:tc>
      </w:tr>
      <w:tr w:rsidR="00F008F3" w:rsidRPr="00F545C9" w:rsidTr="004C7C9D">
        <w:trPr>
          <w:cantSplit/>
          <w:trHeight w:val="20"/>
        </w:trPr>
        <w:tc>
          <w:tcPr>
            <w:tcW w:w="3068" w:type="dxa"/>
          </w:tcPr>
          <w:p w:rsidR="00F008F3" w:rsidRPr="00F545C9" w:rsidRDefault="002C5ED6" w:rsidP="004C7C9D">
            <w:pPr>
              <w:pStyle w:val="Tablehead"/>
            </w:pPr>
            <w:r w:rsidRPr="00F545C9">
              <w:rPr>
                <w:color w:val="000000"/>
              </w:rPr>
              <w:t>Región 1</w:t>
            </w:r>
          </w:p>
        </w:tc>
        <w:tc>
          <w:tcPr>
            <w:tcW w:w="3067" w:type="dxa"/>
          </w:tcPr>
          <w:p w:rsidR="00F008F3" w:rsidRPr="00F545C9" w:rsidRDefault="002C5ED6" w:rsidP="004C7C9D">
            <w:pPr>
              <w:pStyle w:val="Tablehead"/>
            </w:pPr>
            <w:r w:rsidRPr="00F545C9">
              <w:rPr>
                <w:color w:val="000000"/>
              </w:rPr>
              <w:t>Región 2</w:t>
            </w:r>
          </w:p>
        </w:tc>
        <w:tc>
          <w:tcPr>
            <w:tcW w:w="3068" w:type="dxa"/>
          </w:tcPr>
          <w:p w:rsidR="00F008F3" w:rsidRPr="00F545C9" w:rsidRDefault="002C5ED6" w:rsidP="004C7C9D">
            <w:pPr>
              <w:pStyle w:val="Tablehead"/>
            </w:pPr>
            <w:r w:rsidRPr="00F545C9">
              <w:rPr>
                <w:color w:val="000000"/>
              </w:rPr>
              <w:t>Región 3</w:t>
            </w:r>
          </w:p>
        </w:tc>
      </w:tr>
      <w:tr w:rsidR="00F008F3" w:rsidRPr="00F545C9" w:rsidTr="004C7C9D">
        <w:trPr>
          <w:cantSplit/>
          <w:trHeight w:val="20"/>
        </w:trPr>
        <w:tc>
          <w:tcPr>
            <w:tcW w:w="9203" w:type="dxa"/>
            <w:gridSpan w:val="3"/>
          </w:tcPr>
          <w:p w:rsidR="002C5ED6" w:rsidRPr="00F545C9" w:rsidRDefault="002C5ED6" w:rsidP="002C5ED6">
            <w:pPr>
              <w:pStyle w:val="TableTextS5"/>
              <w:tabs>
                <w:tab w:val="clear" w:pos="170"/>
                <w:tab w:val="clear" w:pos="567"/>
                <w:tab w:val="clear" w:pos="737"/>
                <w:tab w:val="clear" w:pos="2977"/>
                <w:tab w:val="clear" w:pos="3266"/>
                <w:tab w:val="left" w:pos="3111"/>
              </w:tabs>
              <w:spacing w:before="20" w:after="20"/>
              <w:ind w:left="170" w:hanging="62"/>
              <w:rPr>
                <w:color w:val="000000"/>
              </w:rPr>
            </w:pPr>
            <w:r w:rsidRPr="00F545C9">
              <w:rPr>
                <w:rStyle w:val="Tablefreq"/>
                <w:color w:val="000000"/>
              </w:rPr>
              <w:t>4</w:t>
            </w:r>
            <w:r w:rsidRPr="00F545C9">
              <w:rPr>
                <w:rStyle w:val="Tablefreq"/>
                <w:rFonts w:ascii="Tms Rmn" w:hAnsi="Tms Rmn" w:cs="Tms Rmn"/>
                <w:color w:val="000000"/>
                <w:sz w:val="12"/>
                <w:szCs w:val="12"/>
              </w:rPr>
              <w:t> </w:t>
            </w:r>
            <w:r w:rsidRPr="00F545C9">
              <w:rPr>
                <w:rStyle w:val="Tablefreq"/>
                <w:color w:val="000000"/>
              </w:rPr>
              <w:t>400-4</w:t>
            </w:r>
            <w:r w:rsidRPr="00F545C9">
              <w:rPr>
                <w:rStyle w:val="Tablefreq"/>
                <w:rFonts w:ascii="Tms Rmn" w:hAnsi="Tms Rmn" w:cs="Tms Rmn"/>
                <w:color w:val="000000"/>
                <w:sz w:val="12"/>
                <w:szCs w:val="12"/>
              </w:rPr>
              <w:t> </w:t>
            </w:r>
            <w:r w:rsidRPr="00F545C9">
              <w:rPr>
                <w:rStyle w:val="Tablefreq"/>
                <w:color w:val="000000"/>
              </w:rPr>
              <w:t>500</w:t>
            </w:r>
            <w:r w:rsidRPr="00F545C9">
              <w:rPr>
                <w:color w:val="000000"/>
              </w:rPr>
              <w:tab/>
              <w:t>FIJO</w:t>
            </w:r>
          </w:p>
          <w:p w:rsidR="00F008F3" w:rsidRPr="00F545C9" w:rsidRDefault="002C5ED6" w:rsidP="002C5ED6">
            <w:pPr>
              <w:pStyle w:val="TableTextS5"/>
              <w:tabs>
                <w:tab w:val="clear" w:pos="2977"/>
                <w:tab w:val="left" w:pos="3111"/>
              </w:tabs>
              <w:spacing w:before="20" w:after="20"/>
              <w:ind w:left="300" w:right="130" w:hanging="170"/>
              <w:rPr>
                <w:color w:val="000000"/>
              </w:rPr>
            </w:pPr>
            <w:r w:rsidRPr="00F545C9">
              <w:rPr>
                <w:color w:val="000000"/>
              </w:rPr>
              <w:tab/>
            </w:r>
            <w:r w:rsidRPr="00F545C9">
              <w:rPr>
                <w:color w:val="000000"/>
              </w:rPr>
              <w:tab/>
            </w:r>
            <w:r w:rsidRPr="00F545C9">
              <w:rPr>
                <w:color w:val="000000"/>
              </w:rPr>
              <w:tab/>
            </w:r>
            <w:r w:rsidRPr="00F545C9">
              <w:rPr>
                <w:color w:val="000000"/>
              </w:rPr>
              <w:tab/>
            </w:r>
            <w:r w:rsidRPr="00F545C9">
              <w:rPr>
                <w:color w:val="000000"/>
              </w:rPr>
              <w:tab/>
              <w:t>MÓVIL  5.440A</w:t>
            </w:r>
          </w:p>
        </w:tc>
      </w:tr>
    </w:tbl>
    <w:p w:rsidR="002C5ED6" w:rsidRPr="00F545C9" w:rsidRDefault="002C5ED6" w:rsidP="0032202E">
      <w:pPr>
        <w:pStyle w:val="Reasons"/>
      </w:pPr>
      <w:r w:rsidRPr="00F545C9">
        <w:t>Sin embargo, la República Gabonesa, en los puntos no considerados en las propuestas anteriores, apoya las propuestas comunes africanas.</w:t>
      </w:r>
    </w:p>
    <w:p w:rsidR="002C5ED6" w:rsidRPr="00F545C9" w:rsidRDefault="002C5ED6" w:rsidP="0060244B">
      <w:pPr>
        <w:jc w:val="center"/>
      </w:pPr>
      <w:r w:rsidRPr="00F545C9">
        <w:t>______________</w:t>
      </w:r>
    </w:p>
    <w:sectPr w:rsidR="002C5ED6" w:rsidRPr="00F545C9">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9653E" w:rsidRDefault="0077084A">
    <w:pPr>
      <w:ind w:right="360"/>
    </w:pPr>
    <w:r>
      <w:fldChar w:fldCharType="begin"/>
    </w:r>
    <w:r w:rsidRPr="0069653E">
      <w:instrText xml:space="preserve"> FILENAME \p  \* MERGEFORMAT </w:instrText>
    </w:r>
    <w:r>
      <w:fldChar w:fldCharType="separate"/>
    </w:r>
    <w:r w:rsidR="0069653E">
      <w:rPr>
        <w:noProof/>
      </w:rPr>
      <w:t>P:\ESP\ITU-R\CONF-R\CMR15\200\204ADD01S.docx</w:t>
    </w:r>
    <w:r>
      <w:fldChar w:fldCharType="end"/>
    </w:r>
    <w:r w:rsidRPr="0069653E">
      <w:tab/>
    </w:r>
    <w:r>
      <w:fldChar w:fldCharType="begin"/>
    </w:r>
    <w:r>
      <w:instrText xml:space="preserve"> SAVEDATE \@ DD.MM.YY </w:instrText>
    </w:r>
    <w:r>
      <w:fldChar w:fldCharType="separate"/>
    </w:r>
    <w:r w:rsidR="0069653E">
      <w:rPr>
        <w:noProof/>
      </w:rPr>
      <w:t>06.11.15</w:t>
    </w:r>
    <w:r>
      <w:fldChar w:fldCharType="end"/>
    </w:r>
    <w:r w:rsidRPr="0069653E">
      <w:tab/>
    </w:r>
    <w:r>
      <w:fldChar w:fldCharType="begin"/>
    </w:r>
    <w:r>
      <w:instrText xml:space="preserve"> PRINTDATE \@ DD.MM.YY </w:instrText>
    </w:r>
    <w:r>
      <w:fldChar w:fldCharType="separate"/>
    </w:r>
    <w:r w:rsidR="0069653E">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36" w:rsidRDefault="00742699">
    <w:pPr>
      <w:pStyle w:val="Footer"/>
    </w:pPr>
    <w:r>
      <w:fldChar w:fldCharType="begin"/>
    </w:r>
    <w:r>
      <w:instrText xml:space="preserve"> FILENAME \p  \* MERGEFORMAT </w:instrText>
    </w:r>
    <w:r>
      <w:fldChar w:fldCharType="separate"/>
    </w:r>
    <w:r w:rsidR="0069653E">
      <w:t>P:\ESP\ITU-R\CONF-R\CMR15\200\204ADD01S.docx</w:t>
    </w:r>
    <w:r>
      <w:fldChar w:fldCharType="end"/>
    </w:r>
    <w:r w:rsidR="007A0236">
      <w:t xml:space="preserve"> (389826)</w:t>
    </w:r>
    <w:r w:rsidR="007A0236">
      <w:tab/>
    </w:r>
    <w:r w:rsidR="007A0236">
      <w:fldChar w:fldCharType="begin"/>
    </w:r>
    <w:r w:rsidR="007A0236">
      <w:instrText xml:space="preserve"> SAVEDATE \@ DD.MM.YY </w:instrText>
    </w:r>
    <w:r w:rsidR="007A0236">
      <w:fldChar w:fldCharType="separate"/>
    </w:r>
    <w:r w:rsidR="0069653E">
      <w:t>06.11.15</w:t>
    </w:r>
    <w:r w:rsidR="007A0236">
      <w:fldChar w:fldCharType="end"/>
    </w:r>
    <w:r w:rsidR="007A0236">
      <w:tab/>
    </w:r>
    <w:r w:rsidR="007A0236">
      <w:fldChar w:fldCharType="begin"/>
    </w:r>
    <w:r w:rsidR="007A0236">
      <w:instrText xml:space="preserve"> PRINTDATE \@ DD.MM.YY </w:instrText>
    </w:r>
    <w:r w:rsidR="007A0236">
      <w:fldChar w:fldCharType="separate"/>
    </w:r>
    <w:r w:rsidR="0069653E">
      <w:t>06.11.15</w:t>
    </w:r>
    <w:r w:rsidR="007A023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236" w:rsidRDefault="007A0236" w:rsidP="007A0236">
    <w:pPr>
      <w:pStyle w:val="Footer"/>
    </w:pPr>
    <w:fldSimple w:instr=" FILENAME \p  \* MERGEFORMAT ">
      <w:r w:rsidR="0069653E">
        <w:t>P:\ESP\ITU-R\CONF-R\CMR15\200\204ADD01S.docx</w:t>
      </w:r>
    </w:fldSimple>
    <w:r>
      <w:t xml:space="preserve"> (389826)</w:t>
    </w:r>
    <w:r>
      <w:tab/>
    </w:r>
    <w:r>
      <w:fldChar w:fldCharType="begin"/>
    </w:r>
    <w:r>
      <w:instrText xml:space="preserve"> SAVEDATE \@ DD.MM.YY </w:instrText>
    </w:r>
    <w:r>
      <w:fldChar w:fldCharType="separate"/>
    </w:r>
    <w:r w:rsidR="0069653E">
      <w:t>06.11.15</w:t>
    </w:r>
    <w:r>
      <w:fldChar w:fldCharType="end"/>
    </w:r>
    <w:r>
      <w:tab/>
    </w:r>
    <w:r>
      <w:fldChar w:fldCharType="begin"/>
    </w:r>
    <w:r>
      <w:instrText xml:space="preserve"> PRINTDATE \@ DD.MM.YY </w:instrText>
    </w:r>
    <w:r>
      <w:fldChar w:fldCharType="separate"/>
    </w:r>
    <w:r w:rsidR="0069653E">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42699">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204(Add.1)-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C7A0E"/>
    <w:rsid w:val="001E2B52"/>
    <w:rsid w:val="001E3F27"/>
    <w:rsid w:val="00236D2A"/>
    <w:rsid w:val="00255F12"/>
    <w:rsid w:val="00262C09"/>
    <w:rsid w:val="002A791F"/>
    <w:rsid w:val="002C1B26"/>
    <w:rsid w:val="002C5D6C"/>
    <w:rsid w:val="002C5ED6"/>
    <w:rsid w:val="002E701F"/>
    <w:rsid w:val="003248A9"/>
    <w:rsid w:val="00324FFA"/>
    <w:rsid w:val="0032680B"/>
    <w:rsid w:val="00363A65"/>
    <w:rsid w:val="00390297"/>
    <w:rsid w:val="003B1E8C"/>
    <w:rsid w:val="003C2508"/>
    <w:rsid w:val="003D0AA3"/>
    <w:rsid w:val="00440B3A"/>
    <w:rsid w:val="0045384C"/>
    <w:rsid w:val="00454553"/>
    <w:rsid w:val="004B124A"/>
    <w:rsid w:val="004B3095"/>
    <w:rsid w:val="005011E7"/>
    <w:rsid w:val="005133B5"/>
    <w:rsid w:val="00532097"/>
    <w:rsid w:val="0058350F"/>
    <w:rsid w:val="00583C7E"/>
    <w:rsid w:val="005D46FB"/>
    <w:rsid w:val="005F2605"/>
    <w:rsid w:val="005F3B0E"/>
    <w:rsid w:val="005F46FC"/>
    <w:rsid w:val="005F559C"/>
    <w:rsid w:val="0060244B"/>
    <w:rsid w:val="00606C34"/>
    <w:rsid w:val="00662BA0"/>
    <w:rsid w:val="00692AAE"/>
    <w:rsid w:val="0069653E"/>
    <w:rsid w:val="006D6E67"/>
    <w:rsid w:val="006E1A13"/>
    <w:rsid w:val="00701C20"/>
    <w:rsid w:val="00702F3D"/>
    <w:rsid w:val="0070518E"/>
    <w:rsid w:val="0073058A"/>
    <w:rsid w:val="007354E9"/>
    <w:rsid w:val="00742699"/>
    <w:rsid w:val="00765578"/>
    <w:rsid w:val="0077084A"/>
    <w:rsid w:val="0079451C"/>
    <w:rsid w:val="007952C7"/>
    <w:rsid w:val="007A0236"/>
    <w:rsid w:val="007C0B95"/>
    <w:rsid w:val="007C2317"/>
    <w:rsid w:val="007D330A"/>
    <w:rsid w:val="00854444"/>
    <w:rsid w:val="00866AE6"/>
    <w:rsid w:val="008750A8"/>
    <w:rsid w:val="008A6349"/>
    <w:rsid w:val="008C5EB4"/>
    <w:rsid w:val="008E5AF2"/>
    <w:rsid w:val="0090121B"/>
    <w:rsid w:val="009144C9"/>
    <w:rsid w:val="0092373C"/>
    <w:rsid w:val="0094091F"/>
    <w:rsid w:val="00973754"/>
    <w:rsid w:val="009C0BED"/>
    <w:rsid w:val="009E11EC"/>
    <w:rsid w:val="00A118DB"/>
    <w:rsid w:val="00A4450C"/>
    <w:rsid w:val="00A83CBF"/>
    <w:rsid w:val="00AA5E6C"/>
    <w:rsid w:val="00AE5677"/>
    <w:rsid w:val="00AE658F"/>
    <w:rsid w:val="00AF2F78"/>
    <w:rsid w:val="00B1160B"/>
    <w:rsid w:val="00B239FA"/>
    <w:rsid w:val="00B2797C"/>
    <w:rsid w:val="00B52D55"/>
    <w:rsid w:val="00B8288C"/>
    <w:rsid w:val="00B96EFE"/>
    <w:rsid w:val="00BE2E80"/>
    <w:rsid w:val="00BE5EDD"/>
    <w:rsid w:val="00BE6A1F"/>
    <w:rsid w:val="00BF7A29"/>
    <w:rsid w:val="00C0678B"/>
    <w:rsid w:val="00C126C4"/>
    <w:rsid w:val="00C63EB5"/>
    <w:rsid w:val="00CC01E0"/>
    <w:rsid w:val="00CD4B10"/>
    <w:rsid w:val="00CD5FEE"/>
    <w:rsid w:val="00CE60D2"/>
    <w:rsid w:val="00CE7431"/>
    <w:rsid w:val="00D0288A"/>
    <w:rsid w:val="00D05C75"/>
    <w:rsid w:val="00D675BE"/>
    <w:rsid w:val="00D72A5D"/>
    <w:rsid w:val="00DC629B"/>
    <w:rsid w:val="00E05BFF"/>
    <w:rsid w:val="00E262F1"/>
    <w:rsid w:val="00E3176A"/>
    <w:rsid w:val="00E54754"/>
    <w:rsid w:val="00E56BD3"/>
    <w:rsid w:val="00E71D14"/>
    <w:rsid w:val="00EA77F0"/>
    <w:rsid w:val="00F545C9"/>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E53D33-0246-48A8-ADD2-29783452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Revision">
    <w:name w:val="Revision"/>
    <w:hidden/>
    <w:uiPriority w:val="99"/>
    <w:semiHidden/>
    <w:rsid w:val="0069653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R15-WRC15-C-0204!A1!MSW-S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17F70970-9F44-4E99-97DB-B31E63FD5AF4}">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32a1a8c5-2265-4ebc-b7a0-2071e2c5c9bb"/>
    <ds:schemaRef ds:uri="996b2e75-67fd-4955-a3b0-5ab9934cb50b"/>
    <ds:schemaRef ds:uri="http://www.w3.org/XML/1998/namespace"/>
  </ds:schemaRefs>
</ds:datastoreItem>
</file>

<file path=customXml/itemProps5.xml><?xml version="1.0" encoding="utf-8"?>
<ds:datastoreItem xmlns:ds="http://schemas.openxmlformats.org/officeDocument/2006/customXml" ds:itemID="{7D8B0367-0ED1-4899-B572-5C6674A1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644</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R15-WRC15-C-0204!A1!MSW-S</vt:lpstr>
    </vt:vector>
  </TitlesOfParts>
  <Manager>Secretaría General - Pool</Manager>
  <Company>Unión Internacional de Telecomunicaciones (UIT)</Company>
  <LinksUpToDate>false</LinksUpToDate>
  <CharactersWithSpaces>4241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R15-WRC15-C-0204!A1!MSW-S</dc:title>
  <dc:subject>Conferencia Mundial de Radiocomunicaciones - 2015</dc:subject>
  <dc:creator>Documents Proposals Manager (DPM)</dc:creator>
  <cp:keywords>DPM_v5.2015.11.61_prod</cp:keywords>
  <dc:description/>
  <cp:lastModifiedBy>Saez Grau, Ricardo</cp:lastModifiedBy>
  <cp:revision>25</cp:revision>
  <cp:lastPrinted>2015-11-06T22:35:00Z</cp:lastPrinted>
  <dcterms:created xsi:type="dcterms:W3CDTF">2015-11-06T21:47:00Z</dcterms:created>
  <dcterms:modified xsi:type="dcterms:W3CDTF">2015-11-06T22:41:00Z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