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7D1B32" w:rsidTr="0050008E">
        <w:trPr>
          <w:cantSplit/>
        </w:trPr>
        <w:tc>
          <w:tcPr>
            <w:tcW w:w="6911" w:type="dxa"/>
          </w:tcPr>
          <w:p w:rsidR="0090121B" w:rsidRPr="007D1B32" w:rsidRDefault="005D46FB" w:rsidP="0002785D">
            <w:pPr>
              <w:spacing w:before="400" w:after="48" w:line="240" w:lineRule="atLeast"/>
              <w:rPr>
                <w:rFonts w:ascii="Verdana" w:hAnsi="Verdana"/>
                <w:position w:val="6"/>
              </w:rPr>
            </w:pPr>
            <w:r w:rsidRPr="007D1B32">
              <w:rPr>
                <w:rFonts w:ascii="Verdana" w:hAnsi="Verdana" w:cs="Times"/>
                <w:b/>
                <w:position w:val="6"/>
                <w:sz w:val="20"/>
              </w:rPr>
              <w:t>Conferencia Mundial de Radiocomunicaciones (CMR-15)</w:t>
            </w:r>
            <w:r w:rsidRPr="007D1B32">
              <w:rPr>
                <w:rFonts w:ascii="Verdana" w:hAnsi="Verdana" w:cs="Times"/>
                <w:b/>
                <w:position w:val="6"/>
                <w:sz w:val="20"/>
              </w:rPr>
              <w:br/>
            </w:r>
            <w:r w:rsidRPr="007D1B32">
              <w:rPr>
                <w:rFonts w:ascii="Verdana" w:hAnsi="Verdana"/>
                <w:b/>
                <w:bCs/>
                <w:position w:val="6"/>
                <w:sz w:val="18"/>
                <w:szCs w:val="18"/>
              </w:rPr>
              <w:t>Ginebra, 2-27 de noviembre de 2015</w:t>
            </w:r>
          </w:p>
        </w:tc>
        <w:tc>
          <w:tcPr>
            <w:tcW w:w="3120" w:type="dxa"/>
          </w:tcPr>
          <w:p w:rsidR="0090121B" w:rsidRPr="007D1B32" w:rsidRDefault="00CE7431" w:rsidP="00CE7431">
            <w:pPr>
              <w:spacing w:before="0" w:line="240" w:lineRule="atLeast"/>
              <w:jc w:val="right"/>
            </w:pPr>
            <w:bookmarkStart w:id="0" w:name="ditulogo"/>
            <w:bookmarkEnd w:id="0"/>
            <w:r w:rsidRPr="007D1B32">
              <w:rPr>
                <w:noProof/>
                <w:lang w:eastAsia="zh-CN"/>
              </w:rPr>
              <w:drawing>
                <wp:inline distT="0" distB="0" distL="0" distR="0" wp14:anchorId="666D0C53" wp14:editId="007EAC5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7D1B32" w:rsidTr="0050008E">
        <w:trPr>
          <w:cantSplit/>
        </w:trPr>
        <w:tc>
          <w:tcPr>
            <w:tcW w:w="6911" w:type="dxa"/>
            <w:tcBorders>
              <w:bottom w:val="single" w:sz="12" w:space="0" w:color="auto"/>
            </w:tcBorders>
          </w:tcPr>
          <w:p w:rsidR="0090121B" w:rsidRPr="007D1B32" w:rsidRDefault="00CE7431" w:rsidP="0090121B">
            <w:pPr>
              <w:spacing w:before="0" w:after="48" w:line="240" w:lineRule="atLeast"/>
              <w:rPr>
                <w:b/>
                <w:smallCaps/>
                <w:szCs w:val="24"/>
              </w:rPr>
            </w:pPr>
            <w:bookmarkStart w:id="1" w:name="dhead"/>
            <w:r w:rsidRPr="007D1B32">
              <w:rPr>
                <w:rFonts w:ascii="Verdana" w:hAnsi="Verdana"/>
                <w:b/>
                <w:smallCaps/>
                <w:sz w:val="20"/>
              </w:rPr>
              <w:t>UNIÓN INTERNACIONAL DE TELECOMUNICACIONES</w:t>
            </w:r>
          </w:p>
        </w:tc>
        <w:tc>
          <w:tcPr>
            <w:tcW w:w="3120" w:type="dxa"/>
            <w:tcBorders>
              <w:bottom w:val="single" w:sz="12" w:space="0" w:color="auto"/>
            </w:tcBorders>
          </w:tcPr>
          <w:p w:rsidR="0090121B" w:rsidRPr="007D1B32" w:rsidRDefault="0090121B" w:rsidP="0090121B">
            <w:pPr>
              <w:spacing w:before="0" w:line="240" w:lineRule="atLeast"/>
              <w:rPr>
                <w:rFonts w:ascii="Verdana" w:hAnsi="Verdana"/>
                <w:szCs w:val="24"/>
              </w:rPr>
            </w:pPr>
          </w:p>
        </w:tc>
      </w:tr>
      <w:tr w:rsidR="0090121B" w:rsidRPr="007D1B32" w:rsidTr="0090121B">
        <w:trPr>
          <w:cantSplit/>
        </w:trPr>
        <w:tc>
          <w:tcPr>
            <w:tcW w:w="6911" w:type="dxa"/>
            <w:tcBorders>
              <w:top w:val="single" w:sz="12" w:space="0" w:color="auto"/>
            </w:tcBorders>
          </w:tcPr>
          <w:p w:rsidR="0090121B" w:rsidRPr="007D1B32"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7D1B32" w:rsidRDefault="0090121B" w:rsidP="0090121B">
            <w:pPr>
              <w:spacing w:before="0" w:line="240" w:lineRule="atLeast"/>
              <w:rPr>
                <w:rFonts w:ascii="Verdana" w:hAnsi="Verdana"/>
                <w:sz w:val="20"/>
              </w:rPr>
            </w:pPr>
          </w:p>
        </w:tc>
      </w:tr>
      <w:tr w:rsidR="0090121B" w:rsidRPr="007D1B32" w:rsidTr="0090121B">
        <w:trPr>
          <w:cantSplit/>
        </w:trPr>
        <w:tc>
          <w:tcPr>
            <w:tcW w:w="6911" w:type="dxa"/>
            <w:shd w:val="clear" w:color="auto" w:fill="auto"/>
          </w:tcPr>
          <w:p w:rsidR="0090121B" w:rsidRPr="007D1B32" w:rsidRDefault="006417BA" w:rsidP="00E533AD">
            <w:pPr>
              <w:pStyle w:val="Committee"/>
              <w:framePr w:hSpace="0" w:wrap="auto" w:hAnchor="text" w:yAlign="inline"/>
            </w:pPr>
            <w:r w:rsidRPr="00E533AD">
              <w:rPr>
                <w:rFonts w:ascii="Verdana" w:hAnsi="Verdana"/>
                <w:sz w:val="20"/>
                <w:szCs w:val="20"/>
              </w:rPr>
              <w:t xml:space="preserve">COMISIÓN </w:t>
            </w:r>
            <w:r w:rsidR="00AE658F" w:rsidRPr="00E533AD">
              <w:rPr>
                <w:rFonts w:ascii="Verdana" w:hAnsi="Verdana"/>
                <w:sz w:val="20"/>
                <w:szCs w:val="20"/>
              </w:rPr>
              <w:t>6</w:t>
            </w:r>
          </w:p>
        </w:tc>
        <w:tc>
          <w:tcPr>
            <w:tcW w:w="3120" w:type="dxa"/>
            <w:shd w:val="clear" w:color="auto" w:fill="auto"/>
          </w:tcPr>
          <w:p w:rsidR="0090121B" w:rsidRPr="007D1B32" w:rsidRDefault="00066206" w:rsidP="00066206">
            <w:pPr>
              <w:spacing w:before="0"/>
              <w:rPr>
                <w:rFonts w:ascii="Verdana" w:hAnsi="Verdana"/>
                <w:sz w:val="20"/>
              </w:rPr>
            </w:pPr>
            <w:r w:rsidRPr="007D1B32">
              <w:rPr>
                <w:rFonts w:ascii="Verdana" w:eastAsia="SimSun" w:hAnsi="Verdana" w:cs="Traditional Arabic"/>
                <w:b/>
                <w:sz w:val="20"/>
              </w:rPr>
              <w:t>Revisión al</w:t>
            </w:r>
            <w:r w:rsidRPr="007D1B32">
              <w:rPr>
                <w:rFonts w:ascii="Verdana" w:eastAsia="SimSun" w:hAnsi="Verdana" w:cs="Traditional Arabic"/>
                <w:b/>
                <w:sz w:val="20"/>
              </w:rPr>
              <w:br/>
            </w:r>
            <w:r w:rsidR="00AE658F" w:rsidRPr="007D1B32">
              <w:rPr>
                <w:rFonts w:ascii="Verdana" w:eastAsia="SimSun" w:hAnsi="Verdana" w:cs="Traditional Arabic"/>
                <w:b/>
                <w:sz w:val="20"/>
              </w:rPr>
              <w:t>Documento 205</w:t>
            </w:r>
            <w:r w:rsidR="0090121B" w:rsidRPr="007D1B32">
              <w:rPr>
                <w:rFonts w:ascii="Verdana" w:hAnsi="Verdana"/>
                <w:b/>
                <w:sz w:val="20"/>
              </w:rPr>
              <w:t>-</w:t>
            </w:r>
            <w:r w:rsidR="00AE658F" w:rsidRPr="007D1B32">
              <w:rPr>
                <w:rFonts w:ascii="Verdana" w:hAnsi="Verdana"/>
                <w:b/>
                <w:sz w:val="20"/>
              </w:rPr>
              <w:t>S</w:t>
            </w:r>
          </w:p>
        </w:tc>
      </w:tr>
      <w:bookmarkEnd w:id="1"/>
      <w:tr w:rsidR="000A5B9A" w:rsidRPr="007D1B32" w:rsidTr="0090121B">
        <w:trPr>
          <w:cantSplit/>
        </w:trPr>
        <w:tc>
          <w:tcPr>
            <w:tcW w:w="6911" w:type="dxa"/>
            <w:shd w:val="clear" w:color="auto" w:fill="auto"/>
          </w:tcPr>
          <w:p w:rsidR="000A5B9A" w:rsidRPr="007D1B32" w:rsidRDefault="000A5B9A" w:rsidP="0045384C">
            <w:pPr>
              <w:spacing w:before="0" w:after="48"/>
              <w:rPr>
                <w:rFonts w:ascii="Verdana" w:hAnsi="Verdana"/>
                <w:b/>
                <w:smallCaps/>
                <w:sz w:val="20"/>
              </w:rPr>
            </w:pPr>
          </w:p>
        </w:tc>
        <w:tc>
          <w:tcPr>
            <w:tcW w:w="3120" w:type="dxa"/>
            <w:shd w:val="clear" w:color="auto" w:fill="auto"/>
          </w:tcPr>
          <w:p w:rsidR="000A5B9A" w:rsidRPr="007D1B32" w:rsidRDefault="00066206" w:rsidP="0045384C">
            <w:pPr>
              <w:spacing w:before="0"/>
              <w:rPr>
                <w:rFonts w:ascii="Verdana" w:hAnsi="Verdana"/>
                <w:b/>
                <w:sz w:val="20"/>
              </w:rPr>
            </w:pPr>
            <w:r w:rsidRPr="007D1B32">
              <w:rPr>
                <w:rFonts w:ascii="Verdana" w:hAnsi="Verdana"/>
                <w:b/>
                <w:sz w:val="20"/>
              </w:rPr>
              <w:t>12</w:t>
            </w:r>
            <w:r w:rsidR="000A5B9A" w:rsidRPr="007D1B32">
              <w:rPr>
                <w:rFonts w:ascii="Verdana" w:hAnsi="Verdana"/>
                <w:b/>
                <w:sz w:val="20"/>
              </w:rPr>
              <w:t xml:space="preserve"> de noviembre de 2015</w:t>
            </w:r>
          </w:p>
        </w:tc>
      </w:tr>
      <w:tr w:rsidR="000A5B9A" w:rsidRPr="007D1B32" w:rsidTr="0090121B">
        <w:trPr>
          <w:cantSplit/>
        </w:trPr>
        <w:tc>
          <w:tcPr>
            <w:tcW w:w="6911" w:type="dxa"/>
          </w:tcPr>
          <w:p w:rsidR="000A5B9A" w:rsidRPr="007D1B32" w:rsidRDefault="000A5B9A" w:rsidP="0045384C">
            <w:pPr>
              <w:spacing w:before="0" w:after="48"/>
              <w:rPr>
                <w:rFonts w:ascii="Verdana" w:hAnsi="Verdana"/>
                <w:b/>
                <w:smallCaps/>
                <w:sz w:val="20"/>
              </w:rPr>
            </w:pPr>
          </w:p>
        </w:tc>
        <w:tc>
          <w:tcPr>
            <w:tcW w:w="3120" w:type="dxa"/>
          </w:tcPr>
          <w:p w:rsidR="000A5B9A" w:rsidRPr="007D1B32" w:rsidRDefault="000A5B9A" w:rsidP="0045384C">
            <w:pPr>
              <w:spacing w:before="0"/>
              <w:rPr>
                <w:rFonts w:ascii="Verdana" w:hAnsi="Verdana"/>
                <w:b/>
                <w:sz w:val="20"/>
              </w:rPr>
            </w:pPr>
            <w:r w:rsidRPr="007D1B32">
              <w:rPr>
                <w:rFonts w:ascii="Verdana" w:hAnsi="Verdana"/>
                <w:b/>
                <w:sz w:val="20"/>
              </w:rPr>
              <w:t>Original: inglés</w:t>
            </w:r>
          </w:p>
        </w:tc>
      </w:tr>
      <w:tr w:rsidR="000A5B9A" w:rsidRPr="007D1B32" w:rsidTr="006744FC">
        <w:trPr>
          <w:cantSplit/>
        </w:trPr>
        <w:tc>
          <w:tcPr>
            <w:tcW w:w="10031" w:type="dxa"/>
            <w:gridSpan w:val="2"/>
          </w:tcPr>
          <w:p w:rsidR="000A5B9A" w:rsidRPr="007D1B32" w:rsidRDefault="000A5B9A" w:rsidP="0045384C">
            <w:pPr>
              <w:spacing w:before="0"/>
              <w:rPr>
                <w:rFonts w:ascii="Verdana" w:hAnsi="Verdana"/>
                <w:b/>
                <w:sz w:val="20"/>
              </w:rPr>
            </w:pPr>
          </w:p>
        </w:tc>
      </w:tr>
      <w:tr w:rsidR="000A5B9A" w:rsidRPr="007D1B32" w:rsidTr="0050008E">
        <w:trPr>
          <w:cantSplit/>
        </w:trPr>
        <w:tc>
          <w:tcPr>
            <w:tcW w:w="10031" w:type="dxa"/>
            <w:gridSpan w:val="2"/>
          </w:tcPr>
          <w:p w:rsidR="000A5B9A" w:rsidRPr="007D1B32" w:rsidRDefault="000A5B9A" w:rsidP="000A5B9A">
            <w:pPr>
              <w:pStyle w:val="Source"/>
            </w:pPr>
            <w:bookmarkStart w:id="2" w:name="dsource" w:colFirst="0" w:colLast="0"/>
            <w:r w:rsidRPr="007D1B32">
              <w:t>Kenya (República de)</w:t>
            </w:r>
          </w:p>
        </w:tc>
      </w:tr>
      <w:tr w:rsidR="000A5B9A" w:rsidRPr="007D1B32" w:rsidTr="0050008E">
        <w:trPr>
          <w:cantSplit/>
        </w:trPr>
        <w:tc>
          <w:tcPr>
            <w:tcW w:w="10031" w:type="dxa"/>
            <w:gridSpan w:val="2"/>
          </w:tcPr>
          <w:p w:rsidR="000A5B9A" w:rsidRPr="007D1B32" w:rsidRDefault="006417BA" w:rsidP="000A5B9A">
            <w:pPr>
              <w:pStyle w:val="Title1"/>
            </w:pPr>
            <w:bookmarkStart w:id="3" w:name="dtitle1" w:colFirst="0" w:colLast="0"/>
            <w:bookmarkEnd w:id="2"/>
            <w:r w:rsidRPr="007D1B32">
              <w:t>propuestas para los trabajos de la conferencia</w:t>
            </w:r>
          </w:p>
        </w:tc>
      </w:tr>
      <w:tr w:rsidR="000A5B9A" w:rsidRPr="007D1B32" w:rsidTr="0050008E">
        <w:trPr>
          <w:cantSplit/>
        </w:trPr>
        <w:tc>
          <w:tcPr>
            <w:tcW w:w="10031" w:type="dxa"/>
            <w:gridSpan w:val="2"/>
          </w:tcPr>
          <w:p w:rsidR="000A5B9A" w:rsidRPr="007D1B32" w:rsidRDefault="000A5B9A" w:rsidP="000A5B9A">
            <w:pPr>
              <w:pStyle w:val="Title2"/>
            </w:pPr>
            <w:bookmarkStart w:id="4" w:name="dtitle2" w:colFirst="0" w:colLast="0"/>
            <w:bookmarkEnd w:id="3"/>
          </w:p>
        </w:tc>
      </w:tr>
      <w:tr w:rsidR="000A5B9A" w:rsidRPr="007D1B32" w:rsidTr="0050008E">
        <w:trPr>
          <w:cantSplit/>
        </w:trPr>
        <w:tc>
          <w:tcPr>
            <w:tcW w:w="10031" w:type="dxa"/>
            <w:gridSpan w:val="2"/>
          </w:tcPr>
          <w:p w:rsidR="000A5B9A" w:rsidRPr="007D1B32" w:rsidRDefault="00360541" w:rsidP="000A5B9A">
            <w:pPr>
              <w:pStyle w:val="Agendaitem"/>
            </w:pPr>
            <w:bookmarkStart w:id="5" w:name="dtitle3" w:colFirst="0" w:colLast="0"/>
            <w:bookmarkEnd w:id="4"/>
            <w:r w:rsidRPr="007D1B32">
              <w:t>Punto 1.1 del orden del día</w:t>
            </w:r>
          </w:p>
        </w:tc>
      </w:tr>
    </w:tbl>
    <w:bookmarkEnd w:id="5"/>
    <w:p w:rsidR="001C0E40" w:rsidRPr="007D1B32" w:rsidRDefault="00360541" w:rsidP="00791BED">
      <w:r w:rsidRPr="007D1B32">
        <w:t>8</w:t>
      </w:r>
      <w:r w:rsidRPr="007D1B32">
        <w:tab/>
      </w:r>
      <w:r w:rsidRPr="007D1B32">
        <w:rPr>
          <w:color w:val="000000"/>
        </w:rPr>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7D1B32">
        <w:rPr>
          <w:b/>
          <w:bCs/>
          <w:color w:val="000000"/>
        </w:rPr>
        <w:t>223 (CMR-12)</w:t>
      </w:r>
      <w:r w:rsidRPr="007D1B32">
        <w:t>;</w:t>
      </w:r>
    </w:p>
    <w:p w:rsidR="00360541" w:rsidRPr="007D1B32" w:rsidRDefault="00360541" w:rsidP="00E533AD">
      <w:pPr>
        <w:pStyle w:val="Headingb"/>
      </w:pPr>
      <w:r w:rsidRPr="007D1B32">
        <w:t>Propuesta</w:t>
      </w:r>
    </w:p>
    <w:p w:rsidR="008750A8" w:rsidRPr="007D1B32" w:rsidRDefault="008750A8" w:rsidP="008750A8">
      <w:pPr>
        <w:tabs>
          <w:tab w:val="clear" w:pos="1134"/>
          <w:tab w:val="clear" w:pos="1871"/>
          <w:tab w:val="clear" w:pos="2268"/>
        </w:tabs>
        <w:overflowPunct/>
        <w:autoSpaceDE/>
        <w:autoSpaceDN/>
        <w:adjustRightInd/>
        <w:spacing w:before="0"/>
        <w:textAlignment w:val="auto"/>
      </w:pPr>
      <w:r w:rsidRPr="007D1B32">
        <w:br w:type="page"/>
      </w:r>
    </w:p>
    <w:p w:rsidR="00F008F3" w:rsidRPr="007D1B32" w:rsidRDefault="00901C01" w:rsidP="00D44B91">
      <w:pPr>
        <w:pStyle w:val="ArtNo"/>
      </w:pPr>
      <w:r w:rsidRPr="007D1B32">
        <w:lastRenderedPageBreak/>
        <w:t xml:space="preserve">ARTÍCULO </w:t>
      </w:r>
      <w:r w:rsidRPr="007D1B32">
        <w:rPr>
          <w:rStyle w:val="href"/>
        </w:rPr>
        <w:t>5</w:t>
      </w:r>
    </w:p>
    <w:p w:rsidR="00F008F3" w:rsidRPr="007D1B32" w:rsidRDefault="00901C01" w:rsidP="00D44B91">
      <w:pPr>
        <w:pStyle w:val="Arttitle"/>
      </w:pPr>
      <w:r w:rsidRPr="007D1B32">
        <w:t>Atribuciones de frecuencia</w:t>
      </w:r>
    </w:p>
    <w:p w:rsidR="00F008F3" w:rsidRPr="007D1B32" w:rsidRDefault="00901C01" w:rsidP="00417F4D">
      <w:pPr>
        <w:pStyle w:val="Section1"/>
      </w:pPr>
      <w:r w:rsidRPr="007D1B32">
        <w:t>Sección IV – Cuadro de atribución de bandas de frecuencias</w:t>
      </w:r>
      <w:r w:rsidRPr="007D1B32">
        <w:br/>
      </w:r>
      <w:r w:rsidRPr="007D1B32">
        <w:rPr>
          <w:b w:val="0"/>
          <w:bCs/>
        </w:rPr>
        <w:t>(Véase el número</w:t>
      </w:r>
      <w:r w:rsidRPr="007D1B32">
        <w:t xml:space="preserve"> </w:t>
      </w:r>
      <w:r w:rsidRPr="007D1B32">
        <w:rPr>
          <w:rStyle w:val="Artref"/>
        </w:rPr>
        <w:t>2.1</w:t>
      </w:r>
      <w:r w:rsidRPr="007D1B32">
        <w:rPr>
          <w:b w:val="0"/>
          <w:bCs/>
        </w:rPr>
        <w:t>)</w:t>
      </w:r>
      <w:r w:rsidR="00CD7E93">
        <w:rPr>
          <w:b w:val="0"/>
          <w:bCs/>
        </w:rPr>
        <w:br/>
      </w:r>
      <w:r w:rsidRPr="007D1B32">
        <w:br/>
      </w:r>
    </w:p>
    <w:p w:rsidR="004A78EF" w:rsidRPr="007D1B32" w:rsidRDefault="00901C01">
      <w:pPr>
        <w:pStyle w:val="Proposal"/>
      </w:pPr>
      <w:r w:rsidRPr="007D1B32">
        <w:t>MOD</w:t>
      </w:r>
      <w:r w:rsidRPr="007D1B32">
        <w:tab/>
        <w:t>KEN/205/1</w:t>
      </w:r>
    </w:p>
    <w:p w:rsidR="00763D39" w:rsidRPr="007D1B32" w:rsidRDefault="00901C01" w:rsidP="00AB7A15">
      <w:pPr>
        <w:pStyle w:val="Note"/>
      </w:pPr>
      <w:r w:rsidRPr="00AB7A15">
        <w:rPr>
          <w:rStyle w:val="Artdef"/>
        </w:rPr>
        <w:t>5.430A</w:t>
      </w:r>
      <w:r w:rsidRPr="007D1B32">
        <w:rPr>
          <w:b/>
          <w:bCs/>
        </w:rPr>
        <w:tab/>
      </w:r>
      <w:r w:rsidRPr="007D1B32">
        <w:rPr>
          <w:i/>
          <w:iCs/>
        </w:rPr>
        <w:t>Categoría de servicio diferente:</w:t>
      </w:r>
      <w:r w:rsidRPr="007D1B32">
        <w:t xml:space="preserve">  en Albania, Argelia, Alemania, Andorra, Arabia Saudita, Austria, Azerbaiyán, Bahrein, Bélgica, Benin, Bosnia y Herzegovina, Botswana, Bulgaria, Burkina Faso, </w:t>
      </w:r>
      <w:r w:rsidRPr="007D1B32">
        <w:rPr>
          <w:color w:val="000000"/>
        </w:rPr>
        <w:t>Camerún</w:t>
      </w:r>
      <w:r w:rsidRPr="007D1B32">
        <w:t xml:space="preserve">, Chipre, Vaticano, Congo (Rep. del), Côte d'Ivoire, Croacia, Dinamarca, Egipto, España, Estonia, Finlandia, Francia y Departamentos y colectividades franceses de Ultramar de la Región 1, Gabón, Georgia, Grecia, Guinea, Hungría, Irlanda, Islandia, Israel, Italia, Jordania, </w:t>
      </w:r>
      <w:ins w:id="6" w:author="Spanish" w:date="2015-11-06T21:02:00Z">
        <w:r w:rsidR="005E76AC" w:rsidRPr="007D1B32">
          <w:t xml:space="preserve">Kenya, </w:t>
        </w:r>
      </w:ins>
      <w:r w:rsidRPr="007D1B32">
        <w:t>Kuwait, Lesotho, Letonia, la ex Rep. Yugoslava de Macedonia, Liechtenstein, Lituania, Malawi, Malí, Malta, Marruecos, Mauritania, Moldova, Mónaco, Mongolia, Montenegro, Mozambique, Namibia, Níger, Noruega, Omán, Países Bajos, Polonia, Portugal, Qatar,</w:t>
      </w:r>
      <w:r w:rsidRPr="007D1B32">
        <w:rPr>
          <w:color w:val="000000"/>
        </w:rPr>
        <w:t xml:space="preserve"> República Árabe Siria,</w:t>
      </w:r>
      <w:r w:rsidRPr="007D1B32">
        <w:t xml:space="preserve"> Rep. Dem. del Congo, Eslovaquia, Rep. Checa, Rumania, Reino Unido, San Marino, Senegal, Serbia, Sierra Leona, Eslovenia, Sudafricana (Rep.), Suecia, Suiza, Swazilandia, Chad, Togo, Túnez, Turquía, Ucrania, Zambia y Zimbabwe, la banda 3</w:t>
      </w:r>
      <w:r w:rsidRPr="007D1B32">
        <w:rPr>
          <w:rFonts w:ascii="Tms Rmn" w:hAnsi="Tms Rmn" w:cs="Tms Rmn"/>
        </w:rPr>
        <w:t> </w:t>
      </w:r>
      <w:r w:rsidRPr="007D1B32">
        <w:t>400</w:t>
      </w:r>
      <w:r w:rsidRPr="007D1B32">
        <w:noBreakHyphen/>
        <w:t>3</w:t>
      </w:r>
      <w:r w:rsidRPr="007D1B32">
        <w:rPr>
          <w:rFonts w:ascii="Tms Rmn" w:hAnsi="Tms Rmn" w:cs="Tms Rmn"/>
        </w:rPr>
        <w:t> </w:t>
      </w:r>
      <w:r w:rsidRPr="007D1B32">
        <w:t>600 MHz está atribuida al servicio móvil, salvo móvil aeronáutico, a título primario, a reserva de obtener el acuerdo con otras administraciones de conformidad con el número </w:t>
      </w:r>
      <w:r w:rsidRPr="007D1B32">
        <w:rPr>
          <w:b/>
          <w:bCs/>
        </w:rPr>
        <w:t>9.21</w:t>
      </w:r>
      <w:r w:rsidRPr="007D1B32">
        <w:t>, y está identificada para las Telecomunicaciones Móviles Internacionales (IMT). Esta identificación no impide la utilización de esta banda por cualquier aplicación de los servicios a los que está atribuida, ni establece prioridad alguna en el Reglamento de Radiocomunicaciones. En la etapa de coordinación también se aplican las disposiciones de los números </w:t>
      </w:r>
      <w:r w:rsidRPr="007D1B32">
        <w:rPr>
          <w:b/>
          <w:bCs/>
        </w:rPr>
        <w:t>9.17</w:t>
      </w:r>
      <w:r w:rsidRPr="007D1B32">
        <w:t xml:space="preserve"> y </w:t>
      </w:r>
      <w:r w:rsidRPr="007D1B32">
        <w:rPr>
          <w:b/>
          <w:bCs/>
        </w:rPr>
        <w:t>9.18</w:t>
      </w:r>
      <w:r w:rsidRPr="007D1B32">
        <w:t xml:space="preserve">. Antes de que una administración ponga en servicio una estación (de base o móvil) del servicio móvil en esta banda, deberá garantizar que la densidad de flujo de potencia (dfp) producida a 3 m sobre el suelo no supera el valor de </w:t>
      </w:r>
      <w:r w:rsidRPr="007D1B32">
        <w:rPr>
          <w:rFonts w:ascii="Symbol" w:hAnsi="Symbol" w:cs="Symbol"/>
        </w:rPr>
        <w:t></w:t>
      </w:r>
      <w:r w:rsidRPr="007D1B32">
        <w:t>154,5 dB(W/(m</w:t>
      </w:r>
      <w:r w:rsidRPr="007D1B32">
        <w:rPr>
          <w:vertAlign w:val="superscript"/>
        </w:rPr>
        <w:t>2</w:t>
      </w:r>
      <w:r w:rsidRPr="007D1B32">
        <w:t> </w:t>
      </w:r>
      <w:r w:rsidRPr="007D1B32">
        <w:sym w:font="Symbol" w:char="F0D7"/>
      </w:r>
      <w:r w:rsidRPr="007D1B32">
        <w:t> 4 kHz)) durante más del 20% del tiempo en la frontera del territorio de cualquier otra administración. Este límite puede rebasarse en el territorio de cualquier país cuya administración así lo acepte. Para asegurar que se satisface el límite de dfp en la frontera del territorio de cualquier otra administración, deberán realizarse los cálculos y verificaciones correspondientes, teniendo en cuenta la información pertinente, con el acuerdo mutuo de ambas administraciones (administración responsable de la estación terrenal y administración responsable de la estación terrena), y con la asistencia de la Oficina si así se solicita. En caso de desacuerdo, el cálculo y la verificación de la dfp los realizará la Oficina, teniendo en cuenta la información antes indicada. Las estaciones del servicio móvil en la banda 3</w:t>
      </w:r>
      <w:r w:rsidRPr="007D1B32">
        <w:rPr>
          <w:rFonts w:ascii="Tms Rmn" w:hAnsi="Tms Rmn" w:cs="Tms Rmn"/>
        </w:rPr>
        <w:t> </w:t>
      </w:r>
      <w:r w:rsidRPr="007D1B32">
        <w:t>400</w:t>
      </w:r>
      <w:r w:rsidRPr="007D1B32">
        <w:noBreakHyphen/>
        <w:t>3</w:t>
      </w:r>
      <w:r w:rsidRPr="007D1B32">
        <w:rPr>
          <w:rFonts w:ascii="Tms Rmn" w:hAnsi="Tms Rmn" w:cs="Tms Rmn"/>
        </w:rPr>
        <w:t> </w:t>
      </w:r>
      <w:r w:rsidRPr="007D1B32">
        <w:t>600 MHz no reclamarán contra las estaciones espaciales más protección que la que figura en el Cuadro </w:t>
      </w:r>
      <w:r w:rsidRPr="007D1B32">
        <w:rPr>
          <w:b/>
          <w:bCs/>
        </w:rPr>
        <w:t>21</w:t>
      </w:r>
      <w:r w:rsidRPr="007D1B32">
        <w:rPr>
          <w:b/>
          <w:bCs/>
        </w:rPr>
        <w:noBreakHyphen/>
        <w:t>4</w:t>
      </w:r>
      <w:r w:rsidRPr="007D1B32">
        <w:t xml:space="preserve"> del Reglamento de Radiocomunicaciones (Edición de 2004). Esta atribución está en vigor desde el 17 de noviembre de 2010.</w:t>
      </w:r>
      <w:r w:rsidRPr="007D1B32">
        <w:rPr>
          <w:sz w:val="16"/>
          <w:szCs w:val="16"/>
        </w:rPr>
        <w:t>     </w:t>
      </w:r>
      <w:r w:rsidR="005E76AC" w:rsidRPr="007D1B32">
        <w:rPr>
          <w:sz w:val="16"/>
          <w:szCs w:val="16"/>
        </w:rPr>
        <w:t>(CMR</w:t>
      </w:r>
      <w:r w:rsidR="005E76AC" w:rsidRPr="007D1B32">
        <w:rPr>
          <w:sz w:val="16"/>
          <w:szCs w:val="16"/>
        </w:rPr>
        <w:noBreakHyphen/>
      </w:r>
      <w:del w:id="7" w:author="Spanish" w:date="2015-11-06T21:03:00Z">
        <w:r w:rsidR="005E76AC" w:rsidRPr="007D1B32" w:rsidDel="00F25E55">
          <w:rPr>
            <w:sz w:val="16"/>
            <w:szCs w:val="16"/>
          </w:rPr>
          <w:delText>12</w:delText>
        </w:r>
      </w:del>
      <w:ins w:id="8" w:author="Spanish" w:date="2015-11-06T21:03:00Z">
        <w:r w:rsidR="005E76AC" w:rsidRPr="007D1B32">
          <w:rPr>
            <w:sz w:val="16"/>
            <w:szCs w:val="16"/>
          </w:rPr>
          <w:t>15</w:t>
        </w:r>
      </w:ins>
      <w:r w:rsidR="005E76AC" w:rsidRPr="007D1B32">
        <w:rPr>
          <w:sz w:val="16"/>
          <w:szCs w:val="16"/>
        </w:rPr>
        <w:t>)</w:t>
      </w:r>
    </w:p>
    <w:p w:rsidR="00901C01" w:rsidRPr="007D1B32" w:rsidRDefault="00901C01" w:rsidP="00360541">
      <w:pPr>
        <w:pStyle w:val="Reasons"/>
      </w:pPr>
      <w:r w:rsidRPr="007D1B32">
        <w:rPr>
          <w:b/>
        </w:rPr>
        <w:t>Motivos:</w:t>
      </w:r>
      <w:r w:rsidRPr="007D1B32">
        <w:tab/>
      </w:r>
      <w:r w:rsidR="00360541" w:rsidRPr="007D1B32">
        <w:t xml:space="preserve">Añadir </w:t>
      </w:r>
      <w:r w:rsidR="00B22069">
        <w:t xml:space="preserve">a </w:t>
      </w:r>
      <w:bookmarkStart w:id="9" w:name="_GoBack"/>
      <w:bookmarkEnd w:id="9"/>
      <w:r w:rsidR="00360541" w:rsidRPr="007D1B32">
        <w:t>Kenya a la nota 5.430A.</w:t>
      </w:r>
    </w:p>
    <w:p w:rsidR="00360541" w:rsidRPr="007D1B32" w:rsidRDefault="00360541" w:rsidP="00360541">
      <w:pPr>
        <w:pStyle w:val="Reasons"/>
      </w:pPr>
    </w:p>
    <w:p w:rsidR="00901C01" w:rsidRPr="007D1B32" w:rsidRDefault="00901C01">
      <w:pPr>
        <w:jc w:val="center"/>
      </w:pPr>
      <w:r w:rsidRPr="007D1B32">
        <w:t>______________</w:t>
      </w:r>
    </w:p>
    <w:p w:rsidR="00901C01" w:rsidRDefault="00901C01">
      <w:pPr>
        <w:pStyle w:val="Reasons"/>
      </w:pPr>
    </w:p>
    <w:sectPr w:rsidR="00901C01">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095" w:rsidRDefault="004B3095">
      <w:r>
        <w:separator/>
      </w:r>
    </w:p>
  </w:endnote>
  <w:endnote w:type="continuationSeparator" w:id="0">
    <w:p w:rsidR="004B3095" w:rsidRDefault="004B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E533AD">
      <w:rPr>
        <w:noProof/>
      </w:rPr>
      <w:t>12.11.15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541" w:rsidRPr="00CD7E93" w:rsidRDefault="00360541" w:rsidP="00360541">
    <w:pPr>
      <w:pStyle w:val="Footer"/>
      <w:rPr>
        <w:lang w:val="en-US"/>
      </w:rPr>
    </w:pPr>
    <w:r>
      <w:fldChar w:fldCharType="begin"/>
    </w:r>
    <w:r w:rsidRPr="00CD7E93">
      <w:rPr>
        <w:lang w:val="en-US"/>
      </w:rPr>
      <w:instrText xml:space="preserve"> FILENAME \p  \* MERGEFORMAT </w:instrText>
    </w:r>
    <w:r>
      <w:fldChar w:fldCharType="separate"/>
    </w:r>
    <w:r w:rsidRPr="00CD7E93">
      <w:rPr>
        <w:lang w:val="en-US"/>
      </w:rPr>
      <w:t>P:\ESP\ITU-R\CONF-R\CMR15\200\205REV1S.docx</w:t>
    </w:r>
    <w:r>
      <w:fldChar w:fldCharType="end"/>
    </w:r>
    <w:r w:rsidRPr="00CD7E93">
      <w:rPr>
        <w:lang w:val="en-US"/>
      </w:rPr>
      <w:t xml:space="preserve"> (390122)</w:t>
    </w:r>
    <w:r w:rsidRPr="00CD7E93">
      <w:rPr>
        <w:lang w:val="en-US"/>
      </w:rPr>
      <w:tab/>
    </w:r>
    <w:r>
      <w:fldChar w:fldCharType="begin"/>
    </w:r>
    <w:r>
      <w:instrText xml:space="preserve"> SAVEDATE \@ DD.MM.YY </w:instrText>
    </w:r>
    <w:r>
      <w:fldChar w:fldCharType="separate"/>
    </w:r>
    <w:r w:rsidR="00E533AD">
      <w:t>12.11.15</w:t>
    </w:r>
    <w:r>
      <w:fldChar w:fldCharType="end"/>
    </w:r>
    <w:r w:rsidRPr="00CD7E93">
      <w:rPr>
        <w:lang w:val="en-US"/>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541" w:rsidRPr="00CD7E93" w:rsidRDefault="00B22069">
    <w:pPr>
      <w:pStyle w:val="Footer"/>
      <w:rPr>
        <w:lang w:val="en-US"/>
      </w:rPr>
    </w:pPr>
    <w:r>
      <w:fldChar w:fldCharType="begin"/>
    </w:r>
    <w:r w:rsidRPr="00CD7E93">
      <w:rPr>
        <w:lang w:val="en-US"/>
      </w:rPr>
      <w:instrText xml:space="preserve"> FILENAME \p  \* MERGEFORMAT </w:instrText>
    </w:r>
    <w:r>
      <w:fldChar w:fldCharType="separate"/>
    </w:r>
    <w:r w:rsidR="00360541" w:rsidRPr="00CD7E93">
      <w:rPr>
        <w:lang w:val="en-US"/>
      </w:rPr>
      <w:t>P:\ESP\ITU-R\CONF-R\CMR15\200\205REV1S.docx</w:t>
    </w:r>
    <w:r>
      <w:fldChar w:fldCharType="end"/>
    </w:r>
    <w:r w:rsidR="00360541" w:rsidRPr="00CD7E93">
      <w:rPr>
        <w:lang w:val="en-US"/>
      </w:rPr>
      <w:t xml:space="preserve"> (390122)</w:t>
    </w:r>
    <w:r w:rsidR="00360541" w:rsidRPr="00CD7E93">
      <w:rPr>
        <w:lang w:val="en-US"/>
      </w:rPr>
      <w:tab/>
    </w:r>
    <w:r w:rsidR="00360541">
      <w:fldChar w:fldCharType="begin"/>
    </w:r>
    <w:r w:rsidR="00360541">
      <w:instrText xml:space="preserve"> SAVEDATE \@ DD.MM.YY </w:instrText>
    </w:r>
    <w:r w:rsidR="00360541">
      <w:fldChar w:fldCharType="separate"/>
    </w:r>
    <w:r w:rsidR="00E533AD">
      <w:t>12.11.15</w:t>
    </w:r>
    <w:r w:rsidR="00360541">
      <w:fldChar w:fldCharType="end"/>
    </w:r>
    <w:r w:rsidR="00360541" w:rsidRPr="00CD7E93">
      <w:rPr>
        <w:lang w:val="en-US"/>
      </w:rPr>
      <w:tab/>
    </w:r>
    <w:r w:rsidR="00360541">
      <w:fldChar w:fldCharType="begin"/>
    </w:r>
    <w:r w:rsidR="00360541">
      <w:instrText xml:space="preserve"> PRINTDATE \@ DD.MM.YY </w:instrText>
    </w:r>
    <w:r w:rsidR="00360541">
      <w:fldChar w:fldCharType="separate"/>
    </w:r>
    <w:r w:rsidR="00360541">
      <w:t>19.02.03</w:t>
    </w:r>
    <w:r w:rsidR="0036054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095" w:rsidRDefault="004B3095">
      <w:r>
        <w:rPr>
          <w:b/>
        </w:rPr>
        <w:t>_______________</w:t>
      </w:r>
    </w:p>
  </w:footnote>
  <w:footnote w:type="continuationSeparator" w:id="0">
    <w:p w:rsidR="004B3095" w:rsidRDefault="004B3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E93" w:rsidRDefault="00CD7E93" w:rsidP="00CD7E93">
    <w:pPr>
      <w:pStyle w:val="Header"/>
    </w:pPr>
    <w:r>
      <w:fldChar w:fldCharType="begin"/>
    </w:r>
    <w:r>
      <w:instrText xml:space="preserve"> PAGE  \* MERGEFORMAT </w:instrText>
    </w:r>
    <w:r>
      <w:fldChar w:fldCharType="separate"/>
    </w:r>
    <w:r w:rsidR="00B22069">
      <w:rPr>
        <w:noProof/>
      </w:rPr>
      <w:t>2</w:t>
    </w:r>
    <w:r>
      <w:fldChar w:fldCharType="end"/>
    </w:r>
  </w:p>
  <w:p w:rsidR="0077084A" w:rsidRDefault="00CD7E93" w:rsidP="00CD7E93">
    <w:pPr>
      <w:pStyle w:val="Header"/>
      <w:rPr>
        <w:lang w:val="en-US"/>
      </w:rPr>
    </w:pPr>
    <w:r>
      <w:t>CMR15/</w:t>
    </w:r>
    <w:bookmarkStart w:id="10" w:name="OLE_LINK1"/>
    <w:bookmarkStart w:id="11" w:name="OLE_LINK2"/>
    <w:bookmarkStart w:id="12" w:name="OLE_LINK3"/>
    <w:r>
      <w:t>205(Rev.1)</w:t>
    </w:r>
    <w:bookmarkEnd w:id="10"/>
    <w:bookmarkEnd w:id="11"/>
    <w:bookmarkEnd w:id="12"/>
    <w:r>
      <w:t>-</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B8AE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BA63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845F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0A1F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324D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1A45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5A76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FA59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0215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EACE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66206"/>
    <w:rsid w:val="00087AE8"/>
    <w:rsid w:val="000A5B9A"/>
    <w:rsid w:val="000E5BF9"/>
    <w:rsid w:val="000F0E6D"/>
    <w:rsid w:val="00113917"/>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07E4C"/>
    <w:rsid w:val="003248A9"/>
    <w:rsid w:val="00324FFA"/>
    <w:rsid w:val="0032680B"/>
    <w:rsid w:val="00360541"/>
    <w:rsid w:val="00363A65"/>
    <w:rsid w:val="003B1E8C"/>
    <w:rsid w:val="003C2508"/>
    <w:rsid w:val="003D0AA3"/>
    <w:rsid w:val="00411709"/>
    <w:rsid w:val="00440B3A"/>
    <w:rsid w:val="0045384C"/>
    <w:rsid w:val="00454553"/>
    <w:rsid w:val="004A78EF"/>
    <w:rsid w:val="004B124A"/>
    <w:rsid w:val="004B3095"/>
    <w:rsid w:val="005133B5"/>
    <w:rsid w:val="00532097"/>
    <w:rsid w:val="0058350F"/>
    <w:rsid w:val="00583C7E"/>
    <w:rsid w:val="005D46FB"/>
    <w:rsid w:val="005E76AC"/>
    <w:rsid w:val="005F2605"/>
    <w:rsid w:val="005F3B0E"/>
    <w:rsid w:val="005F559C"/>
    <w:rsid w:val="006417BA"/>
    <w:rsid w:val="00662BA0"/>
    <w:rsid w:val="00692AAE"/>
    <w:rsid w:val="006D6E67"/>
    <w:rsid w:val="006E1A13"/>
    <w:rsid w:val="00701C20"/>
    <w:rsid w:val="00702F3D"/>
    <w:rsid w:val="0070518E"/>
    <w:rsid w:val="007354E9"/>
    <w:rsid w:val="00765578"/>
    <w:rsid w:val="0077084A"/>
    <w:rsid w:val="007952C7"/>
    <w:rsid w:val="007C0B95"/>
    <w:rsid w:val="007C2317"/>
    <w:rsid w:val="007D1B32"/>
    <w:rsid w:val="007D330A"/>
    <w:rsid w:val="00866AE6"/>
    <w:rsid w:val="008750A8"/>
    <w:rsid w:val="008E5AF2"/>
    <w:rsid w:val="0090121B"/>
    <w:rsid w:val="00901C01"/>
    <w:rsid w:val="009144C9"/>
    <w:rsid w:val="0094091F"/>
    <w:rsid w:val="00973754"/>
    <w:rsid w:val="009C0BED"/>
    <w:rsid w:val="009E11EC"/>
    <w:rsid w:val="00A118DB"/>
    <w:rsid w:val="00A4450C"/>
    <w:rsid w:val="00AA5E6C"/>
    <w:rsid w:val="00AB7A15"/>
    <w:rsid w:val="00AE5677"/>
    <w:rsid w:val="00AE658F"/>
    <w:rsid w:val="00AF2F78"/>
    <w:rsid w:val="00B22069"/>
    <w:rsid w:val="00B239FA"/>
    <w:rsid w:val="00B52D55"/>
    <w:rsid w:val="00B8288C"/>
    <w:rsid w:val="00BE2E80"/>
    <w:rsid w:val="00BE5EDD"/>
    <w:rsid w:val="00BE6A1F"/>
    <w:rsid w:val="00C126C4"/>
    <w:rsid w:val="00C63EB5"/>
    <w:rsid w:val="00CC01E0"/>
    <w:rsid w:val="00CD5FEE"/>
    <w:rsid w:val="00CD7E93"/>
    <w:rsid w:val="00CE3BD0"/>
    <w:rsid w:val="00CE60D2"/>
    <w:rsid w:val="00CE7431"/>
    <w:rsid w:val="00D0288A"/>
    <w:rsid w:val="00D72A5D"/>
    <w:rsid w:val="00DC629B"/>
    <w:rsid w:val="00E05BFF"/>
    <w:rsid w:val="00E262F1"/>
    <w:rsid w:val="00E3176A"/>
    <w:rsid w:val="00E533AD"/>
    <w:rsid w:val="00E54754"/>
    <w:rsid w:val="00E56BD3"/>
    <w:rsid w:val="00E71D14"/>
    <w:rsid w:val="00EA77F0"/>
    <w:rsid w:val="00F167B8"/>
    <w:rsid w:val="00F66597"/>
    <w:rsid w:val="00F675D0"/>
    <w:rsid w:val="00F8150C"/>
    <w:rsid w:val="00FB6A10"/>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38F0CA6-4E7E-49EC-874E-45074733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HeaderChar">
    <w:name w:val="Header Char"/>
    <w:basedOn w:val="DefaultParagraphFont"/>
    <w:link w:val="Header"/>
    <w:rsid w:val="00CD7E93"/>
    <w:rPr>
      <w:rFonts w:ascii="Times New Roman" w:hAnsi="Times New Roman"/>
      <w:sz w:val="18"/>
      <w:lang w:val="es-ES_tradnl" w:eastAsia="en-US"/>
    </w:rPr>
  </w:style>
  <w:style w:type="character" w:customStyle="1" w:styleId="CommentTextChar">
    <w:name w:val="Comment Text Char"/>
    <w:basedOn w:val="DefaultParagraphFont"/>
    <w:link w:val="CommentText"/>
    <w:semiHidden/>
    <w:rsid w:val="00E533AD"/>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R15-WRC15-C-0205!!MSW-S</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42E56-2210-418D-AED6-AC8517E0A708}">
  <ds:schemaRefs>
    <ds:schemaRef ds:uri="http://purl.org/dc/terms/"/>
    <ds:schemaRef ds:uri="32a1a8c5-2265-4ebc-b7a0-2071e2c5c9bb"/>
    <ds:schemaRef ds:uri="http://schemas.microsoft.com/office/infopath/2007/PartnerControls"/>
    <ds:schemaRef ds:uri="http://schemas.microsoft.com/office/2006/metadata/properties"/>
    <ds:schemaRef ds:uri="http://purl.org/dc/elements/1.1/"/>
    <ds:schemaRef ds:uri="996b2e75-67fd-4955-a3b0-5ab9934cb50b"/>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59E30F17-F0F2-4FA5-941A-C61E451C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579</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R15-WRC15-C-0205!!MSW-S</vt:lpstr>
    </vt:vector>
  </TitlesOfParts>
  <Manager>Secretaría General - Pool</Manager>
  <Company>Unión Internacional de Telecomunicaciones (UIT)</Company>
  <LinksUpToDate>false</LinksUpToDate>
  <CharactersWithSpaces>3758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R15-WRC15-C-0205!!MSW-S</dc:title>
  <dc:subject>Conferencia Mundial de Radiocomunicaciones - 2015</dc:subject>
  <dc:creator>Documents Proposals Manager (DPM)</dc:creator>
  <cp:keywords>DPM_v5.2015.11.61_prod</cp:keywords>
  <dc:description/>
  <cp:lastModifiedBy>Saez Grau, Ricardo</cp:lastModifiedBy>
  <cp:revision>11</cp:revision>
  <cp:lastPrinted>2003-02-19T20:20:00Z</cp:lastPrinted>
  <dcterms:created xsi:type="dcterms:W3CDTF">2015-11-12T20:46:00Z</dcterms:created>
  <dcterms:modified xsi:type="dcterms:W3CDTF">2015-11-12T22:05:00Z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