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6AE5" w:rsidTr="0050008E">
        <w:trPr>
          <w:cantSplit/>
        </w:trPr>
        <w:tc>
          <w:tcPr>
            <w:tcW w:w="6911" w:type="dxa"/>
          </w:tcPr>
          <w:p w:rsidR="00BC6AE5" w:rsidRPr="00DF23FC" w:rsidRDefault="00BC6AE5" w:rsidP="00CE2C8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>
              <w:rPr>
                <w:rFonts w:ascii="Verdana" w:hAnsi="Verdana" w:cs="Times"/>
                <w:b/>
                <w:position w:val="6"/>
                <w:sz w:val="20"/>
                <w:vertAlign w:val="subscript"/>
              </w:rPr>
              <w:br/>
            </w:r>
            <w:r>
              <w:rPr>
                <w:rFonts w:ascii="Verdana" w:hAnsi="Verdana" w:cs="Times"/>
                <w:b/>
                <w:sz w:val="18"/>
                <w:szCs w:val="18"/>
              </w:rPr>
              <w:t>Genève, 2-27 novembre 2015</w:t>
            </w:r>
          </w:p>
        </w:tc>
        <w:tc>
          <w:tcPr>
            <w:tcW w:w="3120" w:type="dxa"/>
          </w:tcPr>
          <w:p w:rsidR="00BC6AE5" w:rsidRDefault="00BC6AE5" w:rsidP="00BC6AE5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56DE78FF" wp14:editId="2FD4AB0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AE5" w:rsidRPr="00617BE4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6AE5" w:rsidRPr="00617BE4" w:rsidRDefault="00BC6AE5" w:rsidP="00BC6AE5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6AE5" w:rsidRPr="00617BE4" w:rsidRDefault="00BC6AE5" w:rsidP="00BC6AE5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BC6AE5" w:rsidRPr="00C324A8" w:rsidTr="0050008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6AE5" w:rsidRPr="00C324A8" w:rsidRDefault="00BC6AE5" w:rsidP="00BC6AE5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6AE5" w:rsidRPr="00C324A8" w:rsidRDefault="00BC6AE5" w:rsidP="00BC6AE5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BC6AE5" w:rsidRPr="00C324A8" w:rsidTr="0050008E">
        <w:trPr>
          <w:cantSplit/>
          <w:trHeight w:val="23"/>
        </w:trPr>
        <w:tc>
          <w:tcPr>
            <w:tcW w:w="6911" w:type="dxa"/>
            <w:vMerge w:val="restart"/>
          </w:tcPr>
          <w:p w:rsidR="00BC6AE5" w:rsidRPr="00BC6AE5" w:rsidRDefault="00BC6AE5" w:rsidP="00BC6AE5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</w:tcPr>
          <w:p w:rsidR="00BC6AE5" w:rsidRPr="00BC6AE5" w:rsidRDefault="00BC6AE5" w:rsidP="00E52362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237-F</w:t>
            </w:r>
          </w:p>
        </w:tc>
      </w:tr>
      <w:tr w:rsidR="00BC6AE5" w:rsidRPr="00C324A8" w:rsidTr="0050008E">
        <w:trPr>
          <w:cantSplit/>
          <w:trHeight w:val="23"/>
        </w:trPr>
        <w:tc>
          <w:tcPr>
            <w:tcW w:w="6911" w:type="dxa"/>
            <w:vMerge/>
          </w:tcPr>
          <w:p w:rsidR="00BC6AE5" w:rsidRPr="00C324A8" w:rsidRDefault="00BC6AE5" w:rsidP="0050008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BC6AE5" w:rsidRPr="00BC6AE5" w:rsidRDefault="00BC6AE5" w:rsidP="00BC6AE5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11 novembre 2015</w:t>
            </w:r>
          </w:p>
        </w:tc>
      </w:tr>
      <w:tr w:rsidR="00BC6AE5" w:rsidRPr="00C324A8" w:rsidTr="0050008E">
        <w:trPr>
          <w:cantSplit/>
          <w:trHeight w:val="23"/>
        </w:trPr>
        <w:tc>
          <w:tcPr>
            <w:tcW w:w="6911" w:type="dxa"/>
            <w:vMerge/>
          </w:tcPr>
          <w:p w:rsidR="00BC6AE5" w:rsidRPr="00C324A8" w:rsidRDefault="00BC6AE5" w:rsidP="0050008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BC6AE5" w:rsidRPr="00BC6AE5" w:rsidRDefault="00BC6AE5" w:rsidP="00BC6AE5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français</w:t>
            </w:r>
          </w:p>
        </w:tc>
      </w:tr>
      <w:tr w:rsidR="00BC6AE5" w:rsidTr="0050008E">
        <w:trPr>
          <w:cantSplit/>
        </w:trPr>
        <w:tc>
          <w:tcPr>
            <w:tcW w:w="10031" w:type="dxa"/>
            <w:gridSpan w:val="2"/>
          </w:tcPr>
          <w:p w:rsidR="005D2BC5" w:rsidRPr="005D2BC5" w:rsidRDefault="00BC6AE5" w:rsidP="005D2BC5">
            <w:pPr>
              <w:pStyle w:val="Title1"/>
              <w:keepNext/>
              <w:keepLines/>
              <w:tabs>
                <w:tab w:val="clear" w:pos="567"/>
                <w:tab w:val="clear" w:pos="1701"/>
                <w:tab w:val="clear" w:pos="2835"/>
              </w:tabs>
              <w:spacing w:before="720" w:after="280"/>
              <w:rPr>
                <w:rFonts w:hAnsi="Times New Roman Bold"/>
                <w:bCs/>
                <w:caps w:val="0"/>
                <w:lang w:val="fr-CH"/>
              </w:rPr>
            </w:pPr>
            <w:bookmarkStart w:id="6" w:name="dsource" w:colFirst="0" w:colLast="0"/>
            <w:bookmarkEnd w:id="5"/>
            <w:r w:rsidRPr="005D2BC5">
              <w:rPr>
                <w:rFonts w:hAnsi="Times New Roman Bold"/>
                <w:bCs/>
                <w:caps w:val="0"/>
                <w:lang w:val="fr-CH"/>
              </w:rPr>
              <w:t>PROC</w:t>
            </w:r>
            <w:r w:rsidR="005D2BC5">
              <w:t>È</w:t>
            </w:r>
            <w:r w:rsidRPr="005D2BC5">
              <w:rPr>
                <w:rFonts w:hAnsi="Times New Roman Bold"/>
                <w:bCs/>
                <w:caps w:val="0"/>
                <w:lang w:val="fr-CH"/>
              </w:rPr>
              <w:t>S-VERBAL</w:t>
            </w:r>
          </w:p>
          <w:p w:rsidR="005D2BC5" w:rsidRPr="00EA5AB6" w:rsidRDefault="005D2BC5" w:rsidP="005D2BC5">
            <w:pPr>
              <w:pStyle w:val="Title1"/>
              <w:keepNext/>
              <w:keepLines/>
              <w:tabs>
                <w:tab w:val="clear" w:pos="567"/>
                <w:tab w:val="clear" w:pos="1701"/>
                <w:tab w:val="clear" w:pos="2835"/>
              </w:tabs>
              <w:spacing w:after="280"/>
              <w:rPr>
                <w:rFonts w:hAnsi="Times New Roman Bold"/>
                <w:bCs/>
                <w:caps w:val="0"/>
                <w:lang w:val="fr-CH"/>
              </w:rPr>
            </w:pPr>
            <w:r w:rsidRPr="00EA5AB6">
              <w:rPr>
                <w:rFonts w:hAnsi="Times New Roman Bold"/>
                <w:bCs/>
                <w:caps w:val="0"/>
                <w:lang w:val="fr-CH"/>
              </w:rPr>
              <w:t>DE LA</w:t>
            </w:r>
          </w:p>
          <w:p w:rsidR="00BC6AE5" w:rsidRPr="005D2BC5" w:rsidRDefault="00BC6AE5" w:rsidP="005D2BC5">
            <w:pPr>
              <w:pStyle w:val="Title1"/>
              <w:keepNext/>
              <w:keepLines/>
              <w:tabs>
                <w:tab w:val="clear" w:pos="567"/>
                <w:tab w:val="clear" w:pos="1701"/>
                <w:tab w:val="clear" w:pos="2835"/>
              </w:tabs>
              <w:spacing w:after="280"/>
              <w:rPr>
                <w:rFonts w:hAnsi="Times New Roman Bold"/>
                <w:lang w:val="fr-CH"/>
              </w:rPr>
            </w:pPr>
            <w:r w:rsidRPr="005D2BC5">
              <w:rPr>
                <w:rFonts w:hAnsi="Times New Roman Bold"/>
                <w:lang w:val="fr-CH"/>
              </w:rPr>
              <w:t>TROISI</w:t>
            </w:r>
            <w:r w:rsidR="005D2BC5">
              <w:t>È</w:t>
            </w:r>
            <w:r w:rsidRPr="005D2BC5">
              <w:rPr>
                <w:rFonts w:hAnsi="Times New Roman Bold"/>
                <w:lang w:val="fr-CH"/>
              </w:rPr>
              <w:t xml:space="preserve">ME </w:t>
            </w:r>
            <w:r w:rsidRPr="005D2BC5">
              <w:rPr>
                <w:rFonts w:hAnsi="Times New Roman Bold"/>
                <w:caps w:val="0"/>
              </w:rPr>
              <w:t>S</w:t>
            </w:r>
            <w:r w:rsidR="005D2BC5">
              <w:t>É</w:t>
            </w:r>
            <w:r w:rsidRPr="005D2BC5">
              <w:rPr>
                <w:rFonts w:hAnsi="Times New Roman Bold"/>
                <w:caps w:val="0"/>
              </w:rPr>
              <w:t>ANCE</w:t>
            </w:r>
            <w:r w:rsidRPr="005D2BC5">
              <w:rPr>
                <w:rFonts w:hAnsi="Times New Roman Bold"/>
                <w:lang w:val="fr-CH"/>
              </w:rPr>
              <w:t xml:space="preserve"> PL</w:t>
            </w:r>
            <w:r w:rsidR="005D2BC5">
              <w:t>É</w:t>
            </w:r>
            <w:r w:rsidRPr="005D2BC5">
              <w:rPr>
                <w:rFonts w:hAnsi="Times New Roman Bold"/>
                <w:lang w:val="fr-CH"/>
              </w:rPr>
              <w:t>NI</w:t>
            </w:r>
            <w:r w:rsidR="005D2BC5">
              <w:t>È</w:t>
            </w:r>
            <w:r w:rsidRPr="005D2BC5">
              <w:rPr>
                <w:rFonts w:hAnsi="Times New Roman Bold"/>
                <w:lang w:val="fr-CH"/>
              </w:rPr>
              <w:t>RE</w:t>
            </w:r>
          </w:p>
        </w:tc>
      </w:tr>
      <w:tr w:rsidR="00BC6AE5" w:rsidTr="0050008E">
        <w:trPr>
          <w:cantSplit/>
        </w:trPr>
        <w:tc>
          <w:tcPr>
            <w:tcW w:w="10031" w:type="dxa"/>
            <w:gridSpan w:val="2"/>
          </w:tcPr>
          <w:p w:rsidR="00BC6AE5" w:rsidRPr="00E52362" w:rsidRDefault="00BC6AE5" w:rsidP="00BC6AE5">
            <w:pPr>
              <w:pStyle w:val="Title1"/>
              <w:rPr>
                <w:sz w:val="24"/>
                <w:szCs w:val="24"/>
              </w:rPr>
            </w:pPr>
            <w:bookmarkStart w:id="7" w:name="dtitle1" w:colFirst="0" w:colLast="0"/>
            <w:bookmarkEnd w:id="6"/>
            <w:r w:rsidRPr="00E52362">
              <w:rPr>
                <w:caps w:val="0"/>
                <w:sz w:val="24"/>
                <w:szCs w:val="24"/>
              </w:rPr>
              <w:t>Vendredi 6 novembre 2015 à 16</w:t>
            </w:r>
            <w:r w:rsidR="004E2AEB">
              <w:rPr>
                <w:caps w:val="0"/>
                <w:sz w:val="24"/>
                <w:szCs w:val="24"/>
              </w:rPr>
              <w:t xml:space="preserve"> </w:t>
            </w:r>
            <w:r w:rsidRPr="00E52362">
              <w:rPr>
                <w:caps w:val="0"/>
                <w:sz w:val="24"/>
                <w:szCs w:val="24"/>
              </w:rPr>
              <w:t>h</w:t>
            </w:r>
            <w:r w:rsidR="004E2AEB">
              <w:rPr>
                <w:caps w:val="0"/>
                <w:sz w:val="24"/>
                <w:szCs w:val="24"/>
              </w:rPr>
              <w:t xml:space="preserve"> </w:t>
            </w:r>
            <w:bookmarkStart w:id="8" w:name="_GoBack"/>
            <w:bookmarkEnd w:id="8"/>
            <w:r w:rsidRPr="00E52362">
              <w:rPr>
                <w:caps w:val="0"/>
                <w:sz w:val="24"/>
                <w:szCs w:val="24"/>
              </w:rPr>
              <w:t>15</w:t>
            </w:r>
          </w:p>
        </w:tc>
      </w:tr>
      <w:tr w:rsidR="00BC6AE5" w:rsidTr="0050008E">
        <w:trPr>
          <w:cantSplit/>
        </w:trPr>
        <w:tc>
          <w:tcPr>
            <w:tcW w:w="10031" w:type="dxa"/>
            <w:gridSpan w:val="2"/>
          </w:tcPr>
          <w:p w:rsidR="00BC6AE5" w:rsidRPr="00E52362" w:rsidRDefault="00BC6AE5" w:rsidP="00BC6AE5">
            <w:pPr>
              <w:pStyle w:val="Title2"/>
              <w:rPr>
                <w:sz w:val="24"/>
                <w:szCs w:val="24"/>
              </w:rPr>
            </w:pPr>
            <w:bookmarkStart w:id="9" w:name="dtitle2" w:colFirst="0" w:colLast="0"/>
            <w:bookmarkEnd w:id="7"/>
            <w:r w:rsidRPr="00E52362">
              <w:rPr>
                <w:b/>
                <w:bCs/>
                <w:caps w:val="0"/>
                <w:sz w:val="24"/>
                <w:szCs w:val="24"/>
              </w:rPr>
              <w:t>Président:</w:t>
            </w:r>
            <w:r w:rsidRPr="00E52362">
              <w:rPr>
                <w:caps w:val="0"/>
                <w:sz w:val="24"/>
                <w:szCs w:val="24"/>
              </w:rPr>
              <w:t xml:space="preserve"> M.</w:t>
            </w:r>
            <w:r w:rsidR="005D2BC5">
              <w:rPr>
                <w:caps w:val="0"/>
                <w:sz w:val="24"/>
                <w:szCs w:val="24"/>
              </w:rPr>
              <w:t xml:space="preserve"> </w:t>
            </w:r>
            <w:r w:rsidRPr="00E52362">
              <w:rPr>
                <w:caps w:val="0"/>
                <w:sz w:val="24"/>
                <w:szCs w:val="24"/>
              </w:rPr>
              <w:t>F.Y.N. DAUDU (Nigéria)</w:t>
            </w:r>
          </w:p>
        </w:tc>
      </w:tr>
      <w:tr w:rsidR="00BC6AE5" w:rsidTr="0050008E">
        <w:trPr>
          <w:cantSplit/>
        </w:trPr>
        <w:tc>
          <w:tcPr>
            <w:tcW w:w="10031" w:type="dxa"/>
            <w:gridSpan w:val="2"/>
          </w:tcPr>
          <w:p w:rsidR="00BC6AE5" w:rsidRDefault="00BC6AE5" w:rsidP="0050008E">
            <w:pPr>
              <w:pStyle w:val="Title3"/>
            </w:pPr>
            <w:bookmarkStart w:id="10" w:name="dtitle3" w:colFirst="0" w:colLast="0"/>
            <w:bookmarkEnd w:id="9"/>
          </w:p>
        </w:tc>
      </w:tr>
      <w:bookmarkEnd w:id="10"/>
    </w:tbl>
    <w:p w:rsidR="00F165FB" w:rsidRPr="00BE0F04" w:rsidRDefault="00F165FB" w:rsidP="005D2BC5"/>
    <w:tbl>
      <w:tblPr>
        <w:tblW w:w="0" w:type="auto"/>
        <w:tblLook w:val="0000" w:firstRow="0" w:lastRow="0" w:firstColumn="0" w:lastColumn="0" w:noHBand="0" w:noVBand="0"/>
      </w:tblPr>
      <w:tblGrid>
        <w:gridCol w:w="527"/>
        <w:gridCol w:w="6977"/>
        <w:gridCol w:w="2135"/>
      </w:tblGrid>
      <w:tr w:rsidR="00F165FB" w:rsidRPr="009B198B" w:rsidTr="00355F3D">
        <w:tc>
          <w:tcPr>
            <w:tcW w:w="534" w:type="dxa"/>
          </w:tcPr>
          <w:p w:rsidR="00F165FB" w:rsidRPr="009B198B" w:rsidRDefault="00F165FB" w:rsidP="00355F3D">
            <w:pPr>
              <w:pStyle w:val="toc0"/>
              <w:keepNext/>
              <w:keepLines/>
              <w:tabs>
                <w:tab w:val="clear" w:pos="9781"/>
                <w:tab w:val="left" w:pos="1134"/>
                <w:tab w:val="left" w:pos="1871"/>
                <w:tab w:val="left" w:pos="2268"/>
              </w:tabs>
              <w:spacing w:before="240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7159" w:type="dxa"/>
          </w:tcPr>
          <w:p w:rsidR="00F165FB" w:rsidRPr="009B198B" w:rsidRDefault="00F165FB" w:rsidP="00355F3D">
            <w:pPr>
              <w:pStyle w:val="toc0"/>
              <w:keepNext/>
              <w:keepLines/>
              <w:tabs>
                <w:tab w:val="clear" w:pos="9781"/>
                <w:tab w:val="left" w:pos="1134"/>
                <w:tab w:val="left" w:pos="1871"/>
                <w:tab w:val="left" w:pos="2268"/>
              </w:tabs>
              <w:spacing w:before="240"/>
              <w:rPr>
                <w:rFonts w:asciiTheme="majorBidi" w:hAnsiTheme="majorBidi" w:cstheme="majorBidi"/>
                <w:szCs w:val="24"/>
              </w:rPr>
            </w:pPr>
            <w:r w:rsidRPr="009B198B">
              <w:rPr>
                <w:rFonts w:asciiTheme="majorBidi" w:hAnsiTheme="majorBidi" w:cstheme="majorBidi"/>
                <w:szCs w:val="24"/>
              </w:rPr>
              <w:t>Sujets traités</w:t>
            </w:r>
          </w:p>
        </w:tc>
        <w:tc>
          <w:tcPr>
            <w:tcW w:w="2162" w:type="dxa"/>
          </w:tcPr>
          <w:p w:rsidR="00F165FB" w:rsidRPr="009B198B" w:rsidRDefault="00F165FB" w:rsidP="00355F3D">
            <w:pPr>
              <w:pStyle w:val="toc0"/>
              <w:keepNext/>
              <w:keepLines/>
              <w:tabs>
                <w:tab w:val="clear" w:pos="9781"/>
                <w:tab w:val="left" w:pos="1134"/>
                <w:tab w:val="left" w:pos="1871"/>
                <w:tab w:val="left" w:pos="2268"/>
              </w:tabs>
              <w:spacing w:before="240"/>
              <w:jc w:val="center"/>
              <w:rPr>
                <w:rFonts w:asciiTheme="majorBidi" w:hAnsiTheme="majorBidi" w:cstheme="majorBidi"/>
                <w:szCs w:val="24"/>
              </w:rPr>
            </w:pPr>
            <w:r w:rsidRPr="009B198B">
              <w:rPr>
                <w:rFonts w:asciiTheme="majorBidi" w:hAnsiTheme="majorBidi" w:cstheme="majorBidi"/>
                <w:szCs w:val="24"/>
              </w:rPr>
              <w:t>Documents</w:t>
            </w:r>
          </w:p>
        </w:tc>
      </w:tr>
      <w:tr w:rsidR="00F165FB" w:rsidRPr="009B198B" w:rsidTr="00355F3D">
        <w:tc>
          <w:tcPr>
            <w:tcW w:w="534" w:type="dxa"/>
          </w:tcPr>
          <w:p w:rsidR="00F165FB" w:rsidRPr="009B198B" w:rsidRDefault="00F165FB" w:rsidP="00355F3D">
            <w:pPr>
              <w:rPr>
                <w:rFonts w:asciiTheme="majorBidi" w:hAnsiTheme="majorBidi" w:cstheme="majorBidi"/>
              </w:rPr>
            </w:pPr>
            <w:r w:rsidRPr="009B198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159" w:type="dxa"/>
          </w:tcPr>
          <w:p w:rsidR="00F165FB" w:rsidRPr="009B198B" w:rsidRDefault="00F165FB" w:rsidP="00355F3D">
            <w:pPr>
              <w:rPr>
                <w:rFonts w:asciiTheme="majorBidi" w:hAnsiTheme="majorBidi" w:cstheme="majorBidi"/>
              </w:rPr>
            </w:pPr>
            <w:r w:rsidRPr="009B198B">
              <w:rPr>
                <w:rFonts w:asciiTheme="majorBidi" w:hAnsiTheme="majorBidi" w:cstheme="majorBidi"/>
              </w:rPr>
              <w:t>Répartition des documents entre les commissions (suite)</w:t>
            </w:r>
          </w:p>
        </w:tc>
        <w:tc>
          <w:tcPr>
            <w:tcW w:w="2162" w:type="dxa"/>
          </w:tcPr>
          <w:p w:rsidR="00F165FB" w:rsidRPr="009B198B" w:rsidRDefault="005D2BC5" w:rsidP="00355F3D">
            <w:pPr>
              <w:jc w:val="center"/>
              <w:rPr>
                <w:rFonts w:asciiTheme="majorBidi" w:hAnsiTheme="majorBidi" w:cstheme="majorBidi"/>
              </w:rPr>
            </w:pPr>
            <w:r w:rsidRPr="005D2BC5">
              <w:rPr>
                <w:rFonts w:asciiTheme="majorBidi" w:hAnsiTheme="majorBidi" w:cstheme="majorBidi"/>
              </w:rPr>
              <w:t>–</w:t>
            </w:r>
          </w:p>
        </w:tc>
      </w:tr>
      <w:tr w:rsidR="00F165FB" w:rsidRPr="009B198B" w:rsidTr="00355F3D">
        <w:tc>
          <w:tcPr>
            <w:tcW w:w="534" w:type="dxa"/>
          </w:tcPr>
          <w:p w:rsidR="00F165FB" w:rsidRPr="009B198B" w:rsidRDefault="00F165FB" w:rsidP="00355F3D">
            <w:pPr>
              <w:rPr>
                <w:rFonts w:asciiTheme="majorBidi" w:hAnsiTheme="majorBidi" w:cstheme="majorBidi"/>
              </w:rPr>
            </w:pPr>
            <w:r w:rsidRPr="009B198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7159" w:type="dxa"/>
          </w:tcPr>
          <w:p w:rsidR="00F165FB" w:rsidRPr="009B198B" w:rsidRDefault="00F165FB" w:rsidP="00355F3D">
            <w:pPr>
              <w:rPr>
                <w:rFonts w:asciiTheme="majorBidi" w:hAnsiTheme="majorBidi" w:cstheme="majorBidi"/>
              </w:rPr>
            </w:pPr>
            <w:r w:rsidRPr="009B198B">
              <w:rPr>
                <w:rFonts w:asciiTheme="majorBidi" w:hAnsiTheme="majorBidi" w:cstheme="majorBidi"/>
              </w:rPr>
              <w:t>Rapports des Présidents des Commissions 2, 3, 4, 5 et 6</w:t>
            </w:r>
          </w:p>
        </w:tc>
        <w:tc>
          <w:tcPr>
            <w:tcW w:w="2162" w:type="dxa"/>
          </w:tcPr>
          <w:p w:rsidR="00F165FB" w:rsidRPr="009B198B" w:rsidRDefault="00F165FB" w:rsidP="00355F3D">
            <w:pPr>
              <w:jc w:val="center"/>
              <w:rPr>
                <w:rFonts w:asciiTheme="majorBidi" w:hAnsiTheme="majorBidi" w:cstheme="majorBidi"/>
              </w:rPr>
            </w:pPr>
            <w:r w:rsidRPr="009B198B">
              <w:rPr>
                <w:rFonts w:asciiTheme="majorBidi" w:hAnsiTheme="majorBidi" w:cstheme="majorBidi"/>
              </w:rPr>
              <w:t>143(Rév.1), 194</w:t>
            </w:r>
          </w:p>
        </w:tc>
      </w:tr>
      <w:tr w:rsidR="00F165FB" w:rsidRPr="009B198B" w:rsidTr="00355F3D">
        <w:tc>
          <w:tcPr>
            <w:tcW w:w="534" w:type="dxa"/>
          </w:tcPr>
          <w:p w:rsidR="00F165FB" w:rsidRPr="009B198B" w:rsidRDefault="00F165FB" w:rsidP="00355F3D">
            <w:pPr>
              <w:rPr>
                <w:rFonts w:asciiTheme="majorBidi" w:hAnsiTheme="majorBidi" w:cstheme="majorBidi"/>
              </w:rPr>
            </w:pPr>
            <w:r w:rsidRPr="009B198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159" w:type="dxa"/>
          </w:tcPr>
          <w:p w:rsidR="00F165FB" w:rsidRPr="009B198B" w:rsidRDefault="00F165FB" w:rsidP="00355F3D">
            <w:pPr>
              <w:rPr>
                <w:rFonts w:asciiTheme="majorBidi" w:hAnsiTheme="majorBidi" w:cstheme="majorBidi"/>
              </w:rPr>
            </w:pPr>
            <w:r w:rsidRPr="009B198B">
              <w:rPr>
                <w:rFonts w:asciiTheme="majorBidi" w:hAnsiTheme="majorBidi" w:cstheme="majorBidi"/>
              </w:rPr>
              <w:t>Première série de textes soumis par la Commission de rédaction en première lecture (B1)</w:t>
            </w:r>
          </w:p>
        </w:tc>
        <w:tc>
          <w:tcPr>
            <w:tcW w:w="2162" w:type="dxa"/>
          </w:tcPr>
          <w:p w:rsidR="00F165FB" w:rsidRPr="009B198B" w:rsidRDefault="00F165FB" w:rsidP="00355F3D">
            <w:pPr>
              <w:jc w:val="center"/>
              <w:rPr>
                <w:rFonts w:asciiTheme="majorBidi" w:hAnsiTheme="majorBidi" w:cstheme="majorBidi"/>
              </w:rPr>
            </w:pPr>
            <w:r w:rsidRPr="009B198B">
              <w:rPr>
                <w:rFonts w:asciiTheme="majorBidi" w:hAnsiTheme="majorBidi" w:cstheme="majorBidi"/>
              </w:rPr>
              <w:t>187</w:t>
            </w:r>
          </w:p>
        </w:tc>
      </w:tr>
      <w:tr w:rsidR="00F165FB" w:rsidRPr="009B198B" w:rsidTr="00355F3D">
        <w:tc>
          <w:tcPr>
            <w:tcW w:w="534" w:type="dxa"/>
          </w:tcPr>
          <w:p w:rsidR="00F165FB" w:rsidRPr="009B198B" w:rsidRDefault="00F165FB" w:rsidP="00355F3D">
            <w:pPr>
              <w:rPr>
                <w:rFonts w:asciiTheme="majorBidi" w:hAnsiTheme="majorBidi" w:cstheme="majorBidi"/>
              </w:rPr>
            </w:pPr>
            <w:r w:rsidRPr="009B198B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159" w:type="dxa"/>
          </w:tcPr>
          <w:p w:rsidR="00F165FB" w:rsidRPr="009B198B" w:rsidRDefault="00F165FB" w:rsidP="00355F3D">
            <w:pPr>
              <w:rPr>
                <w:rFonts w:asciiTheme="majorBidi" w:hAnsiTheme="majorBidi" w:cstheme="majorBidi"/>
              </w:rPr>
            </w:pPr>
            <w:r w:rsidRPr="009B198B">
              <w:rPr>
                <w:rFonts w:asciiTheme="majorBidi" w:hAnsiTheme="majorBidi" w:cstheme="majorBidi"/>
              </w:rPr>
              <w:t>Première série de textes soumis par la Commission de rédaction (B1) – deuxième lecture</w:t>
            </w:r>
          </w:p>
        </w:tc>
        <w:tc>
          <w:tcPr>
            <w:tcW w:w="2162" w:type="dxa"/>
          </w:tcPr>
          <w:p w:rsidR="00F165FB" w:rsidRPr="009B198B" w:rsidRDefault="00F165FB" w:rsidP="00355F3D">
            <w:pPr>
              <w:jc w:val="center"/>
              <w:rPr>
                <w:rFonts w:asciiTheme="majorBidi" w:hAnsiTheme="majorBidi" w:cstheme="majorBidi"/>
              </w:rPr>
            </w:pPr>
            <w:r w:rsidRPr="009B198B">
              <w:rPr>
                <w:rFonts w:asciiTheme="majorBidi" w:hAnsiTheme="majorBidi" w:cstheme="majorBidi"/>
              </w:rPr>
              <w:t>187</w:t>
            </w:r>
          </w:p>
        </w:tc>
      </w:tr>
      <w:tr w:rsidR="00F165FB" w:rsidRPr="009B198B" w:rsidTr="00355F3D">
        <w:tc>
          <w:tcPr>
            <w:tcW w:w="534" w:type="dxa"/>
          </w:tcPr>
          <w:p w:rsidR="00F165FB" w:rsidRPr="009B198B" w:rsidRDefault="00F165FB" w:rsidP="00355F3D">
            <w:pPr>
              <w:rPr>
                <w:rFonts w:asciiTheme="majorBidi" w:hAnsiTheme="majorBidi" w:cstheme="majorBidi"/>
              </w:rPr>
            </w:pPr>
            <w:r w:rsidRPr="009B198B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7159" w:type="dxa"/>
          </w:tcPr>
          <w:p w:rsidR="00F165FB" w:rsidRPr="009B198B" w:rsidRDefault="00F165FB" w:rsidP="00355F3D">
            <w:pPr>
              <w:rPr>
                <w:rFonts w:asciiTheme="majorBidi" w:hAnsiTheme="majorBidi" w:cstheme="majorBidi"/>
              </w:rPr>
            </w:pPr>
            <w:r w:rsidRPr="009B198B">
              <w:rPr>
                <w:rFonts w:asciiTheme="majorBidi" w:hAnsiTheme="majorBidi" w:cstheme="majorBidi"/>
              </w:rPr>
              <w:t>Deuxième série de textes soumis par la Commission de rédaction en première lecture (B2)</w:t>
            </w:r>
          </w:p>
        </w:tc>
        <w:tc>
          <w:tcPr>
            <w:tcW w:w="2162" w:type="dxa"/>
          </w:tcPr>
          <w:p w:rsidR="00F165FB" w:rsidRPr="009B198B" w:rsidRDefault="00F165FB" w:rsidP="00355F3D">
            <w:pPr>
              <w:jc w:val="center"/>
              <w:rPr>
                <w:rFonts w:asciiTheme="majorBidi" w:hAnsiTheme="majorBidi" w:cstheme="majorBidi"/>
              </w:rPr>
            </w:pPr>
            <w:r w:rsidRPr="009B198B">
              <w:rPr>
                <w:rFonts w:asciiTheme="majorBidi" w:hAnsiTheme="majorBidi" w:cstheme="majorBidi"/>
              </w:rPr>
              <w:t>196</w:t>
            </w:r>
          </w:p>
        </w:tc>
      </w:tr>
      <w:tr w:rsidR="00F165FB" w:rsidRPr="009B198B" w:rsidTr="00355F3D">
        <w:tc>
          <w:tcPr>
            <w:tcW w:w="534" w:type="dxa"/>
          </w:tcPr>
          <w:p w:rsidR="00F165FB" w:rsidRPr="009B198B" w:rsidRDefault="00F165FB" w:rsidP="00355F3D">
            <w:pPr>
              <w:rPr>
                <w:rFonts w:asciiTheme="majorBidi" w:hAnsiTheme="majorBidi" w:cstheme="majorBidi"/>
              </w:rPr>
            </w:pPr>
            <w:r w:rsidRPr="009B198B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7159" w:type="dxa"/>
          </w:tcPr>
          <w:p w:rsidR="00F165FB" w:rsidRPr="009B198B" w:rsidRDefault="00F165FB" w:rsidP="00355F3D">
            <w:pPr>
              <w:rPr>
                <w:rFonts w:asciiTheme="majorBidi" w:hAnsiTheme="majorBidi" w:cstheme="majorBidi"/>
              </w:rPr>
            </w:pPr>
            <w:r w:rsidRPr="009B198B">
              <w:rPr>
                <w:rFonts w:asciiTheme="majorBidi" w:hAnsiTheme="majorBidi" w:cstheme="majorBidi"/>
              </w:rPr>
              <w:t>Deuxième série de textes soumis par la Commission de rédaction (B2) – deuxième lecture</w:t>
            </w:r>
          </w:p>
        </w:tc>
        <w:tc>
          <w:tcPr>
            <w:tcW w:w="2162" w:type="dxa"/>
          </w:tcPr>
          <w:p w:rsidR="00F165FB" w:rsidRPr="009B198B" w:rsidRDefault="00F165FB" w:rsidP="00355F3D">
            <w:pPr>
              <w:jc w:val="center"/>
              <w:rPr>
                <w:rFonts w:asciiTheme="majorBidi" w:hAnsiTheme="majorBidi" w:cstheme="majorBidi"/>
              </w:rPr>
            </w:pPr>
            <w:r w:rsidRPr="009B198B">
              <w:rPr>
                <w:rFonts w:asciiTheme="majorBidi" w:hAnsiTheme="majorBidi" w:cstheme="majorBidi"/>
              </w:rPr>
              <w:t>196</w:t>
            </w:r>
          </w:p>
        </w:tc>
      </w:tr>
      <w:tr w:rsidR="00F165FB" w:rsidRPr="009B198B" w:rsidTr="00355F3D">
        <w:tc>
          <w:tcPr>
            <w:tcW w:w="534" w:type="dxa"/>
          </w:tcPr>
          <w:p w:rsidR="00F165FB" w:rsidRPr="009B198B" w:rsidRDefault="00F165FB" w:rsidP="00355F3D">
            <w:pPr>
              <w:rPr>
                <w:rFonts w:asciiTheme="majorBidi" w:hAnsiTheme="majorBidi" w:cstheme="majorBidi"/>
              </w:rPr>
            </w:pPr>
            <w:r w:rsidRPr="009B198B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7159" w:type="dxa"/>
          </w:tcPr>
          <w:p w:rsidR="00F165FB" w:rsidRPr="009B198B" w:rsidRDefault="00F165FB" w:rsidP="00355F3D">
            <w:pPr>
              <w:rPr>
                <w:rFonts w:asciiTheme="majorBidi" w:hAnsiTheme="majorBidi" w:cstheme="majorBidi"/>
              </w:rPr>
            </w:pPr>
            <w:r w:rsidRPr="009B198B">
              <w:rPr>
                <w:rFonts w:asciiTheme="majorBidi" w:hAnsiTheme="majorBidi" w:cstheme="majorBidi"/>
              </w:rPr>
              <w:t>Organisation des travaux</w:t>
            </w:r>
          </w:p>
        </w:tc>
        <w:tc>
          <w:tcPr>
            <w:tcW w:w="2162" w:type="dxa"/>
          </w:tcPr>
          <w:p w:rsidR="00F165FB" w:rsidRPr="009B198B" w:rsidRDefault="005D2BC5" w:rsidP="00355F3D">
            <w:pPr>
              <w:jc w:val="center"/>
              <w:rPr>
                <w:rFonts w:asciiTheme="majorBidi" w:hAnsiTheme="majorBidi" w:cstheme="majorBidi"/>
              </w:rPr>
            </w:pPr>
            <w:r w:rsidRPr="005D2BC5">
              <w:rPr>
                <w:rFonts w:asciiTheme="majorBidi" w:hAnsiTheme="majorBidi" w:cstheme="majorBidi"/>
              </w:rPr>
              <w:t>–</w:t>
            </w:r>
          </w:p>
        </w:tc>
      </w:tr>
    </w:tbl>
    <w:p w:rsidR="00665ADF" w:rsidRPr="009B198B" w:rsidRDefault="00665ADF" w:rsidP="00F165FB">
      <w:pPr>
        <w:rPr>
          <w:rFonts w:asciiTheme="majorBidi" w:hAnsiTheme="majorBidi" w:cstheme="majorBidi"/>
        </w:rPr>
      </w:pPr>
    </w:p>
    <w:p w:rsidR="00665ADF" w:rsidRPr="00BE0F04" w:rsidRDefault="00665ADF" w:rsidP="00665AD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</w:rPr>
      </w:pPr>
      <w:r w:rsidRPr="00BE0F04">
        <w:rPr>
          <w:rFonts w:asciiTheme="minorHAnsi" w:hAnsiTheme="minorHAnsi"/>
        </w:rPr>
        <w:br w:type="page"/>
      </w:r>
    </w:p>
    <w:p w:rsidR="00665ADF" w:rsidRPr="00BE0F04" w:rsidRDefault="00665ADF" w:rsidP="009B198B">
      <w:pPr>
        <w:pStyle w:val="Heading1"/>
      </w:pPr>
      <w:r w:rsidRPr="00BE0F04">
        <w:lastRenderedPageBreak/>
        <w:t>1</w:t>
      </w:r>
      <w:r w:rsidRPr="00BE0F04">
        <w:tab/>
        <w:t>Répartition des documents</w:t>
      </w:r>
      <w:r>
        <w:t xml:space="preserve"> entre les commissions</w:t>
      </w:r>
      <w:r w:rsidRPr="00BE0F04">
        <w:t xml:space="preserve"> (suite)</w:t>
      </w:r>
    </w:p>
    <w:p w:rsidR="00665ADF" w:rsidRPr="00BE0F04" w:rsidRDefault="00665ADF" w:rsidP="009B198B">
      <w:r w:rsidRPr="00BE0F04">
        <w:t>1.1</w:t>
      </w:r>
      <w:r w:rsidRPr="00BE0F04">
        <w:tab/>
        <w:t xml:space="preserve">Le </w:t>
      </w:r>
      <w:r w:rsidRPr="00BE0F04">
        <w:rPr>
          <w:b/>
          <w:bCs/>
        </w:rPr>
        <w:t>Président</w:t>
      </w:r>
      <w:r w:rsidRPr="00BE0F04">
        <w:t xml:space="preserve"> rappelle que le Document</w:t>
      </w:r>
      <w:r>
        <w:t xml:space="preserve"> </w:t>
      </w:r>
      <w:r w:rsidRPr="00BE0F04">
        <w:t xml:space="preserve">DT/3 sur la répartition des documents entre les différentes </w:t>
      </w:r>
      <w:r>
        <w:t>c</w:t>
      </w:r>
      <w:r w:rsidRPr="00BE0F04">
        <w:t xml:space="preserve">ommissions a été </w:t>
      </w:r>
      <w:r>
        <w:t>examiné</w:t>
      </w:r>
      <w:r w:rsidRPr="00BE0F04">
        <w:t xml:space="preserve"> à la première </w:t>
      </w:r>
      <w:r>
        <w:t xml:space="preserve">séance </w:t>
      </w:r>
      <w:r w:rsidRPr="00BE0F04">
        <w:t xml:space="preserve">plénière. Considérant que ce serait une perte de temps pour la Conférence que de rouvrir cette question en plénière, il </w:t>
      </w:r>
      <w:r>
        <w:t xml:space="preserve">demande aux </w:t>
      </w:r>
      <w:r w:rsidRPr="00BE0F04">
        <w:t>délégations qui auraient des problèmes concernant l</w:t>
      </w:r>
      <w:r w:rsidR="00E52362">
        <w:t>'</w:t>
      </w:r>
      <w:r w:rsidRPr="00BE0F04">
        <w:t xml:space="preserve">affectation de leurs documents à telle ou telle </w:t>
      </w:r>
      <w:r>
        <w:t>c</w:t>
      </w:r>
      <w:r w:rsidRPr="00BE0F04">
        <w:t xml:space="preserve">ommission </w:t>
      </w:r>
      <w:r>
        <w:t xml:space="preserve">de soulever la question </w:t>
      </w:r>
      <w:r w:rsidRPr="00BE0F04">
        <w:t xml:space="preserve">au niveau des </w:t>
      </w:r>
      <w:r>
        <w:t>c</w:t>
      </w:r>
      <w:r w:rsidRPr="00BE0F04">
        <w:t xml:space="preserve">ommissions, la solution trouvée à ce niveau pouvant être ensuite simplement signalée à la plénière afin que celle-ci en prenne note. </w:t>
      </w:r>
    </w:p>
    <w:p w:rsidR="00665ADF" w:rsidRPr="00BE0F04" w:rsidRDefault="00665ADF" w:rsidP="009B198B">
      <w:pPr>
        <w:pStyle w:val="Heading1"/>
      </w:pPr>
      <w:r w:rsidRPr="00BE0F04">
        <w:t>2</w:t>
      </w:r>
      <w:r w:rsidRPr="00BE0F04">
        <w:tab/>
        <w:t xml:space="preserve">Rapports des Présidents des Commissions </w:t>
      </w:r>
      <w:r>
        <w:t xml:space="preserve">2, 3, 4, 5 et 6 </w:t>
      </w:r>
      <w:r w:rsidR="009B198B">
        <w:br/>
      </w:r>
      <w:r w:rsidRPr="00BE0F04">
        <w:t>(Documents 143</w:t>
      </w:r>
      <w:r>
        <w:t>(</w:t>
      </w:r>
      <w:r w:rsidRPr="00BE0F04">
        <w:t>Rév.1</w:t>
      </w:r>
      <w:r>
        <w:t>)</w:t>
      </w:r>
      <w:r w:rsidRPr="00BE0F04">
        <w:t>, 194)</w:t>
      </w:r>
    </w:p>
    <w:p w:rsidR="00665ADF" w:rsidRPr="00BE0F04" w:rsidRDefault="00665ADF" w:rsidP="009B198B">
      <w:r w:rsidRPr="00BE0F04">
        <w:t>2.1</w:t>
      </w:r>
      <w:r w:rsidRPr="00BE0F04">
        <w:tab/>
        <w:t xml:space="preserve">Le </w:t>
      </w:r>
      <w:r w:rsidRPr="00BE0F04">
        <w:rPr>
          <w:b/>
          <w:bCs/>
        </w:rPr>
        <w:t>Président de la Commission 2</w:t>
      </w:r>
      <w:r w:rsidRPr="00BE0F04">
        <w:t xml:space="preserve"> indique que la </w:t>
      </w:r>
      <w:r>
        <w:t>c</w:t>
      </w:r>
      <w:r w:rsidRPr="00BE0F04">
        <w:t>ommission a tenu sa première réunion le 4 novembre pour prendre note de son mandat et des dispositions de l</w:t>
      </w:r>
      <w:r w:rsidR="00E52362">
        <w:t>'</w:t>
      </w:r>
      <w:r w:rsidRPr="00BE0F04">
        <w:t>article 31 de la Conventio</w:t>
      </w:r>
      <w:r>
        <w:t>n et créer un groupe de travail</w:t>
      </w:r>
      <w:r w:rsidRPr="00BE0F04">
        <w:t xml:space="preserve"> qui s</w:t>
      </w:r>
      <w:r w:rsidR="00E52362">
        <w:t>'</w:t>
      </w:r>
      <w:r w:rsidRPr="00BE0F04">
        <w:t xml:space="preserve">est réuni immédiatement après pour vérifier les pouvoirs reçus </w:t>
      </w:r>
      <w:r>
        <w:t>jusque-là. Le groupe de travail</w:t>
      </w:r>
      <w:r w:rsidRPr="00BE0F04">
        <w:t xml:space="preserve"> a ainsi examiné 95 originaux de pouvoirs, dont 91 ont été jugés en règle, et a chargé le secrétariat de demander aux délégations concernées des éclaircissements sur les quatre pouvoirs restants. Des éclaircissements ont été fournis pour deux de ces derniers. Depuis cette réunion, la </w:t>
      </w:r>
      <w:r>
        <w:t>c</w:t>
      </w:r>
      <w:r w:rsidRPr="00BE0F04">
        <w:t xml:space="preserve">ommission a reçu 12 autres pouvoirs qui, avec ceux qui seront reçus avant la date limite fixée pour le dépôt des pouvoirs, seront vérifiés à la séance que la </w:t>
      </w:r>
      <w:r>
        <w:t>c</w:t>
      </w:r>
      <w:r w:rsidRPr="00BE0F04">
        <w:t>ommission tiendra le 17 novembre. Aucun transfert de pouvoir</w:t>
      </w:r>
      <w:r>
        <w:t>s</w:t>
      </w:r>
      <w:r w:rsidRPr="00BE0F04">
        <w:t xml:space="preserve"> ni procuration n</w:t>
      </w:r>
      <w:r w:rsidR="00E52362">
        <w:t>'</w:t>
      </w:r>
      <w:r w:rsidRPr="00BE0F04">
        <w:t>a été reçu jusque-là. Le Président de la Commission 2 invite les délégations qui ne l</w:t>
      </w:r>
      <w:r w:rsidR="00E52362">
        <w:t>'</w:t>
      </w:r>
      <w:r w:rsidRPr="00BE0F04">
        <w:t>ont pas encore fait à déposer leurs pouvo</w:t>
      </w:r>
      <w:r w:rsidR="009B198B">
        <w:t>irs le plus rapidement possible,</w:t>
      </w:r>
      <w:r w:rsidRPr="00BE0F04">
        <w:t xml:space="preserve"> au plus tard le 16 novembre à 18 heures.</w:t>
      </w:r>
    </w:p>
    <w:p w:rsidR="00665ADF" w:rsidRPr="00BE0F04" w:rsidRDefault="00665ADF" w:rsidP="009B198B">
      <w:r w:rsidRPr="00BE0F04">
        <w:t>2.2</w:t>
      </w:r>
      <w:r w:rsidRPr="00BE0F04">
        <w:tab/>
        <w:t xml:space="preserve">Il est </w:t>
      </w:r>
      <w:r w:rsidRPr="00BE0F04">
        <w:rPr>
          <w:b/>
          <w:bCs/>
        </w:rPr>
        <w:t>pris note</w:t>
      </w:r>
      <w:r w:rsidRPr="00BE0F04">
        <w:t xml:space="preserve"> du rapport oral du Président de la Commission 2.</w:t>
      </w:r>
    </w:p>
    <w:p w:rsidR="00665ADF" w:rsidRPr="00BE0F04" w:rsidRDefault="00665ADF" w:rsidP="009B198B">
      <w:r w:rsidRPr="00BE0F04">
        <w:t>2.3</w:t>
      </w:r>
      <w:r w:rsidRPr="00BE0F04">
        <w:tab/>
        <w:t xml:space="preserve">Le </w:t>
      </w:r>
      <w:r>
        <w:rPr>
          <w:b/>
          <w:bCs/>
        </w:rPr>
        <w:t>Président</w:t>
      </w:r>
      <w:r w:rsidRPr="00BE0F04">
        <w:rPr>
          <w:b/>
          <w:bCs/>
        </w:rPr>
        <w:t xml:space="preserve"> de la Commission 3</w:t>
      </w:r>
      <w:r w:rsidRPr="00BE0F04">
        <w:t xml:space="preserve"> fait part à la plénière des questions soulevées par les </w:t>
      </w:r>
      <w:r>
        <w:t>a</w:t>
      </w:r>
      <w:r w:rsidRPr="00BE0F04">
        <w:t>dministrations au cours de la première réunion de la Commission d</w:t>
      </w:r>
      <w:r>
        <w:t>e</w:t>
      </w:r>
      <w:r w:rsidRPr="00BE0F04">
        <w:t xml:space="preserve"> contrôle budgétaire tenue le matin même. La question des délais a été posée en ce qui concerne la production des documents compte tenu des surcoûts provoqués par la tr</w:t>
      </w:r>
      <w:r>
        <w:t>a</w:t>
      </w:r>
      <w:r w:rsidRPr="00BE0F04">
        <w:t>duction en urgence des documents. Il invite les délégations à présenter les documents en temps voulu pour éviter ces surcoûts. Le nombre des participants aux réunions est également un facteur de coûts, aussi conviendrait-il d</w:t>
      </w:r>
      <w:r w:rsidR="00E52362">
        <w:t>'</w:t>
      </w:r>
      <w:r w:rsidRPr="00BE0F04">
        <w:t>éviter d</w:t>
      </w:r>
      <w:r w:rsidR="00E52362">
        <w:t>'</w:t>
      </w:r>
      <w:r w:rsidRPr="00BE0F04">
        <w:t>avoir à organiser des réunions au</w:t>
      </w:r>
      <w:r>
        <w:t xml:space="preserve"> </w:t>
      </w:r>
      <w:r w:rsidRPr="00BE0F04">
        <w:t>CICG le week-end. Appel</w:t>
      </w:r>
      <w:r>
        <w:t>ant</w:t>
      </w:r>
      <w:r w:rsidRPr="00BE0F04">
        <w:t xml:space="preserve"> l</w:t>
      </w:r>
      <w:r w:rsidR="00E52362">
        <w:t>'</w:t>
      </w:r>
      <w:r w:rsidRPr="00BE0F04">
        <w:t xml:space="preserve">attention sur le Document 180, qui donne la situation financière de la Conférence à la date </w:t>
      </w:r>
      <w:r>
        <w:t>du 5 novembre 2015, il engage les Présidents des commissions à</w:t>
      </w:r>
      <w:r w:rsidRPr="00BE0F04">
        <w:t xml:space="preserve"> veiller à ce que toutes les décisions susceptibles d</w:t>
      </w:r>
      <w:r w:rsidR="00E52362">
        <w:t>'</w:t>
      </w:r>
      <w:r w:rsidRPr="00BE0F04">
        <w:t>avoir des incidences financières soien</w:t>
      </w:r>
      <w:r>
        <w:t>t communiquées dès que possible</w:t>
      </w:r>
      <w:r w:rsidRPr="00BE0F04">
        <w:t xml:space="preserve"> à la Commission 3 afin que les comptes de la Conférence soient tenus de manière appropriée.</w:t>
      </w:r>
    </w:p>
    <w:p w:rsidR="00665ADF" w:rsidRPr="00BE0F04" w:rsidRDefault="00665ADF" w:rsidP="009B198B">
      <w:r w:rsidRPr="00BE0F04">
        <w:t>2.4</w:t>
      </w:r>
      <w:r w:rsidRPr="00BE0F04">
        <w:tab/>
        <w:t xml:space="preserve">Il est </w:t>
      </w:r>
      <w:r w:rsidRPr="00BE0F04">
        <w:rPr>
          <w:b/>
          <w:bCs/>
        </w:rPr>
        <w:t>pris note</w:t>
      </w:r>
      <w:r w:rsidRPr="00BE0F04">
        <w:t xml:space="preserve"> du rapport oral du Président de la Commission 3. </w:t>
      </w:r>
    </w:p>
    <w:p w:rsidR="00665ADF" w:rsidRPr="00BE0F04" w:rsidRDefault="00665ADF" w:rsidP="009B198B">
      <w:r w:rsidRPr="00BE0F04">
        <w:t>2.5</w:t>
      </w:r>
      <w:r w:rsidRPr="00BE0F04">
        <w:tab/>
        <w:t xml:space="preserve">Le </w:t>
      </w:r>
      <w:r>
        <w:rPr>
          <w:b/>
          <w:bCs/>
        </w:rPr>
        <w:t>Président</w:t>
      </w:r>
      <w:r w:rsidRPr="00BE0F04">
        <w:rPr>
          <w:b/>
          <w:bCs/>
        </w:rPr>
        <w:t xml:space="preserve"> de la Commission 4</w:t>
      </w:r>
      <w:r w:rsidRPr="00BE0F04">
        <w:t xml:space="preserve"> fait le point sur l</w:t>
      </w:r>
      <w:r w:rsidR="00E52362">
        <w:t>'</w:t>
      </w:r>
      <w:r w:rsidRPr="00BE0F04">
        <w:t>état d</w:t>
      </w:r>
      <w:r w:rsidR="00E52362">
        <w:t>'</w:t>
      </w:r>
      <w:r w:rsidRPr="00BE0F04">
        <w:t xml:space="preserve">avancement des travaux de ses trois groupes de travail. En ce qui concerne le </w:t>
      </w:r>
      <w:r>
        <w:t>groupe de travail 4A</w:t>
      </w:r>
      <w:r w:rsidRPr="00BE0F04">
        <w:t>, les travaux relatifs au point</w:t>
      </w:r>
      <w:r w:rsidR="00E52362">
        <w:t> </w:t>
      </w:r>
      <w:r w:rsidRPr="00BE0F04">
        <w:t>1.17</w:t>
      </w:r>
      <w:r>
        <w:t xml:space="preserve"> de l</w:t>
      </w:r>
      <w:r w:rsidR="00E52362">
        <w:t>'</w:t>
      </w:r>
      <w:r>
        <w:t>ordre du jour</w:t>
      </w:r>
      <w:r w:rsidRPr="00BE0F04">
        <w:t xml:space="preserve"> sont achevés et leur résultat a été transmis à la Commission de rédaction, qui les soumet à la </w:t>
      </w:r>
      <w:r>
        <w:t xml:space="preserve">présente séance de la </w:t>
      </w:r>
      <w:r w:rsidRPr="00BE0F04">
        <w:t xml:space="preserve">plénière dans le Document 196. Les travaux concernant le point 1.18 </w:t>
      </w:r>
      <w:r>
        <w:t>de l</w:t>
      </w:r>
      <w:r w:rsidR="00E52362">
        <w:t>'</w:t>
      </w:r>
      <w:r>
        <w:t xml:space="preserve">ordre du jour </w:t>
      </w:r>
      <w:r w:rsidRPr="00BE0F04">
        <w:t xml:space="preserve">et </w:t>
      </w:r>
      <w:r>
        <w:t>le s</w:t>
      </w:r>
      <w:r w:rsidRPr="00BE0F04">
        <w:t>uivi des vols à l</w:t>
      </w:r>
      <w:r w:rsidR="00E52362">
        <w:t>'</w:t>
      </w:r>
      <w:r w:rsidRPr="00BE0F04">
        <w:t>échelle mondiale progressent et pourraient s</w:t>
      </w:r>
      <w:r w:rsidR="00E52362">
        <w:t>'</w:t>
      </w:r>
      <w:r w:rsidRPr="00BE0F04">
        <w:t xml:space="preserve">achever </w:t>
      </w:r>
      <w:r>
        <w:t>au</w:t>
      </w:r>
      <w:r w:rsidRPr="00BE0F04">
        <w:t xml:space="preserve"> début de </w:t>
      </w:r>
      <w:r>
        <w:t xml:space="preserve">la </w:t>
      </w:r>
      <w:r w:rsidRPr="00BE0F04">
        <w:t>semaine suivante. L</w:t>
      </w:r>
      <w:r w:rsidR="00E52362">
        <w:t>'</w:t>
      </w:r>
      <w:r w:rsidRPr="00BE0F04">
        <w:t xml:space="preserve">examen du point 1.5 en est à ses débuts. </w:t>
      </w:r>
      <w:r>
        <w:t xml:space="preserve">Le groupe de travail </w:t>
      </w:r>
      <w:r w:rsidRPr="00BE0F04">
        <w:t>4B a achevé l</w:t>
      </w:r>
      <w:r w:rsidR="00E52362">
        <w:t>'</w:t>
      </w:r>
      <w:r w:rsidRPr="00BE0F04">
        <w:t xml:space="preserve">examen du point 1.15, dont les résultats ont été transmis à la Commission de rédaction qui les soumet à la </w:t>
      </w:r>
      <w:r>
        <w:t xml:space="preserve">présente séance de la </w:t>
      </w:r>
      <w:r w:rsidRPr="00BE0F04">
        <w:t xml:space="preserve">plénière dans le Document 187, et il poursuit ses travaux sur les </w:t>
      </w:r>
      <w:r>
        <w:t xml:space="preserve">points 1.4 et 1.16. Enfin, le groupe de travail </w:t>
      </w:r>
      <w:r w:rsidRPr="00BE0F04">
        <w:t>4C poursuit ses travaux sur les points 1.1, 1.2 et 1.3 et la question 9.</w:t>
      </w:r>
      <w:r>
        <w:t>1.7 au titre du point 9.1 de l</w:t>
      </w:r>
      <w:r w:rsidR="00E52362">
        <w:t>'</w:t>
      </w:r>
      <w:r>
        <w:t>ordre du jour</w:t>
      </w:r>
      <w:r w:rsidRPr="00BE0F04">
        <w:t>.</w:t>
      </w:r>
    </w:p>
    <w:p w:rsidR="00665ADF" w:rsidRPr="00BE0F04" w:rsidRDefault="00665ADF" w:rsidP="009B198B">
      <w:r w:rsidRPr="00BE0F04">
        <w:t>2.6</w:t>
      </w:r>
      <w:r w:rsidRPr="00BE0F04">
        <w:tab/>
        <w:t xml:space="preserve">Il est </w:t>
      </w:r>
      <w:r w:rsidRPr="00BE0F04">
        <w:rPr>
          <w:b/>
          <w:bCs/>
        </w:rPr>
        <w:t>pris note</w:t>
      </w:r>
      <w:r w:rsidRPr="00BE0F04">
        <w:t xml:space="preserve"> du rapport oral du Président de la Commission 4.</w:t>
      </w:r>
    </w:p>
    <w:p w:rsidR="00665ADF" w:rsidRPr="00BE0F04" w:rsidRDefault="00665ADF" w:rsidP="009B198B">
      <w:r w:rsidRPr="00BE0F04">
        <w:lastRenderedPageBreak/>
        <w:t>2.7</w:t>
      </w:r>
      <w:r w:rsidRPr="00BE0F04">
        <w:tab/>
        <w:t xml:space="preserve">Le </w:t>
      </w:r>
      <w:r>
        <w:rPr>
          <w:b/>
          <w:bCs/>
        </w:rPr>
        <w:t>Président</w:t>
      </w:r>
      <w:r w:rsidRPr="00BE0F04">
        <w:rPr>
          <w:b/>
          <w:bCs/>
        </w:rPr>
        <w:t xml:space="preserve"> de la Commission 5</w:t>
      </w:r>
      <w:r>
        <w:t xml:space="preserve"> i</w:t>
      </w:r>
      <w:r w:rsidRPr="00BE0F04">
        <w:t>ndique qu</w:t>
      </w:r>
      <w:r w:rsidR="00E52362">
        <w:t>'</w:t>
      </w:r>
      <w:r w:rsidRPr="00BE0F04">
        <w:t>au cours des deux réunions qu</w:t>
      </w:r>
      <w:r w:rsidR="00E52362">
        <w:t>'</w:t>
      </w:r>
      <w:r w:rsidRPr="00BE0F04">
        <w:t xml:space="preserve">elle a tenues depuis la </w:t>
      </w:r>
      <w:r>
        <w:t xml:space="preserve">séance </w:t>
      </w:r>
      <w:r w:rsidRPr="00BE0F04">
        <w:t xml:space="preserve">plénière précédente, la </w:t>
      </w:r>
      <w:r>
        <w:t>c</w:t>
      </w:r>
      <w:r w:rsidRPr="00BE0F04">
        <w:t>ommission a adopté les documents de travail relatifs</w:t>
      </w:r>
      <w:r>
        <w:t xml:space="preserve"> au</w:t>
      </w:r>
      <w:r w:rsidRPr="00BE0F04">
        <w:t xml:space="preserve"> </w:t>
      </w:r>
      <w:r>
        <w:t>point 1.13 de l</w:t>
      </w:r>
      <w:r w:rsidR="00E52362">
        <w:t>'</w:t>
      </w:r>
      <w:r>
        <w:t xml:space="preserve">ordre du jour et aux questions </w:t>
      </w:r>
      <w:r w:rsidRPr="00BE0F04">
        <w:t xml:space="preserve">9.1.1, 9.1.3 et 9.1.8 </w:t>
      </w:r>
      <w:r>
        <w:t xml:space="preserve">au titre du point 9.1 </w:t>
      </w:r>
      <w:r w:rsidRPr="00BE0F04">
        <w:t>de l</w:t>
      </w:r>
      <w:r w:rsidR="00E52362">
        <w:t>'</w:t>
      </w:r>
      <w:r w:rsidRPr="00BE0F04">
        <w:t xml:space="preserve">ordre du jour et les a transmis à la </w:t>
      </w:r>
      <w:r>
        <w:t>c</w:t>
      </w:r>
      <w:r w:rsidRPr="00BE0F04">
        <w:t>ommission de rédaction, qui les soumet à la plénière à la séance en cours</w:t>
      </w:r>
      <w:r>
        <w:t xml:space="preserve"> (Documents 187 et 196)</w:t>
      </w:r>
      <w:r w:rsidRPr="00BE0F04">
        <w:t xml:space="preserve">. La </w:t>
      </w:r>
      <w:r>
        <w:t>c</w:t>
      </w:r>
      <w:r w:rsidRPr="00BE0F04">
        <w:t xml:space="preserve">ommission a également adopté les modifications proposées au titre du point 5 </w:t>
      </w:r>
      <w:r>
        <w:t>de l</w:t>
      </w:r>
      <w:r w:rsidR="00E52362">
        <w:t>'</w:t>
      </w:r>
      <w:r>
        <w:t xml:space="preserve">ordre du jour </w:t>
      </w:r>
      <w:r w:rsidRPr="00BE0F04">
        <w:t>en ce qui concerne l</w:t>
      </w:r>
      <w:r w:rsidR="00E52362">
        <w:t>'</w:t>
      </w:r>
      <w:r w:rsidRPr="00BE0F04">
        <w:t>Appendice</w:t>
      </w:r>
      <w:r w:rsidR="00F165FB">
        <w:t> </w:t>
      </w:r>
      <w:r w:rsidRPr="00BE0F04">
        <w:t>7 du Règlement des radiocommunications mais attend que les modifications au même appendice examinées dans le cadre d</w:t>
      </w:r>
      <w:r w:rsidR="00E52362">
        <w:t>'</w:t>
      </w:r>
      <w:r w:rsidRPr="00BE0F04">
        <w:t>autres points de l</w:t>
      </w:r>
      <w:r w:rsidR="00E52362">
        <w:t>'</w:t>
      </w:r>
      <w:r w:rsidRPr="00BE0F04">
        <w:t>ordre du jour soient adoptées pour présenter le tout en un seul document. Elle a examiné un document sur l</w:t>
      </w:r>
      <w:r>
        <w:t xml:space="preserve">a question </w:t>
      </w:r>
      <w:r w:rsidRPr="00BE0F04">
        <w:t>9.1.5</w:t>
      </w:r>
      <w:r>
        <w:t xml:space="preserve"> au titre du point 9.1 de l</w:t>
      </w:r>
      <w:r w:rsidR="00E52362">
        <w:t>'</w:t>
      </w:r>
      <w:r>
        <w:t>ordre du jour</w:t>
      </w:r>
      <w:r w:rsidRPr="00BE0F04">
        <w:t xml:space="preserve"> émanant du </w:t>
      </w:r>
      <w:r>
        <w:t xml:space="preserve">groupe de travail </w:t>
      </w:r>
      <w:r w:rsidRPr="00BE0F04">
        <w:t>5C mais l</w:t>
      </w:r>
      <w:r w:rsidR="00E52362">
        <w:t>'</w:t>
      </w:r>
      <w:r w:rsidRPr="00BE0F04">
        <w:t>a renvoyé à ce dernier pour prise en compte de toutes les observations y relatives. Les travaux concernant les autres points de l</w:t>
      </w:r>
      <w:r w:rsidR="00E52362">
        <w:t>'</w:t>
      </w:r>
      <w:r w:rsidRPr="00BE0F04">
        <w:t>ordre du jour se poursuivent au sein des groupes de travail.</w:t>
      </w:r>
    </w:p>
    <w:p w:rsidR="00665ADF" w:rsidRPr="00BE0F04" w:rsidRDefault="00665ADF" w:rsidP="009B198B">
      <w:r w:rsidRPr="00BE0F04">
        <w:t>2.8</w:t>
      </w:r>
      <w:r w:rsidRPr="00BE0F04">
        <w:tab/>
        <w:t xml:space="preserve">Il est </w:t>
      </w:r>
      <w:r w:rsidRPr="00BE0F04">
        <w:rPr>
          <w:b/>
          <w:bCs/>
        </w:rPr>
        <w:t>pris note</w:t>
      </w:r>
      <w:r w:rsidRPr="00BE0F04">
        <w:t xml:space="preserve"> du rapport oral du Président de la Commission 5.</w:t>
      </w:r>
    </w:p>
    <w:p w:rsidR="00665ADF" w:rsidRPr="00BE0F04" w:rsidRDefault="00665ADF" w:rsidP="009B198B">
      <w:r w:rsidRPr="00BE0F04">
        <w:t>2.9</w:t>
      </w:r>
      <w:r w:rsidRPr="00BE0F04">
        <w:tab/>
        <w:t xml:space="preserve">La </w:t>
      </w:r>
      <w:r w:rsidRPr="00BE0F04">
        <w:rPr>
          <w:b/>
          <w:bCs/>
        </w:rPr>
        <w:t>Présidente de la Commission 6</w:t>
      </w:r>
      <w:r w:rsidRPr="00BE0F04">
        <w:t xml:space="preserve"> fait état de progrès notable</w:t>
      </w:r>
      <w:r>
        <w:t>s</w:t>
      </w:r>
      <w:r w:rsidRPr="00BE0F04">
        <w:t xml:space="preserve"> concernant le point 8 de l</w:t>
      </w:r>
      <w:r w:rsidR="00E52362">
        <w:t>'</w:t>
      </w:r>
      <w:r w:rsidRPr="00BE0F04">
        <w:t>ordre du jour, pour lequel il faudra néanmoins attendre l</w:t>
      </w:r>
      <w:r w:rsidR="00E52362">
        <w:t>'</w:t>
      </w:r>
      <w:r w:rsidRPr="00BE0F04">
        <w:t xml:space="preserve">expiration des deux délais fixés pour, respectivement, les adjonctions et les suppressions </w:t>
      </w:r>
      <w:r>
        <w:t xml:space="preserve">de noms de pays </w:t>
      </w:r>
      <w:r w:rsidRPr="00BE0F04">
        <w:t>dans les renvois pour pouvoir étudier toutes les propositions. Il en va de même pour le point 10, qui fait encore l</w:t>
      </w:r>
      <w:r w:rsidR="00E52362">
        <w:t>'</w:t>
      </w:r>
      <w:r w:rsidRPr="00BE0F04">
        <w:t xml:space="preserve">objet de nouvelles propositions. Un sous-groupe a été mis sur pied pour étudier celles relatives aux IMT au-delà de 6 </w:t>
      </w:r>
      <w:r>
        <w:t>GH</w:t>
      </w:r>
      <w:r w:rsidRPr="00BE0F04">
        <w:t>z. Les propositions de suppression de trois résolutions ont d</w:t>
      </w:r>
      <w:r w:rsidR="00E52362">
        <w:t>'</w:t>
      </w:r>
      <w:r w:rsidRPr="00BE0F04">
        <w:t xml:space="preserve">ores et déjà été transmises à la </w:t>
      </w:r>
      <w:r>
        <w:t>C</w:t>
      </w:r>
      <w:r w:rsidRPr="00BE0F04">
        <w:t xml:space="preserve">ommission de rédaction, qui les soumet à la </w:t>
      </w:r>
      <w:r>
        <w:t xml:space="preserve">présente séance de la </w:t>
      </w:r>
      <w:r w:rsidRPr="00BE0F04">
        <w:t xml:space="preserve">plénière dans le Document 196. La </w:t>
      </w:r>
      <w:r>
        <w:t>c</w:t>
      </w:r>
      <w:r w:rsidRPr="00BE0F04">
        <w:t>ommission a achevé ses travaux sur l</w:t>
      </w:r>
      <w:r>
        <w:t xml:space="preserve">a question </w:t>
      </w:r>
      <w:r w:rsidRPr="00BE0F04">
        <w:t xml:space="preserve">9.1.6 </w:t>
      </w:r>
      <w:r>
        <w:t>au titre du point 9.1 de l</w:t>
      </w:r>
      <w:r w:rsidR="00E52362">
        <w:t>'</w:t>
      </w:r>
      <w:r>
        <w:t xml:space="preserve">ordre du jour </w:t>
      </w:r>
      <w:r w:rsidRPr="00BE0F04">
        <w:t>et la suppression de la résolution correspondante est également soumise à la plénière dans le document précité.</w:t>
      </w:r>
    </w:p>
    <w:p w:rsidR="00665ADF" w:rsidRPr="00BE0F04" w:rsidRDefault="00665ADF" w:rsidP="009B198B">
      <w:r w:rsidRPr="00BE0F04">
        <w:t>2.10</w:t>
      </w:r>
      <w:r w:rsidRPr="00BE0F04">
        <w:tab/>
        <w:t xml:space="preserve">Il est </w:t>
      </w:r>
      <w:r w:rsidRPr="00BE0F04">
        <w:rPr>
          <w:b/>
          <w:bCs/>
        </w:rPr>
        <w:t>pris note</w:t>
      </w:r>
      <w:r w:rsidRPr="00BE0F04">
        <w:t xml:space="preserve"> du rapport oral de la Présidente de la Commission 6.</w:t>
      </w:r>
    </w:p>
    <w:p w:rsidR="00665ADF" w:rsidRPr="00BE0F04" w:rsidRDefault="00665ADF" w:rsidP="009B198B">
      <w:r w:rsidRPr="00BE0F04">
        <w:t>2.11</w:t>
      </w:r>
      <w:r w:rsidRPr="00BE0F04">
        <w:tab/>
        <w:t xml:space="preserve">Le </w:t>
      </w:r>
      <w:r>
        <w:rPr>
          <w:b/>
          <w:bCs/>
        </w:rPr>
        <w:t>Président</w:t>
      </w:r>
      <w:r w:rsidRPr="00BE0F04">
        <w:rPr>
          <w:b/>
          <w:bCs/>
        </w:rPr>
        <w:t xml:space="preserve"> de la Commission 5</w:t>
      </w:r>
      <w:r w:rsidRPr="00BE0F04">
        <w:t>, présentant le Document 143</w:t>
      </w:r>
      <w:r>
        <w:t>(</w:t>
      </w:r>
      <w:r w:rsidRPr="00BE0F04">
        <w:t>Rév.1</w:t>
      </w:r>
      <w:r>
        <w:t>)</w:t>
      </w:r>
      <w:r w:rsidRPr="00BE0F04">
        <w:t>, dit que ce dernier n</w:t>
      </w:r>
      <w:r w:rsidR="00E52362">
        <w:t>'</w:t>
      </w:r>
      <w:r w:rsidRPr="00BE0F04">
        <w:t>apporte que deux modifications limitées au document initial. La première a consisté à ajouter à la fin du troisième paragraphe de l</w:t>
      </w:r>
      <w:r w:rsidR="00E52362">
        <w:t>'</w:t>
      </w:r>
      <w:r>
        <w:t>A</w:t>
      </w:r>
      <w:r w:rsidRPr="00BE0F04">
        <w:t xml:space="preserve">nnexe 1 le membre de phrase </w:t>
      </w:r>
      <w:r w:rsidR="00F165FB">
        <w:t>«</w:t>
      </w:r>
      <w:r w:rsidRPr="00BE0F04">
        <w:t xml:space="preserve">en </w:t>
      </w:r>
      <w:r>
        <w:t xml:space="preserve">concertation </w:t>
      </w:r>
      <w:r w:rsidRPr="00BE0F04">
        <w:t>avec la Commission 4</w:t>
      </w:r>
      <w:r w:rsidR="00F165FB">
        <w:t>»</w:t>
      </w:r>
      <w:r w:rsidRPr="00BE0F04">
        <w:t>. En conséquence, les Présidents des Commissions 4,</w:t>
      </w:r>
      <w:r>
        <w:t xml:space="preserve"> </w:t>
      </w:r>
      <w:r w:rsidRPr="00BE0F04">
        <w:t>5 et 6 sont convenus d</w:t>
      </w:r>
      <w:r w:rsidR="00E52362">
        <w:t>'</w:t>
      </w:r>
      <w:r w:rsidRPr="00BE0F04">
        <w:t xml:space="preserve">organiser une réunion conjointe des </w:t>
      </w:r>
      <w:r>
        <w:t>sous-</w:t>
      </w:r>
      <w:r w:rsidRPr="00BE0F04">
        <w:t>groupes de travail 4C1 et 5C4 qui sera coprésidée par les présidents d</w:t>
      </w:r>
      <w:r>
        <w:t>es deux groupes et se tiendra au</w:t>
      </w:r>
      <w:r w:rsidRPr="00BE0F04">
        <w:t xml:space="preserve"> début de </w:t>
      </w:r>
      <w:r>
        <w:t xml:space="preserve">la </w:t>
      </w:r>
      <w:r w:rsidRPr="00BE0F04">
        <w:t xml:space="preserve">semaine suivante. La seconde modification a consisté à rajouter deux </w:t>
      </w:r>
      <w:r>
        <w:t xml:space="preserve">lignes </w:t>
      </w:r>
      <w:r w:rsidRPr="00BE0F04">
        <w:t>à la fin du tableau de l</w:t>
      </w:r>
      <w:r w:rsidR="00E52362">
        <w:t>'</w:t>
      </w:r>
      <w:r>
        <w:t>A</w:t>
      </w:r>
      <w:r w:rsidRPr="00BE0F04">
        <w:t>nnexe 2, le groupe prévu</w:t>
      </w:r>
      <w:r>
        <w:t xml:space="preserve"> pour ces deux paragraphes étant toutefois le groupe de travail 5A et non le groupe de travail </w:t>
      </w:r>
      <w:r w:rsidRPr="00BE0F04">
        <w:t>5C.</w:t>
      </w:r>
    </w:p>
    <w:p w:rsidR="00665ADF" w:rsidRPr="00BE0F04" w:rsidRDefault="00665ADF" w:rsidP="009B198B">
      <w:r w:rsidRPr="00BE0F04">
        <w:t>2.12</w:t>
      </w:r>
      <w:r w:rsidRPr="00BE0F04">
        <w:tab/>
        <w:t xml:space="preserve">Le </w:t>
      </w:r>
      <w:r w:rsidRPr="005D4BB5">
        <w:rPr>
          <w:b/>
          <w:bCs/>
        </w:rPr>
        <w:t>Président</w:t>
      </w:r>
      <w:r w:rsidRPr="00BE0F04">
        <w:t xml:space="preserve"> rappelle que le Document 143 a été approuvé lors de la </w:t>
      </w:r>
      <w:r>
        <w:t xml:space="preserve">séance </w:t>
      </w:r>
      <w:r w:rsidRPr="00BE0F04">
        <w:t xml:space="preserve">plénière précédente et que la </w:t>
      </w:r>
      <w:r>
        <w:t xml:space="preserve">séance </w:t>
      </w:r>
      <w:r w:rsidRPr="00BE0F04">
        <w:t>en cours doit simplement prendre note de sa version révisée.</w:t>
      </w:r>
    </w:p>
    <w:p w:rsidR="00665ADF" w:rsidRPr="00BE0F04" w:rsidRDefault="00665ADF" w:rsidP="009B198B">
      <w:r w:rsidRPr="00BE0F04">
        <w:t xml:space="preserve">2.13 </w:t>
      </w:r>
      <w:r>
        <w:tab/>
        <w:t>I</w:t>
      </w:r>
      <w:r w:rsidRPr="00BE0F04">
        <w:t xml:space="preserve">l en est ainsi </w:t>
      </w:r>
      <w:r w:rsidRPr="00BE0F04">
        <w:rPr>
          <w:b/>
          <w:bCs/>
        </w:rPr>
        <w:t>décidé</w:t>
      </w:r>
      <w:r w:rsidRPr="00BE0F04">
        <w:t>.</w:t>
      </w:r>
    </w:p>
    <w:p w:rsidR="00665ADF" w:rsidRPr="00BE0F04" w:rsidRDefault="00665ADF" w:rsidP="009B198B">
      <w:r w:rsidRPr="00BE0F04">
        <w:t xml:space="preserve">2. 14 </w:t>
      </w:r>
      <w:r>
        <w:tab/>
      </w:r>
      <w:r w:rsidRPr="00BE0F04">
        <w:t>Le</w:t>
      </w:r>
      <w:r w:rsidRPr="00BE0F04">
        <w:rPr>
          <w:b/>
          <w:bCs/>
        </w:rPr>
        <w:t xml:space="preserve"> Président de la Commission 5</w:t>
      </w:r>
      <w:r w:rsidRPr="00BE0F04">
        <w:t xml:space="preserve">, présentant le Document 194, souligne, en ce qui concerne la question 9.1.3 relative au point </w:t>
      </w:r>
      <w:r>
        <w:t>9.1 de l'ordre du jour, que la c</w:t>
      </w:r>
      <w:r w:rsidRPr="00BE0F04">
        <w:t>ommission s'est félicitée des efforts déployés à ce sujet par l'AR</w:t>
      </w:r>
      <w:r>
        <w:t>-15</w:t>
      </w:r>
      <w:r w:rsidRPr="00BE0F04">
        <w:t xml:space="preserve"> et de l'approbation de la Résolution UIT-R 69. Compte tenu, d'une part, des similarités entre la Résolution 11 (CMR-12) et la Résolution UIT-R 69 et, d'autre part, du fait que les objectifs de la Résolution 11 (CMR-12) ont été remplis de manière satisfaisante par</w:t>
      </w:r>
      <w:r w:rsidR="00F165FB">
        <w:t xml:space="preserve"> </w:t>
      </w:r>
      <w:r w:rsidRPr="00BE0F04">
        <w:t>la Résolution UIT-R 69, la Commission 5 a conclu qu'il faudrait supprimer la Résolution 11 (CMR-12) et qu'il ne fallait pas apporter d'autre modification au Règlement des radiocommunications au titre de la question 9.1.3 . Il est proposé en outre de charger le Secrétaire général de porter ces éléments à l'attention de l'Organisation internationale des télécommunications par satellite et de l'Organisation internationale des télécommunications mobiles par satellite.</w:t>
      </w:r>
    </w:p>
    <w:p w:rsidR="00665ADF" w:rsidRPr="00BE0F04" w:rsidRDefault="00665ADF" w:rsidP="009B198B">
      <w:r w:rsidRPr="00BE0F04">
        <w:t>2.15</w:t>
      </w:r>
      <w:r>
        <w:tab/>
      </w:r>
      <w:r w:rsidRPr="00BE0F04">
        <w:t xml:space="preserve">Le </w:t>
      </w:r>
      <w:r w:rsidRPr="00BE0F04">
        <w:rPr>
          <w:b/>
          <w:bCs/>
        </w:rPr>
        <w:t>délégué de la République islamique d'Iran</w:t>
      </w:r>
      <w:r w:rsidR="00F165FB">
        <w:t xml:space="preserve"> </w:t>
      </w:r>
      <w:r>
        <w:t>dit qu</w:t>
      </w:r>
      <w:r w:rsidR="00E52362">
        <w:t>'</w:t>
      </w:r>
      <w:r>
        <w:t xml:space="preserve">il convient de </w:t>
      </w:r>
      <w:r w:rsidRPr="00BE0F04">
        <w:t>remercie</w:t>
      </w:r>
      <w:r>
        <w:t>r</w:t>
      </w:r>
      <w:r w:rsidR="00F165FB">
        <w:t xml:space="preserve"> </w:t>
      </w:r>
      <w:r w:rsidRPr="00BE0F04">
        <w:t xml:space="preserve">l'Assemblée des radiocommunications, qui s'est inspirée d'une proposition émanant des </w:t>
      </w:r>
      <w:r w:rsidR="00F165FB">
        <w:t>E</w:t>
      </w:r>
      <w:r w:rsidRPr="00BE0F04">
        <w:t>tats</w:t>
      </w:r>
      <w:r w:rsidR="00E52362" w:rsidRPr="00E52362">
        <w:noBreakHyphen/>
      </w:r>
      <w:r w:rsidRPr="00BE0F04">
        <w:t>Unis,</w:t>
      </w:r>
      <w:r w:rsidR="00F165FB">
        <w:t xml:space="preserve"> </w:t>
      </w:r>
      <w:r w:rsidRPr="00BE0F04">
        <w:t>de l'aide apportée aux travaux de la Conférence.</w:t>
      </w:r>
    </w:p>
    <w:p w:rsidR="00665ADF" w:rsidRPr="00BE0F04" w:rsidRDefault="00665ADF" w:rsidP="009B198B">
      <w:r w:rsidRPr="00BE0F04">
        <w:t xml:space="preserve">2.16 </w:t>
      </w:r>
      <w:r>
        <w:tab/>
      </w:r>
      <w:r w:rsidRPr="00BE0F04">
        <w:t xml:space="preserve">Le </w:t>
      </w:r>
      <w:r w:rsidRPr="00BE0F04">
        <w:rPr>
          <w:b/>
          <w:bCs/>
        </w:rPr>
        <w:t>Président de la Commission 5</w:t>
      </w:r>
      <w:r w:rsidRPr="00BE0F04">
        <w:t>, abordant la question 9.1.8 sur les aspects réglementaires des nanosatellites et des picosatellites, relève, tout en se félicitant de l'approbation par l'AR</w:t>
      </w:r>
      <w:r>
        <w:t>-15</w:t>
      </w:r>
      <w:r w:rsidRPr="00BE0F04">
        <w:t xml:space="preserve"> de </w:t>
      </w:r>
      <w:r>
        <w:t>la Résolution UIT-R 68, que la c</w:t>
      </w:r>
      <w:r w:rsidRPr="00BE0F04">
        <w:t>ommission a noté que l'AR</w:t>
      </w:r>
      <w:r w:rsidR="00F165FB">
        <w:t xml:space="preserve"> </w:t>
      </w:r>
      <w:r w:rsidRPr="00BE0F04">
        <w:t xml:space="preserve">n'avait pas prévu d'examiner les changements qu'il faudrait éventuellement apporter aux procédures réglementaires de coordination et de notification applicables à ces satellites, sans exclure toutefois un tel examen. La Commission 5 est d'avis que cet examen pourrait être entrepris au titre d'un point de l'ordre du jour permanent des CMR, à savoir le point 7, et propose de supprimer la Résolution 757 (CMR-12). Il ne serait pas nécessaire d'apporter d'autre modification au Règlement des radiocommunications </w:t>
      </w:r>
      <w:r>
        <w:t xml:space="preserve">au titre </w:t>
      </w:r>
      <w:r w:rsidRPr="00BE0F04">
        <w:t xml:space="preserve">du point 9.1 de l'ordre du jour, question 9.1.8. </w:t>
      </w:r>
    </w:p>
    <w:p w:rsidR="00665ADF" w:rsidRPr="00BE0F04" w:rsidRDefault="00665ADF" w:rsidP="009B198B">
      <w:r w:rsidRPr="00BE0F04">
        <w:t>2.17</w:t>
      </w:r>
      <w:r>
        <w:tab/>
      </w:r>
      <w:r w:rsidRPr="00BE0F04">
        <w:t xml:space="preserve">Le </w:t>
      </w:r>
      <w:r w:rsidRPr="00BE0F04">
        <w:rPr>
          <w:b/>
          <w:bCs/>
        </w:rPr>
        <w:t xml:space="preserve">délégué d'Israël </w:t>
      </w:r>
      <w:r w:rsidRPr="00BE0F04">
        <w:t>fait observer que l'adoption par l'AR</w:t>
      </w:r>
      <w:r>
        <w:t>-15</w:t>
      </w:r>
      <w:r w:rsidRPr="00BE0F04">
        <w:t xml:space="preserve"> de la résolution traitant des nanosatellites et des picosatellites est à l'origine de la proposition de suppression de la Résolution 757 (CMR-12), alors que la Commission 6 examine un document déjà soumis à l'AR et proposant une nouvelle résolution sur ce sujet. Ce cas n'est pas unique. Il </w:t>
      </w:r>
      <w:r>
        <w:t xml:space="preserve">aimerait savoir ce que pense </w:t>
      </w:r>
      <w:r w:rsidRPr="00BE0F04">
        <w:t xml:space="preserve">la plénière </w:t>
      </w:r>
      <w:r>
        <w:t xml:space="preserve">du </w:t>
      </w:r>
      <w:r w:rsidRPr="00BE0F04">
        <w:t>fait que des contributions examinées par l'AR</w:t>
      </w:r>
      <w:r>
        <w:t>-15</w:t>
      </w:r>
      <w:r w:rsidRPr="00BE0F04">
        <w:t xml:space="preserve"> font </w:t>
      </w:r>
      <w:r>
        <w:t xml:space="preserve">maintenant </w:t>
      </w:r>
      <w:r w:rsidRPr="00BE0F04">
        <w:t>l'objet de proposition</w:t>
      </w:r>
      <w:r>
        <w:t>s</w:t>
      </w:r>
      <w:r w:rsidRPr="00BE0F04">
        <w:t xml:space="preserve"> de nouvelle</w:t>
      </w:r>
      <w:r>
        <w:t>s</w:t>
      </w:r>
      <w:r w:rsidRPr="00BE0F04">
        <w:t xml:space="preserve"> résolution</w:t>
      </w:r>
      <w:r>
        <w:t>s</w:t>
      </w:r>
      <w:r w:rsidRPr="00BE0F04">
        <w:t xml:space="preserve"> relevant de points de l'ordre du jour de la prochaine CMR.</w:t>
      </w:r>
    </w:p>
    <w:p w:rsidR="00665ADF" w:rsidRPr="00BE0F04" w:rsidRDefault="00665ADF" w:rsidP="009B198B">
      <w:r w:rsidRPr="00BE0F04">
        <w:t xml:space="preserve">2.18 </w:t>
      </w:r>
      <w:r>
        <w:tab/>
      </w:r>
      <w:r w:rsidRPr="00BE0F04">
        <w:t xml:space="preserve">Le </w:t>
      </w:r>
      <w:r w:rsidRPr="00BE0F04">
        <w:rPr>
          <w:b/>
          <w:bCs/>
        </w:rPr>
        <w:t xml:space="preserve">délégué de la République sudafricaine </w:t>
      </w:r>
      <w:r w:rsidRPr="00BE0F04">
        <w:t>souligne que la résolution adoptée par l'AR</w:t>
      </w:r>
      <w:r>
        <w:noBreakHyphen/>
        <w:t>15</w:t>
      </w:r>
      <w:r w:rsidRPr="00BE0F04">
        <w:t xml:space="preserve"> porte sur la diffusion des connaissances concernant les procédures réglementaires applicables aux satellites de petite taille, y compris les nanosatellites et les picosatellites, ce dont il se</w:t>
      </w:r>
      <w:r w:rsidR="00F165FB">
        <w:t xml:space="preserve"> </w:t>
      </w:r>
      <w:r w:rsidRPr="00BE0F04">
        <w:t>félicite. Toutefois, comme</w:t>
      </w:r>
      <w:r w:rsidR="00F165FB">
        <w:t xml:space="preserve"> </w:t>
      </w:r>
      <w:r w:rsidRPr="00BE0F04">
        <w:t>le reconnaît la Commission 5 dans son rapport, cette résolution ne traite pas de la simplification éventuelle des procédures réglementaires applicables</w:t>
      </w:r>
      <w:r w:rsidR="00F165FB">
        <w:t xml:space="preserve"> </w:t>
      </w:r>
      <w:r w:rsidRPr="00BE0F04">
        <w:t>à la notification et à la coordination de ces satellites. Si sa délégation n'a pas d'objection à ce que ces procédures r</w:t>
      </w:r>
      <w:r>
        <w:t>é</w:t>
      </w:r>
      <w:r w:rsidRPr="00BE0F04">
        <w:t>glementaires fasse l'objet d'un examen, en revanche elle souhaite que les administrations puissent soumettre des contributions sur la simplification des procédures applicables à ces satellites au titre d'un point de l'ordre du jour distinct du point</w:t>
      </w:r>
      <w:r w:rsidR="00F165FB">
        <w:t> </w:t>
      </w:r>
      <w:r w:rsidRPr="00BE0F04">
        <w:t xml:space="preserve">7, compte tenu du nombre élevé de propositions soumises à la présente Conférence au titre de ce point. </w:t>
      </w:r>
    </w:p>
    <w:p w:rsidR="00665ADF" w:rsidRPr="00BE0F04" w:rsidRDefault="00665ADF" w:rsidP="009B198B">
      <w:r w:rsidRPr="00BE0F04">
        <w:t xml:space="preserve">2.19 </w:t>
      </w:r>
      <w:r>
        <w:tab/>
      </w:r>
      <w:r w:rsidRPr="00BE0F04">
        <w:t xml:space="preserve">Le </w:t>
      </w:r>
      <w:r w:rsidRPr="00BE0F04">
        <w:rPr>
          <w:b/>
          <w:bCs/>
        </w:rPr>
        <w:t>délégué de l'</w:t>
      </w:r>
      <w:r>
        <w:rPr>
          <w:b/>
          <w:bCs/>
        </w:rPr>
        <w:t>E</w:t>
      </w:r>
      <w:r w:rsidRPr="00BE0F04">
        <w:rPr>
          <w:b/>
          <w:bCs/>
        </w:rPr>
        <w:t>gypte</w:t>
      </w:r>
      <w:r>
        <w:t>,</w:t>
      </w:r>
      <w:r w:rsidRPr="00BE0F04">
        <w:t xml:space="preserve"> revenant sur la r</w:t>
      </w:r>
      <w:r>
        <w:t>emarque de la délégation israé</w:t>
      </w:r>
      <w:r w:rsidRPr="00BE0F04">
        <w:t>lienne concernant le retour en Commission 6 de propositions déjà traitées par l'AR</w:t>
      </w:r>
      <w:r>
        <w:t>-15</w:t>
      </w:r>
      <w:r w:rsidRPr="00BE0F04">
        <w:t>, explique que l'adoption de la Résolution UIT-R 68 par l'AR n'est en rien contradictoire avec l'élaboration d'une nouvelle résolution portant sur les études à mener. La Conférence peut proposer que ces études soient effectuées durant la prochaine période d'études et que leurs résultats soient soumis à la prochaine CMR.</w:t>
      </w:r>
    </w:p>
    <w:p w:rsidR="00665ADF" w:rsidRPr="00BE0F04" w:rsidRDefault="00665ADF" w:rsidP="009B198B">
      <w:r w:rsidRPr="00BE0F04">
        <w:t xml:space="preserve">2.20 </w:t>
      </w:r>
      <w:r>
        <w:tab/>
      </w:r>
      <w:r w:rsidRPr="00BE0F04">
        <w:t xml:space="preserve">Le </w:t>
      </w:r>
      <w:r w:rsidRPr="00BE0F04">
        <w:rPr>
          <w:b/>
          <w:bCs/>
        </w:rPr>
        <w:t xml:space="preserve">délégué de la République islamique d'Iran </w:t>
      </w:r>
      <w:r w:rsidRPr="00BE0F04">
        <w:t>dit que les participants ne doivent pas préjuger de l'issue des travaux de la Commission 6 et recommande de laisser à cette commission le soin de traiter cette question.</w:t>
      </w:r>
    </w:p>
    <w:p w:rsidR="00665ADF" w:rsidRPr="00BE0F04" w:rsidRDefault="00665ADF" w:rsidP="009B198B">
      <w:r w:rsidRPr="00BE0F04">
        <w:t xml:space="preserve">2.21 </w:t>
      </w:r>
      <w:r>
        <w:tab/>
      </w:r>
      <w:r w:rsidRPr="00BE0F04">
        <w:t xml:space="preserve">La </w:t>
      </w:r>
      <w:r w:rsidRPr="00BE0F04">
        <w:rPr>
          <w:b/>
          <w:bCs/>
        </w:rPr>
        <w:t xml:space="preserve">déléguée de la République sudafricaine </w:t>
      </w:r>
      <w:r w:rsidRPr="00BE0F04">
        <w:t>souligne que sa délégation souhaite l'élaboration de procédures plus simples pour les petits satellites, pour éviter de dépendre de grandes compagnies trop onéreuses et pour encourager le lancement de satellites à des fins éducatives. Elle propose que ces questions soient étudiées au titre du point 10 de l'ordre du jour.</w:t>
      </w:r>
    </w:p>
    <w:p w:rsidR="00665ADF" w:rsidRPr="00BE0F04" w:rsidRDefault="00665ADF" w:rsidP="009B198B">
      <w:r w:rsidRPr="00BE0F04">
        <w:t xml:space="preserve">2.22 </w:t>
      </w:r>
      <w:r>
        <w:tab/>
      </w:r>
      <w:r w:rsidRPr="00BE0F04">
        <w:t xml:space="preserve">Le </w:t>
      </w:r>
      <w:r w:rsidRPr="00BE0F04">
        <w:rPr>
          <w:b/>
          <w:bCs/>
        </w:rPr>
        <w:t>délégué de l'</w:t>
      </w:r>
      <w:r>
        <w:rPr>
          <w:b/>
          <w:bCs/>
        </w:rPr>
        <w:t>E</w:t>
      </w:r>
      <w:r w:rsidRPr="00BE0F04">
        <w:rPr>
          <w:b/>
          <w:bCs/>
        </w:rPr>
        <w:t>gypte</w:t>
      </w:r>
      <w:r w:rsidRPr="00BE0F04">
        <w:t xml:space="preserve"> partage les observations des deux orateurs précédents.</w:t>
      </w:r>
    </w:p>
    <w:p w:rsidR="00665ADF" w:rsidRPr="00BE0F04" w:rsidRDefault="00665ADF" w:rsidP="009B198B">
      <w:r w:rsidRPr="00BE0F04">
        <w:t>2.23</w:t>
      </w:r>
      <w:r>
        <w:tab/>
      </w:r>
      <w:r w:rsidRPr="00BE0F04">
        <w:t xml:space="preserve">Le </w:t>
      </w:r>
      <w:r w:rsidRPr="00BE0F04">
        <w:rPr>
          <w:b/>
          <w:bCs/>
        </w:rPr>
        <w:t>délégué de la France</w:t>
      </w:r>
      <w:r w:rsidRPr="00BE0F04">
        <w:t xml:space="preserve"> ne perçoit pas de contradiction entre les positions des délégués de la République islamique d'Iran et de la République sudafricaine. Le rapport de la Commission 5 mentionne certes que l'examen des procédures réglementaires peut être fait au ti</w:t>
      </w:r>
      <w:r>
        <w:t>t</w:t>
      </w:r>
      <w:r w:rsidRPr="00BE0F04">
        <w:t>re du point 7 de l'ordre du jour; toutefois, si la délégation sudafricaine le souhaite,</w:t>
      </w:r>
      <w:r w:rsidR="00F165FB">
        <w:t xml:space="preserve"> </w:t>
      </w:r>
      <w:r w:rsidRPr="00BE0F04">
        <w:t>elle pourra préciser les questions à étudier, éventuellement dans le cadre d'une résolution. C'est à la Commission 6 qu'il revient de décider du champ des études.</w:t>
      </w:r>
    </w:p>
    <w:p w:rsidR="00665ADF" w:rsidRPr="00BE0F04" w:rsidRDefault="00665ADF" w:rsidP="009B198B">
      <w:r>
        <w:t>2.24</w:t>
      </w:r>
      <w:r w:rsidRPr="00BE0F04">
        <w:t xml:space="preserve"> </w:t>
      </w:r>
      <w:r>
        <w:tab/>
      </w:r>
      <w:r w:rsidRPr="00BE0F04">
        <w:t xml:space="preserve">Le </w:t>
      </w:r>
      <w:r w:rsidRPr="00BE0F04">
        <w:rPr>
          <w:b/>
          <w:bCs/>
        </w:rPr>
        <w:t>Président de la Commission 5</w:t>
      </w:r>
      <w:r w:rsidRPr="00BE0F04">
        <w:t xml:space="preserve"> dit que le rapport de sa commission n'est nullement incompatible avec les travaux de la Commission 6.</w:t>
      </w:r>
    </w:p>
    <w:p w:rsidR="00665ADF" w:rsidRPr="00BE0F04" w:rsidRDefault="00665ADF" w:rsidP="009B198B">
      <w:r>
        <w:t>2.25</w:t>
      </w:r>
      <w:r w:rsidRPr="00BE0F04">
        <w:t xml:space="preserve"> </w:t>
      </w:r>
      <w:r>
        <w:tab/>
      </w:r>
      <w:r w:rsidRPr="00BE0F04">
        <w:t>Le Document 194 est</w:t>
      </w:r>
      <w:r w:rsidRPr="00BE0F04">
        <w:rPr>
          <w:b/>
          <w:bCs/>
        </w:rPr>
        <w:t xml:space="preserve"> approuvé.</w:t>
      </w:r>
    </w:p>
    <w:p w:rsidR="00665ADF" w:rsidRPr="00BE0F04" w:rsidRDefault="00665ADF" w:rsidP="009B198B">
      <w:pPr>
        <w:pStyle w:val="Heading1"/>
      </w:pPr>
      <w:r w:rsidRPr="00BE0F04">
        <w:t xml:space="preserve">3 </w:t>
      </w:r>
      <w:r>
        <w:tab/>
      </w:r>
      <w:r w:rsidRPr="00BE0F04">
        <w:t>Première série de textes soumis par la Commission de rédaction en première lecture (B1)</w:t>
      </w:r>
      <w:r w:rsidR="00F165FB">
        <w:t xml:space="preserve"> </w:t>
      </w:r>
      <w:r w:rsidRPr="00BE0F04">
        <w:t>(Document 187)</w:t>
      </w:r>
    </w:p>
    <w:p w:rsidR="00665ADF" w:rsidRPr="00BE0F04" w:rsidRDefault="00665ADF" w:rsidP="00517783">
      <w:r w:rsidRPr="00BE0F04">
        <w:t xml:space="preserve">3.1 </w:t>
      </w:r>
      <w:r>
        <w:tab/>
      </w:r>
      <w:r w:rsidRPr="00BE0F04">
        <w:t>Le</w:t>
      </w:r>
      <w:r w:rsidRPr="00BE0F04">
        <w:rPr>
          <w:b/>
          <w:bCs/>
        </w:rPr>
        <w:t xml:space="preserve"> Président de la Commission de rédaction </w:t>
      </w:r>
      <w:r w:rsidRPr="00BE0F04">
        <w:t>remercie les administrations qui ont désigné des délégués pour participer aux tra</w:t>
      </w:r>
      <w:r>
        <w:t>vaux de la c</w:t>
      </w:r>
      <w:r w:rsidRPr="00BE0F04">
        <w:t>ommission et rappelle la procédure de soumission des documents en première et deuxième lecture.</w:t>
      </w:r>
    </w:p>
    <w:p w:rsidR="00665ADF" w:rsidRPr="00BE0F04" w:rsidRDefault="00665ADF" w:rsidP="00517783">
      <w:r w:rsidRPr="00BE0F04">
        <w:t xml:space="preserve">3.2 </w:t>
      </w:r>
      <w:r>
        <w:tab/>
      </w:r>
      <w:r w:rsidRPr="00BE0F04">
        <w:t xml:space="preserve">Le </w:t>
      </w:r>
      <w:r w:rsidRPr="00BE0F04">
        <w:rPr>
          <w:b/>
          <w:bCs/>
        </w:rPr>
        <w:t xml:space="preserve">Président </w:t>
      </w:r>
      <w:r w:rsidRPr="00BE0F04">
        <w:t>invite les participants à examiner</w:t>
      </w:r>
      <w:r w:rsidRPr="00BE0F04">
        <w:rPr>
          <w:b/>
          <w:bCs/>
        </w:rPr>
        <w:t xml:space="preserve"> </w:t>
      </w:r>
      <w:r w:rsidRPr="00BE0F04">
        <w:t>le Document 187.</w:t>
      </w:r>
    </w:p>
    <w:p w:rsidR="00665ADF" w:rsidRPr="00BE0F04" w:rsidRDefault="00665ADF" w:rsidP="00517783">
      <w:pPr>
        <w:pStyle w:val="Headingb"/>
      </w:pPr>
      <w:r w:rsidRPr="00BE0F04">
        <w:t>Article 5 (MOD Tableau 410-460 MHz, MOD Tableau 410-460 MHz, MOD 5.268)</w:t>
      </w:r>
    </w:p>
    <w:p w:rsidR="00665ADF" w:rsidRPr="00BE0F04" w:rsidRDefault="00665ADF" w:rsidP="00517783">
      <w:r w:rsidRPr="00BE0F04">
        <w:t xml:space="preserve">3.3 </w:t>
      </w:r>
      <w:r>
        <w:tab/>
      </w:r>
      <w:r w:rsidRPr="00BE0F04">
        <w:t>Approuvés</w:t>
      </w:r>
      <w:r>
        <w:t>.</w:t>
      </w:r>
    </w:p>
    <w:p w:rsidR="00665ADF" w:rsidRPr="00BE0F04" w:rsidRDefault="00665ADF" w:rsidP="00517783">
      <w:pPr>
        <w:pStyle w:val="Headingb"/>
      </w:pPr>
      <w:r w:rsidRPr="00BE0F04">
        <w:t>Article 5 (MOD 5.287)</w:t>
      </w:r>
    </w:p>
    <w:p w:rsidR="00665ADF" w:rsidRPr="00BE0F04" w:rsidRDefault="00665ADF" w:rsidP="00517783">
      <w:r w:rsidRPr="00BE0F04">
        <w:t xml:space="preserve">3.4 </w:t>
      </w:r>
      <w:r>
        <w:tab/>
      </w:r>
      <w:r w:rsidRPr="00BE0F04">
        <w:t xml:space="preserve">Le </w:t>
      </w:r>
      <w:r w:rsidRPr="00BE0F04">
        <w:rPr>
          <w:b/>
          <w:bCs/>
        </w:rPr>
        <w:t xml:space="preserve">délégué de l'Arabie saoudite </w:t>
      </w:r>
      <w:r w:rsidRPr="00BE0F04">
        <w:t xml:space="preserve">note que l'expression </w:t>
      </w:r>
      <w:r w:rsidR="00F165FB">
        <w:t>«</w:t>
      </w:r>
      <w:r w:rsidRPr="00BE0F04">
        <w:t>stations de communication de bord</w:t>
      </w:r>
      <w:r w:rsidR="00F165FB">
        <w:t>»</w:t>
      </w:r>
      <w:r w:rsidRPr="00BE0F04">
        <w:t xml:space="preserve"> manque de précision. </w:t>
      </w:r>
    </w:p>
    <w:p w:rsidR="00665ADF" w:rsidRPr="00BE0F04" w:rsidRDefault="00665ADF" w:rsidP="00517783">
      <w:r w:rsidRPr="00BE0F04">
        <w:t xml:space="preserve">3.5 </w:t>
      </w:r>
      <w:r>
        <w:tab/>
      </w:r>
      <w:r w:rsidRPr="00BE0F04">
        <w:t xml:space="preserve">Le </w:t>
      </w:r>
      <w:r w:rsidRPr="00BE0F04">
        <w:rPr>
          <w:b/>
          <w:bCs/>
        </w:rPr>
        <w:t xml:space="preserve">Président de la Commission 4 </w:t>
      </w:r>
      <w:r w:rsidRPr="00BE0F04">
        <w:t>fait observer que la terminologie employée dans la version anglaise du document est correcte</w:t>
      </w:r>
      <w:r>
        <w:t>.</w:t>
      </w:r>
      <w:r w:rsidRPr="00251E39">
        <w:t xml:space="preserve"> </w:t>
      </w:r>
      <w:r>
        <w:t>L</w:t>
      </w:r>
      <w:r w:rsidRPr="00BE0F04">
        <w:t xml:space="preserve">e </w:t>
      </w:r>
      <w:r w:rsidRPr="00BE0F04">
        <w:rPr>
          <w:b/>
          <w:bCs/>
        </w:rPr>
        <w:t>délégué de la République islamique d'Iran</w:t>
      </w:r>
      <w:r w:rsidRPr="00BE0F04">
        <w:t xml:space="preserve"> </w:t>
      </w:r>
      <w:r>
        <w:t xml:space="preserve">ajoute que cette terminologie </w:t>
      </w:r>
      <w:r w:rsidRPr="00BE0F04">
        <w:t>reprend celle du point 1.15 de l'ordre du jour de la Conférence</w:t>
      </w:r>
      <w:r>
        <w:t xml:space="preserve">. </w:t>
      </w:r>
    </w:p>
    <w:p w:rsidR="00665ADF" w:rsidRPr="00BE0F04" w:rsidRDefault="00665ADF" w:rsidP="00517783">
      <w:r w:rsidRPr="00BE0F04">
        <w:t xml:space="preserve">3.6 </w:t>
      </w:r>
      <w:r>
        <w:tab/>
      </w:r>
      <w:r w:rsidRPr="00BE0F04">
        <w:t xml:space="preserve">Le </w:t>
      </w:r>
      <w:r w:rsidRPr="00BE0F04">
        <w:rPr>
          <w:b/>
          <w:bCs/>
        </w:rPr>
        <w:t xml:space="preserve">Président </w:t>
      </w:r>
      <w:r w:rsidRPr="00BE0F04">
        <w:t xml:space="preserve">propose que les questions d'ordre rédactionnel ou d'alignement dans les différentes langues soient </w:t>
      </w:r>
      <w:r>
        <w:t xml:space="preserve">transmises </w:t>
      </w:r>
      <w:r w:rsidRPr="00BE0F04">
        <w:t xml:space="preserve">directement à la Commission de rédaction. </w:t>
      </w:r>
    </w:p>
    <w:p w:rsidR="00665ADF" w:rsidRPr="00BE0F04" w:rsidRDefault="00665ADF" w:rsidP="00517783">
      <w:pPr>
        <w:rPr>
          <w:b/>
          <w:bCs/>
        </w:rPr>
      </w:pPr>
      <w:r w:rsidRPr="00BE0F04">
        <w:t xml:space="preserve">3.7 </w:t>
      </w:r>
      <w:r>
        <w:tab/>
      </w:r>
      <w:r w:rsidRPr="00BE0F04">
        <w:t xml:space="preserve">Il en est ainsi </w:t>
      </w:r>
      <w:r w:rsidRPr="00BE0F04">
        <w:rPr>
          <w:b/>
          <w:bCs/>
        </w:rPr>
        <w:t>décidé.</w:t>
      </w:r>
    </w:p>
    <w:p w:rsidR="00665ADF" w:rsidRPr="00BE0F04" w:rsidRDefault="00665ADF" w:rsidP="00517783">
      <w:pPr>
        <w:rPr>
          <w:b/>
          <w:bCs/>
        </w:rPr>
      </w:pPr>
      <w:r w:rsidRPr="00BE0F04">
        <w:t xml:space="preserve">3.8 </w:t>
      </w:r>
      <w:r>
        <w:tab/>
      </w:r>
      <w:r w:rsidRPr="00BE0F04">
        <w:t xml:space="preserve">Le MOD 5.287 est </w:t>
      </w:r>
      <w:r w:rsidRPr="00BE0F04">
        <w:rPr>
          <w:b/>
          <w:bCs/>
        </w:rPr>
        <w:t>approuvé.</w:t>
      </w:r>
    </w:p>
    <w:p w:rsidR="00665ADF" w:rsidRPr="00BE0F04" w:rsidRDefault="00665ADF" w:rsidP="00517783">
      <w:pPr>
        <w:pStyle w:val="Headingb"/>
      </w:pPr>
      <w:r w:rsidRPr="00BE0F04">
        <w:t xml:space="preserve">Article 5 (MOD Tableau 460-890 MHz); SUP Résolution 358 (CMR-12); </w:t>
      </w:r>
      <w:r>
        <w:br/>
      </w:r>
      <w:r w:rsidRPr="00BE0F04">
        <w:t>SUP Résolution 652 (CMR-12)</w:t>
      </w:r>
    </w:p>
    <w:p w:rsidR="00665ADF" w:rsidRPr="00BE0F04" w:rsidRDefault="00665ADF" w:rsidP="00517783">
      <w:r w:rsidRPr="00BE0F04">
        <w:t xml:space="preserve">3.9 </w:t>
      </w:r>
      <w:r>
        <w:tab/>
      </w:r>
      <w:r w:rsidRPr="00517783">
        <w:rPr>
          <w:b/>
          <w:bCs/>
        </w:rPr>
        <w:t>Approuvés</w:t>
      </w:r>
      <w:r w:rsidRPr="00BE0F04">
        <w:t>.</w:t>
      </w:r>
    </w:p>
    <w:p w:rsidR="00665ADF" w:rsidRPr="00BE0F04" w:rsidRDefault="00665ADF" w:rsidP="00517783">
      <w:r w:rsidRPr="00BE0F04">
        <w:t xml:space="preserve">3.10 </w:t>
      </w:r>
      <w:r>
        <w:tab/>
      </w:r>
      <w:r w:rsidRPr="00BE0F04">
        <w:t>La première série de textes soumis par la Commission de rédaction en première lecture</w:t>
      </w:r>
      <w:r w:rsidR="00F165FB">
        <w:t xml:space="preserve"> </w:t>
      </w:r>
      <w:r w:rsidRPr="00BE0F04">
        <w:t xml:space="preserve">(B1) (Document 187) est </w:t>
      </w:r>
      <w:r w:rsidRPr="00517783">
        <w:rPr>
          <w:b/>
          <w:bCs/>
        </w:rPr>
        <w:t>approuvée</w:t>
      </w:r>
      <w:r w:rsidRPr="00BE0F04">
        <w:t>, étant entendu que la Commission de rédaction veillera à l'alignement de la version arabe du MOD 5.287.</w:t>
      </w:r>
    </w:p>
    <w:p w:rsidR="00665ADF" w:rsidRPr="00BE0F04" w:rsidRDefault="00665ADF" w:rsidP="00517783">
      <w:pPr>
        <w:pStyle w:val="Heading1"/>
      </w:pPr>
      <w:r w:rsidRPr="00BE0F04">
        <w:t xml:space="preserve">4 </w:t>
      </w:r>
      <w:r>
        <w:tab/>
      </w:r>
      <w:r w:rsidRPr="00BE0F04">
        <w:t xml:space="preserve">Première série de textes soumis par la Commission de rédaction (B1) </w:t>
      </w:r>
      <w:r>
        <w:br/>
      </w:r>
      <w:r w:rsidRPr="00665ADF">
        <w:t>–</w:t>
      </w:r>
      <w:r>
        <w:tab/>
      </w:r>
      <w:r w:rsidRPr="00BE0F04">
        <w:t>deuxième lecture</w:t>
      </w:r>
      <w:r>
        <w:t xml:space="preserve"> </w:t>
      </w:r>
      <w:r w:rsidRPr="00BE0F04">
        <w:t>(Document 187)</w:t>
      </w:r>
    </w:p>
    <w:p w:rsidR="00665ADF" w:rsidRPr="00BE0F04" w:rsidRDefault="00665ADF" w:rsidP="00517783">
      <w:r w:rsidRPr="00BE0F04">
        <w:t xml:space="preserve">4.1 </w:t>
      </w:r>
      <w:r>
        <w:tab/>
      </w:r>
      <w:r w:rsidRPr="00BE0F04">
        <w:t xml:space="preserve">La première série de textes soumis par la Commission de rédaction (B1) (Document 187) est </w:t>
      </w:r>
      <w:r w:rsidRPr="00C14D29">
        <w:rPr>
          <w:b/>
          <w:bCs/>
        </w:rPr>
        <w:t>approuvée</w:t>
      </w:r>
      <w:r w:rsidRPr="00BE0F04">
        <w:t xml:space="preserve"> en deuxième lecture, compte tenu de l'alignement qu'effectuera la Commission de rédaction de la version arabe du MOD 5.287.</w:t>
      </w:r>
    </w:p>
    <w:p w:rsidR="00665ADF" w:rsidRPr="00BE0F04" w:rsidRDefault="00665ADF" w:rsidP="00517783">
      <w:pPr>
        <w:pStyle w:val="Heading1"/>
      </w:pPr>
      <w:r w:rsidRPr="00BE0F04">
        <w:t xml:space="preserve">5 </w:t>
      </w:r>
      <w:r>
        <w:tab/>
      </w:r>
      <w:r w:rsidRPr="00BE0F04">
        <w:t xml:space="preserve">Deuxième série de textes soumis par la Commission de rédaction en première lecture </w:t>
      </w:r>
      <w:r w:rsidRPr="00665ADF">
        <w:t>–</w:t>
      </w:r>
      <w:r>
        <w:tab/>
      </w:r>
      <w:r w:rsidRPr="00BE0F04">
        <w:t>(B2) (Document 196)</w:t>
      </w:r>
    </w:p>
    <w:p w:rsidR="00665ADF" w:rsidRPr="00BE0F04" w:rsidRDefault="00665ADF" w:rsidP="00517783">
      <w:r w:rsidRPr="00BE0F04">
        <w:t xml:space="preserve">5.1 </w:t>
      </w:r>
      <w:r>
        <w:tab/>
      </w:r>
      <w:r w:rsidRPr="00BE0F04">
        <w:t xml:space="preserve">Le </w:t>
      </w:r>
      <w:r w:rsidRPr="00BE0F04">
        <w:rPr>
          <w:b/>
          <w:bCs/>
        </w:rPr>
        <w:t xml:space="preserve">Président </w:t>
      </w:r>
      <w:r w:rsidRPr="00BE0F04">
        <w:t>invite les participants à examiner le Document 196.</w:t>
      </w:r>
    </w:p>
    <w:p w:rsidR="00665ADF" w:rsidRPr="00BE0F04" w:rsidRDefault="00665ADF" w:rsidP="00517783">
      <w:pPr>
        <w:pStyle w:val="Headingb"/>
      </w:pPr>
      <w:r w:rsidRPr="00BE0F04">
        <w:t>Article 5 (MOD Tableau 335,4-410 MHz, ADD 5.A911, MOD Tableau 2 700-4 800 MHz, ADD 5.A117, MOD 5.438, ADD 5.B117)</w:t>
      </w:r>
    </w:p>
    <w:p w:rsidR="00665ADF" w:rsidRPr="00BE0F04" w:rsidRDefault="00665ADF" w:rsidP="00517783">
      <w:r w:rsidRPr="00BE0F04">
        <w:t xml:space="preserve">5.2 </w:t>
      </w:r>
      <w:r>
        <w:tab/>
      </w:r>
      <w:r w:rsidRPr="00BE0F04">
        <w:t>Approuvé</w:t>
      </w:r>
      <w:r>
        <w:t>s</w:t>
      </w:r>
      <w:r w:rsidRPr="00BE0F04">
        <w:t>.</w:t>
      </w:r>
    </w:p>
    <w:p w:rsidR="00665ADF" w:rsidRPr="00BE0F04" w:rsidRDefault="00665ADF" w:rsidP="005D2BC5">
      <w:pPr>
        <w:pStyle w:val="Headingb"/>
      </w:pPr>
      <w:r>
        <w:t>MOD Résolution 205 (Rév.CMR-12</w:t>
      </w:r>
      <w:r w:rsidRPr="00BE0F04">
        <w:t>)</w:t>
      </w:r>
    </w:p>
    <w:p w:rsidR="00665ADF" w:rsidRPr="00BE0F04" w:rsidRDefault="00665ADF" w:rsidP="00517783">
      <w:r w:rsidRPr="00BE0F04">
        <w:t xml:space="preserve">5.3 </w:t>
      </w:r>
      <w:r>
        <w:tab/>
      </w:r>
      <w:r w:rsidRPr="00BE0F04">
        <w:t xml:space="preserve">Le </w:t>
      </w:r>
      <w:r w:rsidRPr="00BE0F04">
        <w:rPr>
          <w:b/>
          <w:bCs/>
        </w:rPr>
        <w:t xml:space="preserve">délégué de l'Uruguay </w:t>
      </w:r>
      <w:r w:rsidRPr="00BE0F04">
        <w:t>signale qu'il transmettra ses observations concernant la version espagnole du texte de la résolution à la Commission 7 pour alignement.</w:t>
      </w:r>
    </w:p>
    <w:p w:rsidR="00665ADF" w:rsidRPr="00BE0F04" w:rsidRDefault="00665ADF" w:rsidP="00517783">
      <w:r w:rsidRPr="00BE0F04">
        <w:t xml:space="preserve">5.4 </w:t>
      </w:r>
      <w:r>
        <w:tab/>
      </w:r>
      <w:r w:rsidRPr="00BE0F04">
        <w:t xml:space="preserve">Le </w:t>
      </w:r>
      <w:r w:rsidRPr="00BE0F04">
        <w:rPr>
          <w:b/>
          <w:bCs/>
        </w:rPr>
        <w:t>délégué de l'Arabie saoudite</w:t>
      </w:r>
      <w:r w:rsidRPr="00BE0F04">
        <w:t xml:space="preserve"> demande au Président de la Commission 7 de veiller à ce que,</w:t>
      </w:r>
      <w:r w:rsidR="00F165FB">
        <w:t xml:space="preserve"> </w:t>
      </w:r>
      <w:r w:rsidRPr="00BE0F04">
        <w:t>dans la version arabe du texte, les termes employés</w:t>
      </w:r>
      <w:r w:rsidR="00F165FB">
        <w:t xml:space="preserve"> </w:t>
      </w:r>
      <w:r w:rsidRPr="00BE0F04">
        <w:t xml:space="preserve">pour </w:t>
      </w:r>
      <w:r>
        <w:t>«</w:t>
      </w:r>
      <w:r w:rsidRPr="00BE0F04">
        <w:t>rayonnements non désirés</w:t>
      </w:r>
      <w:r>
        <w:t>»</w:t>
      </w:r>
      <w:r w:rsidRPr="00BE0F04">
        <w:t xml:space="preserve"> au </w:t>
      </w:r>
      <w:r w:rsidRPr="00BE0F04">
        <w:rPr>
          <w:i/>
          <w:iCs/>
        </w:rPr>
        <w:t>considérant i)</w:t>
      </w:r>
      <w:r w:rsidRPr="00BE0F04">
        <w:t xml:space="preserve"> soient ceux utilisés au point 2) du </w:t>
      </w:r>
      <w:r w:rsidRPr="00BE0F04">
        <w:rPr>
          <w:i/>
          <w:iCs/>
        </w:rPr>
        <w:t>charge le Directeur du Bureau des radiocommunications</w:t>
      </w:r>
      <w:r w:rsidRPr="00BE0F04">
        <w:t xml:space="preserve">. </w:t>
      </w:r>
    </w:p>
    <w:p w:rsidR="00665ADF" w:rsidRPr="00BE0F04" w:rsidRDefault="00665ADF" w:rsidP="00517783">
      <w:r w:rsidRPr="00BE0F04">
        <w:t xml:space="preserve">5.5 </w:t>
      </w:r>
      <w:r>
        <w:tab/>
      </w:r>
      <w:r w:rsidRPr="00BE0F04">
        <w:t xml:space="preserve">Compte tenu de ces observations, le </w:t>
      </w:r>
      <w:r>
        <w:t>MOD Résolution 205 (Rév. CMR-12</w:t>
      </w:r>
      <w:r w:rsidRPr="00BE0F04">
        <w:t xml:space="preserve">) est </w:t>
      </w:r>
      <w:r w:rsidRPr="00BE0F04">
        <w:rPr>
          <w:b/>
          <w:bCs/>
        </w:rPr>
        <w:t>approuvé</w:t>
      </w:r>
      <w:r w:rsidRPr="00BE0F04">
        <w:t>.</w:t>
      </w:r>
    </w:p>
    <w:p w:rsidR="00665ADF" w:rsidRPr="00BE0F04" w:rsidRDefault="00665ADF" w:rsidP="00517783">
      <w:pPr>
        <w:pStyle w:val="Headingb"/>
      </w:pPr>
      <w:r w:rsidRPr="00BE0F04">
        <w:t>ADD Résolution COM 4/1 (CMR-15) Utilisation des systèmes de communication hertzienne entre équipements d'avionique à bord d'un aéronef dans la bande de fréquences 4 200-4</w:t>
      </w:r>
      <w:r w:rsidR="001528F9">
        <w:t> </w:t>
      </w:r>
      <w:r w:rsidRPr="00BE0F04">
        <w:t>400</w:t>
      </w:r>
      <w:r w:rsidR="001528F9">
        <w:t> </w:t>
      </w:r>
      <w:r w:rsidRPr="00BE0F04">
        <w:t>MHz</w:t>
      </w:r>
    </w:p>
    <w:p w:rsidR="00665ADF" w:rsidRPr="00BE0F04" w:rsidRDefault="00665ADF" w:rsidP="00517783">
      <w:r w:rsidRPr="00BE0F04">
        <w:t>5</w:t>
      </w:r>
      <w:r>
        <w:t>.6</w:t>
      </w:r>
      <w:r w:rsidRPr="00BE0F04">
        <w:t xml:space="preserve"> </w:t>
      </w:r>
      <w:r>
        <w:tab/>
      </w:r>
      <w:r w:rsidRPr="00BE0F04">
        <w:t xml:space="preserve">Le </w:t>
      </w:r>
      <w:r w:rsidRPr="00BE0F04">
        <w:rPr>
          <w:b/>
          <w:bCs/>
        </w:rPr>
        <w:t>délégué de la France</w:t>
      </w:r>
      <w:r w:rsidRPr="00BE0F04">
        <w:t>, jugeant peu clair le libellé du</w:t>
      </w:r>
      <w:r w:rsidR="00F165FB">
        <w:rPr>
          <w:b/>
          <w:bCs/>
        </w:rPr>
        <w:t xml:space="preserve"> </w:t>
      </w:r>
      <w:r w:rsidRPr="00BE0F04">
        <w:rPr>
          <w:i/>
          <w:iCs/>
        </w:rPr>
        <w:t xml:space="preserve">considérant a), </w:t>
      </w:r>
      <w:r w:rsidRPr="00BE0F04">
        <w:t>suggère dans un premier temps</w:t>
      </w:r>
      <w:r w:rsidRPr="00BE0F04">
        <w:rPr>
          <w:i/>
          <w:iCs/>
        </w:rPr>
        <w:t xml:space="preserve"> </w:t>
      </w:r>
      <w:r w:rsidRPr="00BE0F04">
        <w:t xml:space="preserve">d'ajouter dans la version anglaise du texte le terme </w:t>
      </w:r>
      <w:r>
        <w:t>«</w:t>
      </w:r>
      <w:r w:rsidRPr="00BE0F04">
        <w:t>system</w:t>
      </w:r>
      <w:r>
        <w:t>s»</w:t>
      </w:r>
      <w:r w:rsidRPr="00BE0F04">
        <w:t xml:space="preserve"> après </w:t>
      </w:r>
      <w:r>
        <w:t>«</w:t>
      </w:r>
      <w:r w:rsidRPr="00BE0F04">
        <w:t>aircraft</w:t>
      </w:r>
      <w:r>
        <w:t>»</w:t>
      </w:r>
      <w:r w:rsidRPr="00BE0F04">
        <w:t xml:space="preserve">; le </w:t>
      </w:r>
      <w:r w:rsidRPr="00BE0F04">
        <w:rPr>
          <w:b/>
          <w:bCs/>
        </w:rPr>
        <w:t xml:space="preserve">délégué de la République islamique d'Iran </w:t>
      </w:r>
      <w:r w:rsidRPr="00BE0F04">
        <w:t>ayant fait</w:t>
      </w:r>
      <w:r w:rsidR="00F165FB">
        <w:rPr>
          <w:b/>
          <w:bCs/>
        </w:rPr>
        <w:t xml:space="preserve"> </w:t>
      </w:r>
      <w:r w:rsidRPr="00BE0F04">
        <w:t>valoir que l'adjonction de ce terme risquait d'introduire une</w:t>
      </w:r>
      <w:r w:rsidR="00F165FB">
        <w:t xml:space="preserve"> </w:t>
      </w:r>
      <w:r w:rsidRPr="00BE0F04">
        <w:t xml:space="preserve">notion distincte de celle d'aéronef, </w:t>
      </w:r>
      <w:r w:rsidRPr="005D4BB5">
        <w:t>le délégué de la France</w:t>
      </w:r>
      <w:r w:rsidRPr="00BE0F04">
        <w:t xml:space="preserve"> propose alors de modifier comme suit le </w:t>
      </w:r>
      <w:r w:rsidRPr="00BE0F04">
        <w:rPr>
          <w:i/>
          <w:iCs/>
        </w:rPr>
        <w:t>considérant a):</w:t>
      </w:r>
      <w:r w:rsidRPr="00BE0F04">
        <w:t xml:space="preserve"> </w:t>
      </w:r>
      <w:r>
        <w:t>«</w:t>
      </w:r>
      <w:r w:rsidRPr="00BE0F04">
        <w:t>que les aéronefs sont conçus pour renforcer leur efficacité.</w:t>
      </w:r>
      <w:r>
        <w:t>»</w:t>
      </w:r>
    </w:p>
    <w:p w:rsidR="00665ADF" w:rsidRPr="00BE0F04" w:rsidRDefault="00665ADF" w:rsidP="00517783">
      <w:r w:rsidRPr="00BE0F04">
        <w:t>5.</w:t>
      </w:r>
      <w:r>
        <w:t>7</w:t>
      </w:r>
      <w:r w:rsidRPr="00BE0F04">
        <w:t xml:space="preserve"> </w:t>
      </w:r>
      <w:r>
        <w:tab/>
      </w:r>
      <w:r w:rsidRPr="00BE0F04">
        <w:t xml:space="preserve">Suite aux suggestions des </w:t>
      </w:r>
      <w:r w:rsidRPr="00BE0F04">
        <w:rPr>
          <w:b/>
          <w:bCs/>
        </w:rPr>
        <w:t>délégués de l'Irlande</w:t>
      </w:r>
      <w:r w:rsidRPr="00BE0F04">
        <w:t xml:space="preserve"> et </w:t>
      </w:r>
      <w:r w:rsidRPr="00BE0F04">
        <w:rPr>
          <w:b/>
          <w:bCs/>
        </w:rPr>
        <w:t>de l'Ouganda</w:t>
      </w:r>
      <w:r w:rsidRPr="00BE0F04">
        <w:t xml:space="preserve"> visant à développer davantage le texte du </w:t>
      </w:r>
      <w:r w:rsidRPr="00BE0F04">
        <w:rPr>
          <w:i/>
          <w:iCs/>
        </w:rPr>
        <w:t>considérant a),</w:t>
      </w:r>
      <w:r w:rsidRPr="00BE0F04">
        <w:t xml:space="preserve"> le </w:t>
      </w:r>
      <w:r w:rsidRPr="00BE0F04">
        <w:rPr>
          <w:b/>
          <w:bCs/>
        </w:rPr>
        <w:t>Président de la Commission 4</w:t>
      </w:r>
      <w:r w:rsidRPr="00BE0F04">
        <w:t xml:space="preserve"> estime que la proposition du délégué de la France apporte la précision voulue.</w:t>
      </w:r>
      <w:r>
        <w:t xml:space="preserve"> Il est appu</w:t>
      </w:r>
      <w:r w:rsidRPr="00264B23">
        <w:t xml:space="preserve">yé par les </w:t>
      </w:r>
      <w:r w:rsidRPr="00BE0F04">
        <w:rPr>
          <w:b/>
          <w:bCs/>
        </w:rPr>
        <w:t>délégué</w:t>
      </w:r>
      <w:r>
        <w:rPr>
          <w:b/>
          <w:bCs/>
        </w:rPr>
        <w:t>s</w:t>
      </w:r>
      <w:r w:rsidRPr="00BE0F04">
        <w:rPr>
          <w:b/>
          <w:bCs/>
        </w:rPr>
        <w:t xml:space="preserve"> de la République islamique d'Iran</w:t>
      </w:r>
      <w:r w:rsidRPr="00BE0F04">
        <w:t xml:space="preserve"> </w:t>
      </w:r>
      <w:r>
        <w:t>et</w:t>
      </w:r>
      <w:r w:rsidRPr="00BE0F04">
        <w:rPr>
          <w:b/>
          <w:bCs/>
        </w:rPr>
        <w:t xml:space="preserve"> des Etats</w:t>
      </w:r>
      <w:r>
        <w:rPr>
          <w:b/>
          <w:bCs/>
        </w:rPr>
        <w:t>-</w:t>
      </w:r>
      <w:r w:rsidRPr="00BE0F04">
        <w:rPr>
          <w:b/>
          <w:bCs/>
        </w:rPr>
        <w:t>Unis</w:t>
      </w:r>
      <w:r w:rsidRPr="00BE0F04">
        <w:t>.</w:t>
      </w:r>
    </w:p>
    <w:p w:rsidR="00665ADF" w:rsidRPr="00BE0F04" w:rsidRDefault="00665ADF" w:rsidP="00517783">
      <w:r w:rsidRPr="00BE0F04">
        <w:t>5.</w:t>
      </w:r>
      <w:r>
        <w:t>8</w:t>
      </w:r>
      <w:r w:rsidRPr="00BE0F04">
        <w:t xml:space="preserve"> </w:t>
      </w:r>
      <w:r>
        <w:tab/>
      </w:r>
      <w:r w:rsidRPr="00BE0F04">
        <w:t xml:space="preserve">Compte tenu de cette modification, </w:t>
      </w:r>
      <w:r>
        <w:t>l</w:t>
      </w:r>
      <w:r w:rsidR="00E52362">
        <w:t>'</w:t>
      </w:r>
      <w:r w:rsidRPr="00BE0F04">
        <w:t xml:space="preserve">ADD Résolution COM 4/1 est </w:t>
      </w:r>
      <w:r w:rsidRPr="00BE0F04">
        <w:rPr>
          <w:b/>
          <w:bCs/>
        </w:rPr>
        <w:t>approuvé</w:t>
      </w:r>
      <w:r w:rsidRPr="00BE0F04">
        <w:t>.</w:t>
      </w:r>
    </w:p>
    <w:p w:rsidR="00665ADF" w:rsidRPr="00BE0F04" w:rsidRDefault="00665ADF" w:rsidP="00517783">
      <w:pPr>
        <w:pStyle w:val="Headingb"/>
      </w:pPr>
      <w:r w:rsidRPr="00BE0F04">
        <w:t>SUP Résolution 11 (CMR-1</w:t>
      </w:r>
      <w:r>
        <w:t>2); SUP Résolution 423 (CMR-12); SUP Résolution 757 (CMR-12); SUP Résolution 806 (CMR-07); SUP Résolution 807 (CMR-12); SUP Résolution 808 (CMR-12); SUP Ré</w:t>
      </w:r>
      <w:r w:rsidRPr="00BE0F04">
        <w:t>solution 957 (CMR-12)</w:t>
      </w:r>
    </w:p>
    <w:p w:rsidR="00665ADF" w:rsidRPr="00BE0F04" w:rsidRDefault="00665ADF" w:rsidP="00517783">
      <w:r>
        <w:t>5.9</w:t>
      </w:r>
      <w:r w:rsidRPr="00BE0F04">
        <w:t xml:space="preserve"> </w:t>
      </w:r>
      <w:r>
        <w:tab/>
      </w:r>
      <w:r w:rsidRPr="00BE0F04">
        <w:t>Approuvé</w:t>
      </w:r>
      <w:r>
        <w:t>s</w:t>
      </w:r>
      <w:r w:rsidRPr="00BE0F04">
        <w:t>.</w:t>
      </w:r>
    </w:p>
    <w:p w:rsidR="00665ADF" w:rsidRPr="00BE0F04" w:rsidRDefault="00665ADF" w:rsidP="00517783">
      <w:r w:rsidRPr="00BE0F04">
        <w:t>5.1</w:t>
      </w:r>
      <w:r>
        <w:t>0</w:t>
      </w:r>
      <w:r w:rsidRPr="00BE0F04">
        <w:t xml:space="preserve"> </w:t>
      </w:r>
      <w:r>
        <w:tab/>
      </w:r>
      <w:r w:rsidRPr="00BE0F04">
        <w:t>La deuxième série de textes soumis par la Commission de rédaction en première lecture (B2) (Document 196), telle que modifiée,</w:t>
      </w:r>
      <w:r w:rsidR="00F165FB">
        <w:t xml:space="preserve"> </w:t>
      </w:r>
      <w:r w:rsidRPr="00BE0F04">
        <w:t xml:space="preserve">est approuvée. </w:t>
      </w:r>
    </w:p>
    <w:p w:rsidR="00665ADF" w:rsidRPr="00BE0F04" w:rsidRDefault="00665ADF" w:rsidP="00517783">
      <w:pPr>
        <w:pStyle w:val="Headingb"/>
      </w:pPr>
      <w:r w:rsidRPr="00BE0F04">
        <w:t xml:space="preserve">6 </w:t>
      </w:r>
      <w:r>
        <w:tab/>
      </w:r>
      <w:r w:rsidRPr="00BE0F04">
        <w:t xml:space="preserve">Deuxième série de textes soumis par la Commission de rédaction (B2) </w:t>
      </w:r>
      <w:r>
        <w:t xml:space="preserve">– </w:t>
      </w:r>
      <w:r w:rsidRPr="00BD53B7">
        <w:t>deuxi</w:t>
      </w:r>
      <w:r>
        <w:t>è</w:t>
      </w:r>
      <w:r w:rsidRPr="00BD53B7">
        <w:t>me</w:t>
      </w:r>
      <w:r>
        <w:t xml:space="preserve"> lecture </w:t>
      </w:r>
      <w:r w:rsidRPr="00BE0F04">
        <w:t xml:space="preserve">(Document 196) </w:t>
      </w:r>
    </w:p>
    <w:p w:rsidR="00665ADF" w:rsidRPr="00BE0F04" w:rsidRDefault="00665ADF" w:rsidP="00517783">
      <w:pPr>
        <w:rPr>
          <w:b/>
          <w:bCs/>
        </w:rPr>
      </w:pPr>
      <w:r w:rsidRPr="00BE0F04">
        <w:t xml:space="preserve">6.1 </w:t>
      </w:r>
      <w:r>
        <w:tab/>
      </w:r>
      <w:r w:rsidRPr="00BE0F04">
        <w:t>La deuxième série de textes soumis par la Commission de rédaction (B2) (Document 196), telle que modifiée en première lecture, est</w:t>
      </w:r>
      <w:r w:rsidRPr="00BE0F04">
        <w:rPr>
          <w:b/>
          <w:bCs/>
        </w:rPr>
        <w:t xml:space="preserve"> approuvée</w:t>
      </w:r>
      <w:r>
        <w:rPr>
          <w:b/>
          <w:bCs/>
        </w:rPr>
        <w:t xml:space="preserve"> </w:t>
      </w:r>
      <w:r w:rsidRPr="00BD53B7">
        <w:t>en deuxième lecture</w:t>
      </w:r>
      <w:r w:rsidRPr="00BE0F04">
        <w:rPr>
          <w:b/>
          <w:bCs/>
        </w:rPr>
        <w:t>.</w:t>
      </w:r>
    </w:p>
    <w:p w:rsidR="00665ADF" w:rsidRPr="00BE0F04" w:rsidRDefault="00665ADF" w:rsidP="00517783">
      <w:r w:rsidRPr="00BE0F04">
        <w:t xml:space="preserve">6.2 </w:t>
      </w:r>
      <w:r>
        <w:tab/>
      </w:r>
      <w:r w:rsidRPr="00BE0F04">
        <w:t>Le</w:t>
      </w:r>
      <w:r w:rsidRPr="00BE0F04">
        <w:rPr>
          <w:b/>
          <w:bCs/>
        </w:rPr>
        <w:t xml:space="preserve"> délégué de la République de Corée </w:t>
      </w:r>
      <w:r w:rsidRPr="00BE0F04">
        <w:t xml:space="preserve">fait part de son souhait de pouvoir consulter la version révisée des documents approuvés en deuxième lecture, incluant </w:t>
      </w:r>
      <w:r>
        <w:t xml:space="preserve">toutes les modifications, même </w:t>
      </w:r>
      <w:r w:rsidRPr="00BE0F04">
        <w:t>mineures</w:t>
      </w:r>
      <w:r>
        <w:t>,</w:t>
      </w:r>
      <w:r w:rsidRPr="00BE0F04">
        <w:t xml:space="preserve"> apportées en séance.</w:t>
      </w:r>
    </w:p>
    <w:p w:rsidR="00665ADF" w:rsidRPr="00BE0F04" w:rsidRDefault="00665ADF" w:rsidP="00517783">
      <w:r w:rsidRPr="00BE0F04">
        <w:t xml:space="preserve">6.3 </w:t>
      </w:r>
      <w:r>
        <w:tab/>
      </w:r>
      <w:r w:rsidRPr="00BE0F04">
        <w:t xml:space="preserve">Il est </w:t>
      </w:r>
      <w:r w:rsidRPr="00BE0F04">
        <w:rPr>
          <w:b/>
          <w:bCs/>
        </w:rPr>
        <w:t xml:space="preserve">pris note </w:t>
      </w:r>
      <w:r w:rsidRPr="00BE0F04">
        <w:t>de cette observation.</w:t>
      </w:r>
    </w:p>
    <w:p w:rsidR="00665ADF" w:rsidRPr="00BE0F04" w:rsidRDefault="00665ADF" w:rsidP="00517783">
      <w:pPr>
        <w:pStyle w:val="Heading1"/>
      </w:pPr>
      <w:r w:rsidRPr="00BE0F04">
        <w:t xml:space="preserve">7 </w:t>
      </w:r>
      <w:r>
        <w:tab/>
      </w:r>
      <w:r w:rsidRPr="00BE0F04">
        <w:t>Organisation des travaux</w:t>
      </w:r>
    </w:p>
    <w:p w:rsidR="00665ADF" w:rsidRPr="00BE0F04" w:rsidRDefault="00665ADF" w:rsidP="00517783">
      <w:r w:rsidRPr="00BE0F04">
        <w:t xml:space="preserve">7.1 </w:t>
      </w:r>
      <w:r>
        <w:tab/>
      </w:r>
      <w:r w:rsidRPr="00BE0F04">
        <w:t xml:space="preserve">Le </w:t>
      </w:r>
      <w:r w:rsidRPr="00BE0F04">
        <w:rPr>
          <w:b/>
          <w:bCs/>
        </w:rPr>
        <w:t xml:space="preserve">Secrétaire de la plénière </w:t>
      </w:r>
      <w:r w:rsidRPr="00BE0F04">
        <w:t>rappelle aux participants que conformément aux décisions prises sur la base de l'approche adoptée lors de la CMR-12, le délai de soumission des propositions additionnelles relatives à l'adjonction de noms de pays dans les renvois existants de l'Article 5 expire ce même jour, à 18 heures.</w:t>
      </w:r>
    </w:p>
    <w:p w:rsidR="00665ADF" w:rsidRPr="00BE0F04" w:rsidRDefault="00665ADF" w:rsidP="00517783">
      <w:pPr>
        <w:pStyle w:val="Headingb"/>
      </w:pPr>
      <w:r w:rsidRPr="00BE0F04">
        <w:t>La séance est levée à 17</w:t>
      </w:r>
      <w:r>
        <w:t xml:space="preserve"> </w:t>
      </w:r>
      <w:r w:rsidRPr="00BE0F04">
        <w:t>h</w:t>
      </w:r>
      <w:r>
        <w:t xml:space="preserve"> </w:t>
      </w:r>
      <w:r w:rsidRPr="00BE0F04">
        <w:t>35.</w:t>
      </w:r>
    </w:p>
    <w:p w:rsidR="00665ADF" w:rsidRPr="00BE0F04" w:rsidRDefault="00665ADF" w:rsidP="00517783">
      <w:r w:rsidRPr="00BE0F04">
        <w:t>Le Secrétaire général: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E0F04">
        <w:t>Le Président:</w:t>
      </w:r>
    </w:p>
    <w:p w:rsidR="00665ADF" w:rsidRPr="005D2BC5" w:rsidRDefault="00665ADF" w:rsidP="00517783">
      <w:r w:rsidRPr="005D2BC5">
        <w:t>H. ZHAO</w:t>
      </w:r>
      <w:r w:rsidRPr="005D2BC5">
        <w:tab/>
      </w:r>
      <w:r w:rsidRPr="005D2BC5">
        <w:tab/>
      </w:r>
      <w:r w:rsidRPr="005D2BC5">
        <w:tab/>
      </w:r>
      <w:r w:rsidRPr="005D2BC5">
        <w:tab/>
      </w:r>
      <w:r w:rsidRPr="005D2BC5">
        <w:tab/>
      </w:r>
      <w:r w:rsidRPr="005D2BC5">
        <w:tab/>
      </w:r>
      <w:r w:rsidRPr="005D2BC5">
        <w:tab/>
      </w:r>
      <w:r w:rsidRPr="005D2BC5">
        <w:tab/>
      </w:r>
      <w:r w:rsidRPr="005D2BC5">
        <w:tab/>
        <w:t>F.Y.N. DAUDU</w:t>
      </w:r>
    </w:p>
    <w:p w:rsidR="00BC6AE5" w:rsidRPr="005D2BC5" w:rsidRDefault="00BC6AE5" w:rsidP="00517783"/>
    <w:sectPr w:rsidR="00BC6AE5" w:rsidRPr="005D2BC5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AE5" w:rsidRDefault="00BC6AE5">
      <w:r>
        <w:separator/>
      </w:r>
    </w:p>
  </w:endnote>
  <w:endnote w:type="continuationSeparator" w:id="0">
    <w:p w:rsidR="00BC6AE5" w:rsidRDefault="00BC6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E52362" w:rsidRDefault="00936D25">
    <w:pPr>
      <w:rPr>
        <w:lang w:val="es-ES"/>
      </w:rPr>
    </w:pPr>
    <w:r>
      <w:fldChar w:fldCharType="begin"/>
    </w:r>
    <w:r w:rsidRPr="00E52362">
      <w:rPr>
        <w:lang w:val="es-ES"/>
      </w:rPr>
      <w:instrText xml:space="preserve"> FILENAME \p  \* MERGEFORMAT </w:instrText>
    </w:r>
    <w:r>
      <w:fldChar w:fldCharType="separate"/>
    </w:r>
    <w:r w:rsidR="00E52362">
      <w:rPr>
        <w:noProof/>
        <w:lang w:val="es-ES"/>
      </w:rPr>
      <w:t>P:\FRA\ITU-R\CONF-R\CMR15\200\237F.docx</w:t>
    </w:r>
    <w:r>
      <w:fldChar w:fldCharType="end"/>
    </w:r>
    <w:r w:rsidRPr="00E52362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E2AEB">
      <w:rPr>
        <w:noProof/>
      </w:rPr>
      <w:t>13.11.15</w:t>
    </w:r>
    <w:r>
      <w:fldChar w:fldCharType="end"/>
    </w:r>
    <w:r w:rsidRPr="00E52362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52362">
      <w:rPr>
        <w:noProof/>
      </w:rPr>
      <w:t>12.11.15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665ADF" w:rsidRDefault="00936D25">
    <w:pPr>
      <w:pStyle w:val="Footer"/>
      <w:rPr>
        <w:lang w:val="es-ES"/>
      </w:rPr>
    </w:pPr>
    <w:r>
      <w:fldChar w:fldCharType="begin"/>
    </w:r>
    <w:r w:rsidRPr="00665ADF">
      <w:rPr>
        <w:lang w:val="es-ES"/>
      </w:rPr>
      <w:instrText xml:space="preserve"> FILENAME \p  \* MERGEFORMAT </w:instrText>
    </w:r>
    <w:r>
      <w:fldChar w:fldCharType="separate"/>
    </w:r>
    <w:r w:rsidR="00E52362">
      <w:rPr>
        <w:lang w:val="es-ES"/>
      </w:rPr>
      <w:t>P:\FRA\ITU-R\CONF-R\CMR15\200\237F.docx</w:t>
    </w:r>
    <w:r>
      <w:fldChar w:fldCharType="end"/>
    </w:r>
    <w:r w:rsidR="00665ADF" w:rsidRPr="00665ADF">
      <w:rPr>
        <w:lang w:val="es-ES"/>
      </w:rPr>
      <w:t xml:space="preserve"> (</w:t>
    </w:r>
    <w:r w:rsidR="00665ADF">
      <w:rPr>
        <w:lang w:val="es-ES"/>
      </w:rPr>
      <w:t>390003)</w:t>
    </w:r>
    <w:r w:rsidRPr="00665ADF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E2AEB">
      <w:t>13.11.15</w:t>
    </w:r>
    <w:r>
      <w:fldChar w:fldCharType="end"/>
    </w:r>
    <w:r w:rsidRPr="00665ADF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52362">
      <w:t>12.11.15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AB5D65" w:rsidRDefault="00936D25">
    <w:pPr>
      <w:pStyle w:val="Footer"/>
      <w:rPr>
        <w:lang w:val="es-ES"/>
      </w:rPr>
    </w:pPr>
    <w:r>
      <w:fldChar w:fldCharType="begin"/>
    </w:r>
    <w:r w:rsidRPr="00AB5D65">
      <w:rPr>
        <w:lang w:val="es-ES"/>
      </w:rPr>
      <w:instrText xml:space="preserve"> FILENAME \p  \* MERGEFORMAT </w:instrText>
    </w:r>
    <w:r>
      <w:fldChar w:fldCharType="separate"/>
    </w:r>
    <w:r w:rsidR="00E52362">
      <w:rPr>
        <w:lang w:val="es-ES"/>
      </w:rPr>
      <w:t>P:\FRA\ITU-R\CONF-R\CMR15\200\237F.docx</w:t>
    </w:r>
    <w:r>
      <w:fldChar w:fldCharType="end"/>
    </w:r>
    <w:r w:rsidR="00AB5D65" w:rsidRPr="00AB5D65">
      <w:rPr>
        <w:lang w:val="es-ES"/>
      </w:rPr>
      <w:t xml:space="preserve"> </w:t>
    </w:r>
    <w:r w:rsidR="00665ADF">
      <w:rPr>
        <w:lang w:val="es-ES"/>
      </w:rPr>
      <w:t>(390003)</w:t>
    </w:r>
    <w:r w:rsidRPr="00AB5D65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E2AEB">
      <w:t>13.11.15</w:t>
    </w:r>
    <w:r>
      <w:fldChar w:fldCharType="end"/>
    </w:r>
    <w:r w:rsidRPr="00AB5D65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52362">
      <w:t>12.11.15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AE5" w:rsidRDefault="00BC6AE5">
      <w:r>
        <w:rPr>
          <w:b/>
        </w:rPr>
        <w:t>_______________</w:t>
      </w:r>
    </w:p>
  </w:footnote>
  <w:footnote w:type="continuationSeparator" w:id="0">
    <w:p w:rsidR="00BC6AE5" w:rsidRDefault="00BC6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4E2AEB">
      <w:rPr>
        <w:noProof/>
      </w:rPr>
      <w:t>2</w:t>
    </w:r>
    <w:r>
      <w:fldChar w:fldCharType="end"/>
    </w:r>
  </w:p>
  <w:p w:rsidR="004F1F8E" w:rsidRDefault="004F1F8E" w:rsidP="00CE2C8D">
    <w:pPr>
      <w:pStyle w:val="Header"/>
    </w:pPr>
    <w:r>
      <w:t>CMR1</w:t>
    </w:r>
    <w:r w:rsidR="00CE2C8D">
      <w:t>5</w:t>
    </w:r>
    <w:r>
      <w:t>/</w:t>
    </w:r>
    <w:r w:rsidR="00665ADF">
      <w:t>237</w:t>
    </w:r>
    <w: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E5"/>
    <w:rsid w:val="00016648"/>
    <w:rsid w:val="0003522F"/>
    <w:rsid w:val="00080E2C"/>
    <w:rsid w:val="000A4755"/>
    <w:rsid w:val="000B2E0C"/>
    <w:rsid w:val="000B3D0C"/>
    <w:rsid w:val="001167B9"/>
    <w:rsid w:val="001267A0"/>
    <w:rsid w:val="001528F9"/>
    <w:rsid w:val="00160C64"/>
    <w:rsid w:val="0019352B"/>
    <w:rsid w:val="001960D0"/>
    <w:rsid w:val="00232FD2"/>
    <w:rsid w:val="002A4622"/>
    <w:rsid w:val="002B17E5"/>
    <w:rsid w:val="002C0EBF"/>
    <w:rsid w:val="002C5FCD"/>
    <w:rsid w:val="00315AFE"/>
    <w:rsid w:val="003606A6"/>
    <w:rsid w:val="0036650C"/>
    <w:rsid w:val="003A583E"/>
    <w:rsid w:val="003E112B"/>
    <w:rsid w:val="00416F68"/>
    <w:rsid w:val="00466211"/>
    <w:rsid w:val="004D01FC"/>
    <w:rsid w:val="004E28C3"/>
    <w:rsid w:val="004E2AEB"/>
    <w:rsid w:val="004F1F8E"/>
    <w:rsid w:val="00517783"/>
    <w:rsid w:val="00584FF8"/>
    <w:rsid w:val="00586CF2"/>
    <w:rsid w:val="005C3768"/>
    <w:rsid w:val="005C6C3F"/>
    <w:rsid w:val="005D2BC5"/>
    <w:rsid w:val="00602048"/>
    <w:rsid w:val="00613635"/>
    <w:rsid w:val="0062093D"/>
    <w:rsid w:val="00637ECF"/>
    <w:rsid w:val="00647B59"/>
    <w:rsid w:val="00654E39"/>
    <w:rsid w:val="00665ADF"/>
    <w:rsid w:val="00701BAE"/>
    <w:rsid w:val="00730E95"/>
    <w:rsid w:val="00774362"/>
    <w:rsid w:val="007A04E8"/>
    <w:rsid w:val="008A3120"/>
    <w:rsid w:val="008C000E"/>
    <w:rsid w:val="008D41BE"/>
    <w:rsid w:val="008D58D3"/>
    <w:rsid w:val="00923064"/>
    <w:rsid w:val="00936D25"/>
    <w:rsid w:val="00941EA5"/>
    <w:rsid w:val="00960A7E"/>
    <w:rsid w:val="00966C16"/>
    <w:rsid w:val="0098732F"/>
    <w:rsid w:val="009B198B"/>
    <w:rsid w:val="009C7E7C"/>
    <w:rsid w:val="00A00473"/>
    <w:rsid w:val="00A03C9B"/>
    <w:rsid w:val="00A606C3"/>
    <w:rsid w:val="00A83B09"/>
    <w:rsid w:val="00A84541"/>
    <w:rsid w:val="00AB5D65"/>
    <w:rsid w:val="00AE36A0"/>
    <w:rsid w:val="00B00294"/>
    <w:rsid w:val="00B64FD0"/>
    <w:rsid w:val="00BC6AE5"/>
    <w:rsid w:val="00BF26E7"/>
    <w:rsid w:val="00C01C69"/>
    <w:rsid w:val="00C814B9"/>
    <w:rsid w:val="00CD516F"/>
    <w:rsid w:val="00CE2C8D"/>
    <w:rsid w:val="00CE6A1C"/>
    <w:rsid w:val="00D119A7"/>
    <w:rsid w:val="00D25FBA"/>
    <w:rsid w:val="00D66EAC"/>
    <w:rsid w:val="00D730DF"/>
    <w:rsid w:val="00D772F0"/>
    <w:rsid w:val="00D77BDC"/>
    <w:rsid w:val="00DC402B"/>
    <w:rsid w:val="00DD0FB9"/>
    <w:rsid w:val="00DE0932"/>
    <w:rsid w:val="00E049F1"/>
    <w:rsid w:val="00E37A25"/>
    <w:rsid w:val="00E52362"/>
    <w:rsid w:val="00E70A31"/>
    <w:rsid w:val="00E977A2"/>
    <w:rsid w:val="00EA3F38"/>
    <w:rsid w:val="00EA5AB6"/>
    <w:rsid w:val="00EC7615"/>
    <w:rsid w:val="00ED16AA"/>
    <w:rsid w:val="00EF662E"/>
    <w:rsid w:val="00F148F1"/>
    <w:rsid w:val="00F165FB"/>
    <w:rsid w:val="00F9722E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DD3F2EFE-E1AE-4F34-A80C-3AB826FF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02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E37A25"/>
    <w:pPr>
      <w:keepNext/>
      <w:spacing w:before="240"/>
    </w:pPr>
    <w:rPr>
      <w:rFonts w:hAnsi="Times New Roman Bold"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taufier\AppData\Roaming\Microsoft\Templates\POOL%20F%20-%20ITU\PF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PF_WRC15.dotm</Template>
  <TotalTime>67</TotalTime>
  <Pages>7</Pages>
  <Words>2978</Words>
  <Characters>15471</Characters>
  <Application>Microsoft Office Word</Application>
  <DocSecurity>0</DocSecurity>
  <Lines>276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18329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Conférence mondiale des radiocommunications - 2012</dc:subject>
  <dc:creator>Montaufier, Sylvie</dc:creator>
  <cp:keywords/>
  <cp:lastModifiedBy>Saxod, Nathalie</cp:lastModifiedBy>
  <cp:revision>9</cp:revision>
  <cp:lastPrinted>2015-11-12T16:58:00Z</cp:lastPrinted>
  <dcterms:created xsi:type="dcterms:W3CDTF">2015-11-12T16:27:00Z</dcterms:created>
  <dcterms:modified xsi:type="dcterms:W3CDTF">2015-11-12T23:13:00Z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