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r>
              <w:rPr>
                <w:noProof/>
                <w:lang w:eastAsia="zh-CN"/>
              </w:rPr>
              <w:drawing>
                <wp:inline distT="0" distB="0" distL="0" distR="0" wp14:anchorId="09196EDB" wp14:editId="2FBE8FB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841216">
              <w:rPr>
                <w:rFonts w:ascii="Verdana" w:hAnsi="Verdana"/>
                <w:sz w:val="20"/>
                <w:szCs w:val="20"/>
              </w:rPr>
              <w:t>COMMITTEE 4</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242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11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Spanish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Barbados/Mexico</w:t>
            </w:r>
          </w:p>
        </w:tc>
      </w:tr>
      <w:tr w:rsidR="007235A4" w:rsidRPr="00C324A8" w:rsidTr="00025864">
        <w:trPr>
          <w:cantSplit/>
          <w:trHeight w:val="23"/>
        </w:trPr>
        <w:tc>
          <w:tcPr>
            <w:tcW w:w="10031" w:type="dxa"/>
            <w:gridSpan w:val="2"/>
            <w:shd w:val="clear" w:color="auto" w:fill="auto"/>
          </w:tcPr>
          <w:p w:rsidR="007235A4" w:rsidRPr="00E20FA6" w:rsidRDefault="007235A4" w:rsidP="007235A4">
            <w:pPr>
              <w:pStyle w:val="Title1"/>
              <w:rPr>
                <w:lang w:val="en-US"/>
              </w:rPr>
            </w:pPr>
            <w:r w:rsidRPr="00E20FA6">
              <w:rPr>
                <w:lang w:val="en-US"/>
              </w:rPr>
              <w:t>PROPOSALS FOR THE WORK OF THE CONFERENCE</w:t>
            </w:r>
          </w:p>
        </w:tc>
      </w:tr>
      <w:tr w:rsidR="007235A4" w:rsidRPr="00C324A8" w:rsidTr="00025864">
        <w:trPr>
          <w:cantSplit/>
          <w:trHeight w:val="23"/>
        </w:trPr>
        <w:tc>
          <w:tcPr>
            <w:tcW w:w="10031" w:type="dxa"/>
            <w:gridSpan w:val="2"/>
            <w:shd w:val="clear" w:color="auto" w:fill="auto"/>
          </w:tcPr>
          <w:p w:rsidR="007235A4" w:rsidRDefault="007235A4" w:rsidP="007235A4">
            <w:pPr>
              <w:pStyle w:val="Title2"/>
            </w:pPr>
          </w:p>
        </w:tc>
      </w:tr>
      <w:tr w:rsidR="007235A4" w:rsidRPr="00C324A8" w:rsidTr="00025864">
        <w:trPr>
          <w:cantSplit/>
          <w:trHeight w:val="23"/>
        </w:trPr>
        <w:tc>
          <w:tcPr>
            <w:tcW w:w="10031" w:type="dxa"/>
            <w:gridSpan w:val="2"/>
            <w:shd w:val="clear" w:color="auto" w:fill="auto"/>
          </w:tcPr>
          <w:p w:rsidR="007235A4" w:rsidRDefault="007235A4" w:rsidP="007235A4">
            <w:pPr>
              <w:pStyle w:val="Agendaitem"/>
            </w:pPr>
            <w:r>
              <w:t>Agenda item 1.1</w:t>
            </w:r>
          </w:p>
        </w:tc>
      </w:tr>
    </w:tbl>
    <w:p w:rsidR="005118F7" w:rsidRPr="009A2B70" w:rsidRDefault="002D413C" w:rsidP="002119E8">
      <w:pPr>
        <w:overflowPunct/>
        <w:autoSpaceDE/>
        <w:autoSpaceDN/>
        <w:adjustRightInd/>
        <w:textAlignment w:val="auto"/>
      </w:pPr>
      <w:bookmarkStart w:id="6" w:name="dbreak"/>
      <w:bookmarkEnd w:id="4"/>
      <w:bookmarkEnd w:id="5"/>
      <w:r w:rsidRPr="009A2B70">
        <w:t>1.1</w:t>
      </w:r>
      <w:r w:rsidRPr="009A2B70">
        <w:tab/>
      </w:r>
      <w:r w:rsidRPr="009A2B70">
        <w:t>to consider additional spectrum allocations to the mobile service on a primary basis and identification of additional frequency bands for International Mobile Telecommunications (IMT) and related regulatory provisions, to facilitate the development of terr</w:t>
      </w:r>
      <w:r w:rsidRPr="009A2B70">
        <w:t xml:space="preserve">estrial mobile broadband applications, in accordance with Resolution </w:t>
      </w:r>
      <w:r w:rsidRPr="009A2B70">
        <w:rPr>
          <w:b/>
          <w:bCs/>
        </w:rPr>
        <w:t>233 (WRC</w:t>
      </w:r>
      <w:r w:rsidRPr="009A2B70">
        <w:rPr>
          <w:b/>
          <w:bCs/>
        </w:rPr>
        <w:noBreakHyphen/>
        <w:t>12)</w:t>
      </w:r>
      <w:r w:rsidRPr="009A2B70">
        <w:t>;</w:t>
      </w:r>
      <w:bookmarkEnd w:id="6"/>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7235A4" w:rsidRPr="00E20FA6" w:rsidRDefault="007235A4" w:rsidP="007235A4">
      <w:pPr>
        <w:pStyle w:val="Headingb"/>
        <w:rPr>
          <w:lang w:val="en-US"/>
        </w:rPr>
      </w:pPr>
      <w:r w:rsidRPr="00E20FA6">
        <w:rPr>
          <w:lang w:val="en-US"/>
        </w:rPr>
        <w:t>Introduction</w:t>
      </w:r>
    </w:p>
    <w:p w:rsidR="007235A4" w:rsidRPr="00E20FA6" w:rsidRDefault="007235A4" w:rsidP="007235A4">
      <w:pPr>
        <w:rPr>
          <w:lang w:val="en-US"/>
        </w:rPr>
      </w:pPr>
      <w:r w:rsidRPr="00E20FA6">
        <w:rPr>
          <w:lang w:val="en-US"/>
        </w:rPr>
        <w:t>In past meetings of Working Group 4C1 of the World Radiocommunication Conference, a variety of proposals and discussions have come forward concerning the allocation of different frequency bands for IMT systems.</w:t>
      </w:r>
    </w:p>
    <w:p w:rsidR="007235A4" w:rsidRPr="00E20FA6" w:rsidRDefault="007235A4" w:rsidP="007235A4">
      <w:pPr>
        <w:rPr>
          <w:lang w:val="en-US"/>
        </w:rPr>
      </w:pPr>
      <w:r w:rsidRPr="00E20FA6">
        <w:rPr>
          <w:lang w:val="en-US"/>
        </w:rPr>
        <w:t>The Mexican Administration reiterates its position on not identifying the frequency band 3 400</w:t>
      </w:r>
      <w:r w:rsidRPr="00E20FA6">
        <w:rPr>
          <w:lang w:val="en-US"/>
        </w:rPr>
        <w:noBreakHyphen/>
        <w:t>4 200 MHz for IMT systems, and accordingly proposes that there be no change in the Table of Frequency Allocations. The aim of this proposal is to reflect the current situation in the Region.</w:t>
      </w:r>
    </w:p>
    <w:p w:rsidR="007235A4" w:rsidRPr="00E20FA6" w:rsidRDefault="007235A4" w:rsidP="007235A4">
      <w:pPr>
        <w:pStyle w:val="Headingb"/>
        <w:rPr>
          <w:lang w:val="en-US"/>
        </w:rPr>
      </w:pPr>
      <w:r w:rsidRPr="00E20FA6">
        <w:rPr>
          <w:lang w:val="en-US"/>
        </w:rPr>
        <w:t>General considerations</w:t>
      </w:r>
    </w:p>
    <w:p w:rsidR="007235A4" w:rsidRPr="00E20FA6" w:rsidRDefault="007235A4" w:rsidP="007235A4">
      <w:pPr>
        <w:rPr>
          <w:lang w:val="en-US"/>
        </w:rPr>
      </w:pPr>
      <w:r w:rsidRPr="00E20FA6">
        <w:rPr>
          <w:lang w:val="en-US"/>
        </w:rPr>
        <w:t>In the past four decades, C</w:t>
      </w:r>
      <w:r w:rsidRPr="00E20FA6">
        <w:rPr>
          <w:lang w:val="en-US"/>
        </w:rPr>
        <w:noBreakHyphen/>
        <w:t>band systems have proven more reliable as a telecommunication back</w:t>
      </w:r>
      <w:r w:rsidRPr="00E20FA6">
        <w:rPr>
          <w:lang w:val="en-US"/>
        </w:rPr>
        <w:noBreakHyphen/>
        <w:t>up because of their ability to withstand rains, the ease and speed with which they can be set up, and their low cost. These points take on special importance in countries that are particularly vulnerable to heavy rains, seismic events and volcanic eruptions, as in Central America and the Caribbean. At present, C</w:t>
      </w:r>
      <w:r w:rsidRPr="00E20FA6">
        <w:rPr>
          <w:lang w:val="en-US"/>
        </w:rPr>
        <w:noBreakHyphen/>
        <w:t>band systems are irreplaceable in natural disasters for supporting rescue missions and protecting the civilian population in disaster zones.</w:t>
      </w:r>
    </w:p>
    <w:p w:rsidR="007235A4" w:rsidRPr="00E20FA6" w:rsidRDefault="007235A4" w:rsidP="007235A4">
      <w:pPr>
        <w:rPr>
          <w:lang w:val="en-US"/>
        </w:rPr>
      </w:pPr>
      <w:r w:rsidRPr="00E20FA6">
        <w:rPr>
          <w:lang w:val="en-US"/>
        </w:rPr>
        <w:t>In some Region 2 countries, the band 3 400</w:t>
      </w:r>
      <w:r w:rsidRPr="00E20FA6">
        <w:rPr>
          <w:lang w:val="en-US"/>
        </w:rPr>
        <w:noBreakHyphen/>
        <w:t>4 200 MHz is being used for essential government services for the benefit of the general public (meteorology, civil aviation, public safety, etc.) as well as for private-sector commercial services (DTH, over-the-air channels, mobile systems backhaul, etc.)</w:t>
      </w:r>
    </w:p>
    <w:p w:rsidR="007235A4" w:rsidRPr="00E20FA6" w:rsidRDefault="007235A4" w:rsidP="007235A4">
      <w:pPr>
        <w:rPr>
          <w:lang w:val="en-US"/>
        </w:rPr>
      </w:pPr>
      <w:r w:rsidRPr="00E20FA6">
        <w:rPr>
          <w:lang w:val="en-US"/>
        </w:rPr>
        <w:t>ITU studies agree that, in the current state of the technology, it is not possible to make the use of fixed-satellite service compatible with the introduction of IMT systems in the band 3 400</w:t>
      </w:r>
      <w:r w:rsidRPr="00E20FA6">
        <w:rPr>
          <w:lang w:val="en-US"/>
        </w:rPr>
        <w:noBreakHyphen/>
        <w:t>4 200 MHz. According to ITU</w:t>
      </w:r>
      <w:r w:rsidRPr="00E20FA6">
        <w:rPr>
          <w:lang w:val="en-US"/>
        </w:rPr>
        <w:noBreakHyphen/>
        <w:t>R report M.2109, the same technical difficulties would apply to the band 4 500</w:t>
      </w:r>
      <w:r w:rsidRPr="00E20FA6">
        <w:rPr>
          <w:lang w:val="en-US"/>
        </w:rPr>
        <w:noBreakHyphen/>
        <w:t>4 800 MHz (space-to-Earth), allocated to the fixed-satellite service by Appendix </w:t>
      </w:r>
      <w:r w:rsidRPr="00E20FA6">
        <w:rPr>
          <w:b/>
          <w:bCs/>
          <w:lang w:val="en-US"/>
        </w:rPr>
        <w:t>30B</w:t>
      </w:r>
      <w:r w:rsidRPr="00E20FA6">
        <w:rPr>
          <w:lang w:val="en-US"/>
        </w:rPr>
        <w:t>, whose purpose is to guarantee equitable access for all countries to the geostationary orbit for use at any time and in any place.</w:t>
      </w:r>
    </w:p>
    <w:p w:rsidR="007235A4" w:rsidRPr="00E20FA6" w:rsidRDefault="007235A4" w:rsidP="007235A4">
      <w:pPr>
        <w:rPr>
          <w:lang w:val="en-US"/>
        </w:rPr>
      </w:pPr>
      <w:r w:rsidRPr="00E20FA6">
        <w:rPr>
          <w:lang w:val="en-US"/>
        </w:rPr>
        <w:t xml:space="preserve">Several administrations, not only in Region 2 but also in Regions 1 and 3, as well as international agencies such as ICAO, have reported an increase in cases of harmful interference to VSAT networks dedicated to civil air navigation and meteorology, which could put at risk the safety of passengers and civilian air transport in general. </w:t>
      </w:r>
    </w:p>
    <w:p w:rsidR="007235A4" w:rsidRPr="00E20FA6" w:rsidRDefault="007235A4" w:rsidP="007235A4">
      <w:pPr>
        <w:rPr>
          <w:lang w:val="en-US"/>
        </w:rPr>
      </w:pPr>
      <w:r w:rsidRPr="00E20FA6">
        <w:rPr>
          <w:lang w:val="en-US"/>
        </w:rPr>
        <w:t>At this time, there is a wide range of systems deployed in a number of countries that provide critical communication satellite services using C</w:t>
      </w:r>
      <w:r w:rsidRPr="00E20FA6">
        <w:rPr>
          <w:lang w:val="en-US"/>
        </w:rPr>
        <w:noBreakHyphen/>
        <w:t>band frequencies (3 400</w:t>
      </w:r>
      <w:r w:rsidRPr="00E20FA6">
        <w:rPr>
          <w:lang w:val="en-US"/>
        </w:rPr>
        <w:noBreakHyphen/>
        <w:t>4 200 MHz and 5 850</w:t>
      </w:r>
      <w:r w:rsidRPr="00E20FA6">
        <w:rPr>
          <w:lang w:val="en-US"/>
        </w:rPr>
        <w:noBreakHyphen/>
        <w:t>6 700 MHz), which need to be taken into account to ensure that they can be operated free of harmful interference.</w:t>
      </w:r>
    </w:p>
    <w:p w:rsidR="007235A4" w:rsidRPr="00E20FA6" w:rsidRDefault="007235A4" w:rsidP="007235A4">
      <w:pPr>
        <w:rPr>
          <w:lang w:val="en-US"/>
        </w:rPr>
      </w:pPr>
      <w:r w:rsidRPr="00E20FA6">
        <w:rPr>
          <w:lang w:val="en-US"/>
        </w:rPr>
        <w:t>Interference-free operation of satellite communications using the C</w:t>
      </w:r>
      <w:r w:rsidRPr="00E20FA6">
        <w:rPr>
          <w:lang w:val="en-US"/>
        </w:rPr>
        <w:noBreakHyphen/>
        <w:t>band is fundamental because that band offers a great many advantages over other frequency bands also commonly used by satellites, such as the Ku</w:t>
      </w:r>
      <w:r w:rsidRPr="00E20FA6">
        <w:rPr>
          <w:lang w:val="en-US"/>
        </w:rPr>
        <w:noBreakHyphen/>
        <w:t>band and Ka</w:t>
      </w:r>
      <w:r w:rsidRPr="00E20FA6">
        <w:rPr>
          <w:lang w:val="en-US"/>
        </w:rPr>
        <w:noBreakHyphen/>
        <w:t>band. The characteristics of C</w:t>
      </w:r>
      <w:r w:rsidRPr="00E20FA6">
        <w:rPr>
          <w:lang w:val="en-US"/>
        </w:rPr>
        <w:noBreakHyphen/>
        <w:t>band propagation facilitate obtaining broad coverage making it possible to connect large regions or continents using the same footprint. Also, as mentioned above, this frequency band is very robust, withstanding signal degradation due to rain, for, whereas rains can on occasion degrade signals for services using higher frequency bands, services provided on the C</w:t>
      </w:r>
      <w:r w:rsidRPr="00E20FA6">
        <w:rPr>
          <w:lang w:val="en-US"/>
        </w:rPr>
        <w:noBreakHyphen/>
        <w:t>band remain highly reliable even during periods of heavy precipitation.</w:t>
      </w:r>
    </w:p>
    <w:p w:rsidR="007235A4" w:rsidRPr="00E20FA6" w:rsidRDefault="007235A4" w:rsidP="007235A4">
      <w:pPr>
        <w:rPr>
          <w:lang w:val="en-US"/>
        </w:rPr>
      </w:pPr>
      <w:r w:rsidRPr="00E20FA6">
        <w:rPr>
          <w:lang w:val="en-US"/>
        </w:rPr>
        <w:t>At the same time, satellite services in this band currently coexist with other radiocommunication services without any serious difficulties. This is due to the technical and operational characteristics of such services, but those characteristics are nevertheless distinct from those of IMT. The results of the technical studies undertaken by ITU are not conclusive on this matter, and have shown that there are certain difficulties as regards enabling IMT systems to coexist with satellite services.</w:t>
      </w:r>
    </w:p>
    <w:p w:rsidR="007235A4" w:rsidRPr="00E20FA6" w:rsidRDefault="007235A4" w:rsidP="007235A4">
      <w:pPr>
        <w:pStyle w:val="Headingb"/>
        <w:rPr>
          <w:lang w:val="en-US"/>
        </w:rPr>
      </w:pPr>
      <w:r w:rsidRPr="00E20FA6">
        <w:rPr>
          <w:lang w:val="en-US"/>
        </w:rPr>
        <w:t>Specific considerations</w:t>
      </w:r>
    </w:p>
    <w:p w:rsidR="007235A4" w:rsidRPr="00E20FA6" w:rsidRDefault="007235A4" w:rsidP="007235A4">
      <w:pPr>
        <w:pStyle w:val="enumlev1"/>
        <w:rPr>
          <w:lang w:val="en-US"/>
        </w:rPr>
      </w:pPr>
      <w:r w:rsidRPr="00E20FA6">
        <w:rPr>
          <w:lang w:val="en-US"/>
        </w:rPr>
        <w:t>1</w:t>
      </w:r>
      <w:r w:rsidRPr="00E20FA6">
        <w:rPr>
          <w:lang w:val="en-US"/>
        </w:rPr>
        <w:tab/>
        <w:t>For the administrations signatory to this proposal, the use of the C-band is very important for carrying services via satellite systems, and there are a number of good reasons for maintaining the NOC position.</w:t>
      </w:r>
    </w:p>
    <w:p w:rsidR="007235A4" w:rsidRPr="00E20FA6" w:rsidRDefault="007235A4" w:rsidP="007235A4">
      <w:pPr>
        <w:pStyle w:val="enumlev1"/>
        <w:rPr>
          <w:lang w:val="en-US"/>
        </w:rPr>
      </w:pPr>
      <w:r w:rsidRPr="00E20FA6">
        <w:rPr>
          <w:lang w:val="en-US"/>
        </w:rPr>
        <w:t>2</w:t>
      </w:r>
      <w:r w:rsidRPr="00E20FA6">
        <w:rPr>
          <w:lang w:val="en-US"/>
        </w:rPr>
        <w:tab/>
        <w:t>In the specific case of Mexico, an allocation has been made to the Mexican satellite system MEXSAT for operation of the segment 3 400</w:t>
      </w:r>
      <w:r w:rsidRPr="00E20FA6">
        <w:rPr>
          <w:lang w:val="en-US"/>
        </w:rPr>
        <w:noBreakHyphen/>
        <w:t>3 700 MHz (space-to-Earth) by the bicentennial satellite, which was successfully launched in December 2012 at orbital position 114.9 °W and currently provides national security and government communications services; these include the “México Conectado” programme and other important programmes for social coverage of the national territory including the Exclusive Economic Zone.</w:t>
      </w:r>
    </w:p>
    <w:p w:rsidR="007235A4" w:rsidRPr="00E20FA6" w:rsidRDefault="007235A4" w:rsidP="007235A4">
      <w:pPr>
        <w:pStyle w:val="enumlev1"/>
        <w:rPr>
          <w:lang w:val="en-US"/>
        </w:rPr>
      </w:pPr>
      <w:r w:rsidRPr="00E20FA6">
        <w:rPr>
          <w:lang w:val="en-US"/>
        </w:rPr>
        <w:t>3</w:t>
      </w:r>
      <w:r w:rsidRPr="00E20FA6">
        <w:rPr>
          <w:lang w:val="en-US"/>
        </w:rPr>
        <w:tab/>
        <w:t>The administrations signatory to this proposal, in their capacity as notifying administrations for various satellite networks in operation and as authorities licensing foreign satellite operators to provide services in their territories, share a vision of protecting satellite services for the benefit of the general public, especially those services that are an essential element in achieving the connectivity plans which the Government has shaped at the constitutional level and is putting into practice.</w:t>
      </w:r>
    </w:p>
    <w:p w:rsidR="007235A4" w:rsidRPr="00E20FA6" w:rsidRDefault="007235A4" w:rsidP="007235A4">
      <w:pPr>
        <w:rPr>
          <w:lang w:val="en-US"/>
        </w:rPr>
      </w:pPr>
    </w:p>
    <w:p w:rsidR="007235A4" w:rsidRPr="00E20FA6" w:rsidRDefault="007235A4" w:rsidP="007235A4">
      <w:pPr>
        <w:pStyle w:val="ArtNo"/>
        <w:rPr>
          <w:lang w:val="en-US"/>
        </w:rPr>
      </w:pPr>
      <w:bookmarkStart w:id="7" w:name="_Toc327956582"/>
      <w:r w:rsidRPr="00E20FA6">
        <w:rPr>
          <w:lang w:val="en-US"/>
        </w:rPr>
        <w:t xml:space="preserve">ARTICLE </w:t>
      </w:r>
      <w:r w:rsidRPr="00E20FA6">
        <w:rPr>
          <w:rStyle w:val="href"/>
          <w:rFonts w:eastAsiaTheme="majorEastAsia"/>
          <w:color w:val="000000"/>
          <w:lang w:val="en-US"/>
        </w:rPr>
        <w:t>5</w:t>
      </w:r>
      <w:bookmarkEnd w:id="7"/>
    </w:p>
    <w:p w:rsidR="007235A4" w:rsidRPr="00E20FA6" w:rsidRDefault="007235A4" w:rsidP="007235A4">
      <w:pPr>
        <w:pStyle w:val="Arttitle"/>
        <w:rPr>
          <w:lang w:val="en-US"/>
        </w:rPr>
      </w:pPr>
      <w:bookmarkStart w:id="8" w:name="_Toc327956583"/>
      <w:r w:rsidRPr="00E20FA6">
        <w:rPr>
          <w:lang w:val="en-US"/>
        </w:rPr>
        <w:t>Frequency allocations</w:t>
      </w:r>
      <w:bookmarkEnd w:id="8"/>
    </w:p>
    <w:p w:rsidR="007235A4" w:rsidRPr="00E20FA6" w:rsidRDefault="007235A4" w:rsidP="007235A4">
      <w:pPr>
        <w:pStyle w:val="Section1"/>
        <w:keepNext/>
        <w:rPr>
          <w:lang w:val="en-US"/>
        </w:rPr>
      </w:pPr>
      <w:r w:rsidRPr="00E20FA6">
        <w:rPr>
          <w:lang w:val="en-US"/>
        </w:rPr>
        <w:t>Section IV – Table of Frequency Allocations</w:t>
      </w:r>
      <w:r w:rsidRPr="00E20FA6">
        <w:rPr>
          <w:lang w:val="en-US"/>
        </w:rPr>
        <w:br/>
      </w:r>
      <w:r w:rsidRPr="00E20FA6">
        <w:rPr>
          <w:b w:val="0"/>
          <w:bCs/>
          <w:lang w:val="en-US"/>
        </w:rPr>
        <w:t xml:space="preserve">(See No. </w:t>
      </w:r>
      <w:r w:rsidRPr="00E20FA6">
        <w:rPr>
          <w:lang w:val="en-US"/>
        </w:rPr>
        <w:t>2.1</w:t>
      </w:r>
      <w:r w:rsidRPr="00E20FA6">
        <w:rPr>
          <w:b w:val="0"/>
          <w:bCs/>
          <w:lang w:val="en-US"/>
        </w:rPr>
        <w:t>)</w:t>
      </w:r>
      <w:r w:rsidRPr="00E20FA6">
        <w:rPr>
          <w:b w:val="0"/>
          <w:bCs/>
          <w:lang w:val="en-US"/>
        </w:rPr>
        <w:br/>
      </w:r>
      <w:r w:rsidRPr="00E20FA6">
        <w:rPr>
          <w:lang w:val="en-US"/>
        </w:rPr>
        <w:br/>
      </w:r>
    </w:p>
    <w:p w:rsidR="007235A4" w:rsidRPr="00E20FA6" w:rsidRDefault="007235A4" w:rsidP="007235A4">
      <w:pPr>
        <w:pStyle w:val="Proposal"/>
        <w:rPr>
          <w:lang w:val="en-US"/>
        </w:rPr>
      </w:pPr>
      <w:r w:rsidRPr="00E20FA6">
        <w:rPr>
          <w:u w:val="single"/>
          <w:lang w:val="en-US"/>
        </w:rPr>
        <w:t>NOC</w:t>
      </w:r>
      <w:r w:rsidRPr="00E20FA6">
        <w:rPr>
          <w:lang w:val="en-US"/>
        </w:rPr>
        <w:tab/>
        <w:t>BRB/MEX/242/1</w:t>
      </w:r>
    </w:p>
    <w:p w:rsidR="007235A4" w:rsidRPr="00E20FA6" w:rsidRDefault="007235A4" w:rsidP="007235A4">
      <w:pPr>
        <w:pStyle w:val="Tabletitle"/>
        <w:rPr>
          <w:lang w:val="en-US"/>
        </w:rPr>
      </w:pPr>
      <w:r w:rsidRPr="00E20FA6">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7235A4" w:rsidRPr="00E20FA6" w:rsidTr="005F2CE3">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7235A4" w:rsidRPr="00E20FA6" w:rsidRDefault="007235A4" w:rsidP="005F2CE3">
            <w:pPr>
              <w:pStyle w:val="Tablehead"/>
              <w:rPr>
                <w:lang w:val="en-US"/>
              </w:rPr>
            </w:pPr>
            <w:r w:rsidRPr="00E20FA6">
              <w:rPr>
                <w:lang w:val="en-US"/>
              </w:rPr>
              <w:t>Allocation to services</w:t>
            </w:r>
          </w:p>
        </w:tc>
      </w:tr>
      <w:tr w:rsidR="007235A4" w:rsidRPr="00E20FA6" w:rsidTr="005F2CE3">
        <w:trPr>
          <w:cantSplit/>
          <w:jc w:val="center"/>
        </w:trPr>
        <w:tc>
          <w:tcPr>
            <w:tcW w:w="3093" w:type="dxa"/>
            <w:tcBorders>
              <w:top w:val="single" w:sz="6" w:space="0" w:color="auto"/>
              <w:left w:val="single" w:sz="6" w:space="0" w:color="auto"/>
              <w:bottom w:val="single" w:sz="6" w:space="0" w:color="auto"/>
              <w:right w:val="single" w:sz="6" w:space="0" w:color="auto"/>
            </w:tcBorders>
          </w:tcPr>
          <w:p w:rsidR="007235A4" w:rsidRPr="00E20FA6" w:rsidRDefault="007235A4" w:rsidP="005F2CE3">
            <w:pPr>
              <w:pStyle w:val="Tablehead"/>
              <w:rPr>
                <w:lang w:val="en-US"/>
              </w:rPr>
            </w:pPr>
            <w:r w:rsidRPr="00E20FA6">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7235A4" w:rsidRPr="00E20FA6" w:rsidRDefault="007235A4" w:rsidP="005F2CE3">
            <w:pPr>
              <w:pStyle w:val="Tablehead"/>
              <w:rPr>
                <w:lang w:val="en-US"/>
              </w:rPr>
            </w:pPr>
            <w:r w:rsidRPr="00E20FA6">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7235A4" w:rsidRPr="00E20FA6" w:rsidRDefault="007235A4" w:rsidP="005F2CE3">
            <w:pPr>
              <w:pStyle w:val="Tablehead"/>
              <w:rPr>
                <w:lang w:val="en-US"/>
              </w:rPr>
            </w:pPr>
            <w:r w:rsidRPr="00E20FA6">
              <w:rPr>
                <w:lang w:val="en-US"/>
              </w:rPr>
              <w:t>Region 3</w:t>
            </w:r>
          </w:p>
        </w:tc>
      </w:tr>
      <w:tr w:rsidR="007235A4" w:rsidRPr="00782E83" w:rsidTr="005F2CE3">
        <w:trPr>
          <w:cantSplit/>
          <w:trHeight w:val="1944"/>
          <w:jc w:val="center"/>
        </w:trPr>
        <w:tc>
          <w:tcPr>
            <w:tcW w:w="3093" w:type="dxa"/>
            <w:vMerge w:val="restart"/>
            <w:tcBorders>
              <w:top w:val="single" w:sz="6" w:space="0" w:color="auto"/>
              <w:left w:val="single" w:sz="6" w:space="0" w:color="auto"/>
              <w:right w:val="single" w:sz="6" w:space="0" w:color="auto"/>
            </w:tcBorders>
          </w:tcPr>
          <w:p w:rsidR="007235A4" w:rsidRPr="00E20FA6" w:rsidRDefault="007235A4" w:rsidP="005F2CE3">
            <w:pPr>
              <w:pStyle w:val="TableTextS5"/>
              <w:spacing w:before="20" w:after="20" w:line="220" w:lineRule="exact"/>
              <w:ind w:left="170" w:hanging="170"/>
              <w:rPr>
                <w:rStyle w:val="Tablefreq"/>
                <w:rFonts w:eastAsia="SimSun"/>
                <w:lang w:val="en-US"/>
              </w:rPr>
            </w:pPr>
            <w:r w:rsidRPr="00E20FA6">
              <w:rPr>
                <w:rStyle w:val="Tablefreq"/>
                <w:rFonts w:eastAsia="SimSun"/>
                <w:lang w:val="en-US"/>
              </w:rPr>
              <w:t>3 400-3 600</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FIXED-SATELLITE</w:t>
            </w:r>
            <w:r w:rsidRPr="00E20FA6">
              <w:rPr>
                <w:color w:val="000000"/>
                <w:lang w:val="en-US"/>
              </w:rPr>
              <w:br/>
              <w:t>(space-to-Earth)</w:t>
            </w:r>
          </w:p>
          <w:p w:rsidR="007235A4" w:rsidRPr="00E20FA6" w:rsidRDefault="007235A4" w:rsidP="005F2CE3">
            <w:pPr>
              <w:pStyle w:val="TableTextS5"/>
              <w:spacing w:before="20" w:after="20" w:line="220" w:lineRule="exact"/>
              <w:ind w:left="300" w:right="130" w:hanging="170"/>
              <w:rPr>
                <w:rStyle w:val="Artref"/>
                <w:lang w:val="en-US"/>
              </w:rPr>
            </w:pPr>
            <w:r w:rsidRPr="00E20FA6">
              <w:rPr>
                <w:color w:val="000000"/>
                <w:lang w:val="en-US"/>
              </w:rPr>
              <w:t xml:space="preserve">Mobile  </w:t>
            </w:r>
            <w:r w:rsidRPr="00E20FA6">
              <w:rPr>
                <w:rStyle w:val="Artref"/>
                <w:lang w:val="en-US"/>
              </w:rPr>
              <w:t>5.430A</w:t>
            </w:r>
          </w:p>
          <w:p w:rsidR="007235A4" w:rsidRPr="00E20FA6" w:rsidRDefault="007235A4" w:rsidP="005F2CE3">
            <w:pPr>
              <w:pStyle w:val="TableTextS5"/>
              <w:spacing w:before="20" w:after="20" w:line="220" w:lineRule="exact"/>
              <w:ind w:left="300" w:right="130" w:hanging="170"/>
              <w:rPr>
                <w:color w:val="000000"/>
                <w:lang w:val="en-US"/>
              </w:rPr>
            </w:pPr>
            <w:r w:rsidRPr="00E20FA6">
              <w:rPr>
                <w:color w:val="000000"/>
                <w:lang w:val="en-US"/>
              </w:rPr>
              <w:t>Radiolocation</w:t>
            </w:r>
          </w:p>
          <w:p w:rsidR="007235A4" w:rsidRPr="00E20FA6" w:rsidRDefault="007235A4" w:rsidP="005F2CE3">
            <w:pPr>
              <w:pStyle w:val="TableTextS5"/>
              <w:spacing w:before="20" w:after="20" w:line="220" w:lineRule="exact"/>
              <w:ind w:left="170" w:hanging="170"/>
              <w:rPr>
                <w:color w:val="000000"/>
                <w:lang w:val="en-US"/>
              </w:rPr>
            </w:pPr>
          </w:p>
          <w:p w:rsidR="007235A4" w:rsidRPr="00E20FA6" w:rsidRDefault="007235A4" w:rsidP="005F2CE3">
            <w:pPr>
              <w:pStyle w:val="TableTextS5"/>
              <w:spacing w:before="20" w:after="20" w:line="220" w:lineRule="exact"/>
              <w:ind w:left="170" w:hanging="170"/>
              <w:rPr>
                <w:rStyle w:val="Artref"/>
                <w:rFonts w:eastAsia="SimSun"/>
                <w:color w:val="000000"/>
                <w:lang w:val="en-US"/>
              </w:rPr>
            </w:pPr>
          </w:p>
          <w:p w:rsidR="007235A4" w:rsidRPr="00E20FA6" w:rsidRDefault="007235A4" w:rsidP="005F2CE3">
            <w:pPr>
              <w:pStyle w:val="TableTextS5"/>
              <w:spacing w:before="20" w:after="20" w:line="220" w:lineRule="exact"/>
              <w:ind w:left="170" w:hanging="170"/>
              <w:rPr>
                <w:rStyle w:val="Artref"/>
                <w:rFonts w:eastAsia="SimSun"/>
                <w:color w:val="000000"/>
                <w:lang w:val="en-US"/>
              </w:rPr>
            </w:pPr>
          </w:p>
          <w:p w:rsidR="007235A4" w:rsidRPr="00E20FA6" w:rsidRDefault="007235A4" w:rsidP="005F2CE3">
            <w:pPr>
              <w:pStyle w:val="TableTextS5"/>
              <w:spacing w:before="20" w:after="20" w:line="220" w:lineRule="exact"/>
              <w:ind w:left="170" w:hanging="170"/>
              <w:rPr>
                <w:rStyle w:val="Artref"/>
                <w:rFonts w:eastAsia="SimSun"/>
                <w:color w:val="000000"/>
                <w:lang w:val="en-US"/>
              </w:rPr>
            </w:pPr>
          </w:p>
          <w:p w:rsidR="007235A4" w:rsidRPr="00E20FA6" w:rsidRDefault="007235A4" w:rsidP="005F2CE3">
            <w:pPr>
              <w:pStyle w:val="TableTextS5"/>
              <w:spacing w:before="20" w:after="20" w:line="220" w:lineRule="exact"/>
              <w:ind w:left="170" w:hanging="170"/>
              <w:rPr>
                <w:rStyle w:val="Artref"/>
                <w:rFonts w:eastAsia="SimSun"/>
                <w:color w:val="000000"/>
                <w:lang w:val="en-US"/>
              </w:rPr>
            </w:pPr>
          </w:p>
          <w:p w:rsidR="007235A4" w:rsidRPr="00E20FA6" w:rsidRDefault="007235A4" w:rsidP="005F2CE3">
            <w:pPr>
              <w:pStyle w:val="TableTextS5"/>
              <w:spacing w:before="20" w:after="20" w:line="220" w:lineRule="exact"/>
              <w:ind w:left="170" w:hanging="170"/>
              <w:rPr>
                <w:lang w:val="en-US"/>
              </w:rPr>
            </w:pPr>
          </w:p>
          <w:p w:rsidR="007235A4" w:rsidRPr="00E20FA6" w:rsidRDefault="007235A4" w:rsidP="005F2CE3">
            <w:pPr>
              <w:pStyle w:val="TableTextS5"/>
              <w:rPr>
                <w:color w:val="000000"/>
                <w:lang w:val="en-US"/>
              </w:rPr>
            </w:pPr>
          </w:p>
          <w:p w:rsidR="007235A4" w:rsidRPr="00E20FA6" w:rsidRDefault="007235A4" w:rsidP="005F2CE3">
            <w:pPr>
              <w:pStyle w:val="TableTextS5"/>
              <w:rPr>
                <w:color w:val="000000"/>
                <w:lang w:val="en-US"/>
              </w:rPr>
            </w:pPr>
          </w:p>
          <w:p w:rsidR="007235A4" w:rsidRPr="00E20FA6" w:rsidRDefault="007235A4" w:rsidP="005F2CE3">
            <w:pPr>
              <w:pStyle w:val="TableTextS5"/>
              <w:rPr>
                <w:rStyle w:val="Artref"/>
                <w:rFonts w:eastAsia="SimSun"/>
                <w:color w:val="000000"/>
                <w:lang w:val="en-US"/>
              </w:rPr>
            </w:pPr>
            <w:r w:rsidRPr="00E20FA6">
              <w:rPr>
                <w:rStyle w:val="Artref"/>
                <w:rFonts w:eastAsia="SimSun"/>
                <w:color w:val="000000"/>
                <w:lang w:val="en-US"/>
              </w:rPr>
              <w:t>5.431</w:t>
            </w:r>
          </w:p>
        </w:tc>
        <w:tc>
          <w:tcPr>
            <w:tcW w:w="3109" w:type="dxa"/>
            <w:tcBorders>
              <w:top w:val="single" w:sz="6" w:space="0" w:color="auto"/>
              <w:left w:val="single" w:sz="6" w:space="0" w:color="auto"/>
              <w:bottom w:val="single" w:sz="4" w:space="0" w:color="auto"/>
              <w:right w:val="single" w:sz="6" w:space="0" w:color="auto"/>
            </w:tcBorders>
          </w:tcPr>
          <w:p w:rsidR="007235A4" w:rsidRPr="00E20FA6" w:rsidRDefault="007235A4" w:rsidP="005F2CE3">
            <w:pPr>
              <w:pStyle w:val="TableTextS5"/>
              <w:spacing w:before="20" w:after="20" w:line="220" w:lineRule="exact"/>
              <w:ind w:left="170" w:hanging="170"/>
              <w:rPr>
                <w:rStyle w:val="Tablefreq"/>
                <w:rFonts w:eastAsia="SimSun"/>
                <w:lang w:val="en-US"/>
              </w:rPr>
            </w:pPr>
            <w:r w:rsidRPr="00E20FA6">
              <w:rPr>
                <w:rStyle w:val="Tablefreq"/>
                <w:rFonts w:eastAsia="SimSun"/>
                <w:lang w:val="en-US"/>
              </w:rPr>
              <w:t>3 400-3 500</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FIXED-SATELLITE (space-to-Earth)</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Amateur</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 xml:space="preserve">Mobile  </w:t>
            </w:r>
            <w:r w:rsidRPr="00E20FA6">
              <w:rPr>
                <w:rStyle w:val="Artref"/>
                <w:lang w:val="en-US"/>
              </w:rPr>
              <w:t>5.431A</w:t>
            </w:r>
          </w:p>
          <w:p w:rsidR="007235A4" w:rsidRPr="00E20FA6" w:rsidRDefault="007235A4" w:rsidP="005F2CE3">
            <w:pPr>
              <w:pStyle w:val="TableTextS5"/>
              <w:spacing w:before="20" w:after="20" w:line="220" w:lineRule="exact"/>
              <w:ind w:left="170" w:hanging="170"/>
              <w:rPr>
                <w:rStyle w:val="Artref"/>
                <w:lang w:val="en-US"/>
              </w:rPr>
            </w:pPr>
            <w:r w:rsidRPr="00E20FA6">
              <w:rPr>
                <w:color w:val="000000"/>
                <w:lang w:val="en-US"/>
              </w:rPr>
              <w:t xml:space="preserve">Radiolocation  </w:t>
            </w:r>
            <w:r w:rsidRPr="00E20FA6">
              <w:rPr>
                <w:rStyle w:val="Artref"/>
                <w:rFonts w:eastAsia="SimSun"/>
                <w:lang w:val="en-US"/>
              </w:rPr>
              <w:t>5.433</w:t>
            </w:r>
          </w:p>
          <w:p w:rsidR="007235A4" w:rsidRPr="00E20FA6" w:rsidRDefault="007235A4" w:rsidP="005F2CE3">
            <w:pPr>
              <w:pStyle w:val="TableTextS5"/>
              <w:rPr>
                <w:rStyle w:val="Artref"/>
                <w:rFonts w:eastAsia="SimSun"/>
                <w:color w:val="000000"/>
                <w:lang w:val="en-US"/>
              </w:rPr>
            </w:pPr>
            <w:r w:rsidRPr="00E20FA6">
              <w:rPr>
                <w:rStyle w:val="Artref"/>
                <w:rFonts w:eastAsia="SimSun"/>
                <w:color w:val="000000"/>
                <w:lang w:val="en-US"/>
              </w:rPr>
              <w:t>5.282</w:t>
            </w:r>
          </w:p>
        </w:tc>
        <w:tc>
          <w:tcPr>
            <w:tcW w:w="3101" w:type="dxa"/>
            <w:tcBorders>
              <w:top w:val="single" w:sz="6" w:space="0" w:color="auto"/>
              <w:left w:val="single" w:sz="6" w:space="0" w:color="auto"/>
              <w:bottom w:val="single" w:sz="4" w:space="0" w:color="auto"/>
              <w:right w:val="single" w:sz="6" w:space="0" w:color="auto"/>
            </w:tcBorders>
          </w:tcPr>
          <w:p w:rsidR="007235A4" w:rsidRPr="00E20FA6" w:rsidRDefault="007235A4" w:rsidP="005F2CE3">
            <w:pPr>
              <w:pStyle w:val="TableTextS5"/>
              <w:spacing w:before="20" w:after="20" w:line="220" w:lineRule="exact"/>
              <w:ind w:left="170" w:hanging="170"/>
              <w:rPr>
                <w:rStyle w:val="Tablefreq"/>
                <w:rFonts w:eastAsia="SimSun"/>
                <w:lang w:val="en-US"/>
              </w:rPr>
            </w:pPr>
            <w:r w:rsidRPr="00E20FA6">
              <w:rPr>
                <w:rStyle w:val="Tablefreq"/>
                <w:rFonts w:eastAsia="SimSun"/>
                <w:lang w:val="en-US"/>
              </w:rPr>
              <w:t>3 400-3 500</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FIXED-SATELLITE (space-to-Earth)</w:t>
            </w:r>
          </w:p>
          <w:p w:rsidR="007235A4" w:rsidRPr="00782E83" w:rsidRDefault="007235A4" w:rsidP="005F2CE3">
            <w:pPr>
              <w:pStyle w:val="TableTextS5"/>
              <w:spacing w:before="20" w:after="20" w:line="220" w:lineRule="exact"/>
              <w:ind w:left="170" w:hanging="170"/>
              <w:rPr>
                <w:color w:val="000000"/>
                <w:lang w:val="fr-CH"/>
              </w:rPr>
            </w:pPr>
            <w:r w:rsidRPr="00782E83">
              <w:rPr>
                <w:color w:val="000000"/>
                <w:lang w:val="fr-CH"/>
              </w:rPr>
              <w:t>Amateur</w:t>
            </w:r>
          </w:p>
          <w:p w:rsidR="007235A4" w:rsidRPr="00782E83" w:rsidRDefault="007235A4" w:rsidP="005F2CE3">
            <w:pPr>
              <w:pStyle w:val="TableTextS5"/>
              <w:spacing w:before="20" w:after="20" w:line="220" w:lineRule="exact"/>
              <w:ind w:left="170" w:hanging="170"/>
              <w:rPr>
                <w:rStyle w:val="Artref"/>
                <w:lang w:val="fr-CH"/>
              </w:rPr>
            </w:pPr>
            <w:r w:rsidRPr="00782E83">
              <w:rPr>
                <w:color w:val="000000"/>
                <w:lang w:val="fr-CH"/>
              </w:rPr>
              <w:t xml:space="preserve">Mobile  </w:t>
            </w:r>
            <w:r w:rsidRPr="00782E83">
              <w:rPr>
                <w:rStyle w:val="Artref"/>
                <w:lang w:val="fr-CH"/>
              </w:rPr>
              <w:t>5.432B</w:t>
            </w:r>
          </w:p>
          <w:p w:rsidR="007235A4" w:rsidRPr="00782E83" w:rsidRDefault="007235A4" w:rsidP="005F2CE3">
            <w:pPr>
              <w:pStyle w:val="TableTextS5"/>
              <w:spacing w:before="20" w:after="20" w:line="220" w:lineRule="exact"/>
              <w:ind w:left="170" w:hanging="170"/>
              <w:rPr>
                <w:rStyle w:val="Artref"/>
                <w:lang w:val="fr-CH"/>
              </w:rPr>
            </w:pPr>
            <w:r w:rsidRPr="00782E83">
              <w:rPr>
                <w:color w:val="000000"/>
                <w:lang w:val="fr-CH"/>
              </w:rPr>
              <w:t xml:space="preserve">Radiolocation  </w:t>
            </w:r>
            <w:r w:rsidRPr="00782E83">
              <w:rPr>
                <w:rStyle w:val="Artref"/>
                <w:lang w:val="fr-CH"/>
              </w:rPr>
              <w:t>5.433</w:t>
            </w:r>
          </w:p>
          <w:p w:rsidR="007235A4" w:rsidRPr="00782E83" w:rsidRDefault="007235A4" w:rsidP="005F2CE3">
            <w:pPr>
              <w:pStyle w:val="TableTextS5"/>
              <w:spacing w:before="20" w:after="20" w:line="220" w:lineRule="exact"/>
              <w:ind w:left="170" w:hanging="170"/>
              <w:rPr>
                <w:rStyle w:val="Artref"/>
                <w:rFonts w:eastAsia="SimSun"/>
                <w:lang w:val="fr-CH"/>
              </w:rPr>
            </w:pPr>
            <w:r w:rsidRPr="00782E83">
              <w:rPr>
                <w:rStyle w:val="Artref"/>
                <w:lang w:val="fr-CH"/>
              </w:rPr>
              <w:t>5.282  5.432  5.432A</w:t>
            </w:r>
          </w:p>
        </w:tc>
      </w:tr>
      <w:tr w:rsidR="007235A4" w:rsidRPr="00782E83" w:rsidTr="005F2CE3">
        <w:trPr>
          <w:cantSplit/>
          <w:trHeight w:val="1500"/>
          <w:jc w:val="center"/>
        </w:trPr>
        <w:tc>
          <w:tcPr>
            <w:tcW w:w="3093" w:type="dxa"/>
            <w:vMerge/>
            <w:tcBorders>
              <w:left w:val="single" w:sz="6" w:space="0" w:color="auto"/>
              <w:bottom w:val="single" w:sz="6" w:space="0" w:color="auto"/>
              <w:right w:val="single" w:sz="6" w:space="0" w:color="auto"/>
            </w:tcBorders>
          </w:tcPr>
          <w:p w:rsidR="007235A4" w:rsidRPr="00782E83" w:rsidRDefault="007235A4" w:rsidP="005F2CE3">
            <w:pPr>
              <w:pStyle w:val="TableTextS5"/>
              <w:spacing w:before="20" w:after="20" w:line="220" w:lineRule="exact"/>
              <w:ind w:left="170" w:hanging="170"/>
              <w:rPr>
                <w:rStyle w:val="Tablefreq"/>
                <w:rFonts w:eastAsia="SimSun"/>
                <w:color w:val="000000"/>
                <w:lang w:val="fr-CH"/>
              </w:rPr>
            </w:pPr>
          </w:p>
        </w:tc>
        <w:tc>
          <w:tcPr>
            <w:tcW w:w="3109" w:type="dxa"/>
            <w:vMerge w:val="restart"/>
            <w:tcBorders>
              <w:top w:val="single" w:sz="4" w:space="0" w:color="auto"/>
              <w:left w:val="single" w:sz="6" w:space="0" w:color="auto"/>
              <w:right w:val="single" w:sz="6" w:space="0" w:color="auto"/>
            </w:tcBorders>
          </w:tcPr>
          <w:p w:rsidR="007235A4" w:rsidRPr="00E20FA6" w:rsidRDefault="007235A4" w:rsidP="005F2CE3">
            <w:pPr>
              <w:pStyle w:val="TableTextS5"/>
              <w:spacing w:before="20" w:after="20" w:line="220" w:lineRule="exact"/>
              <w:ind w:left="170" w:hanging="170"/>
              <w:rPr>
                <w:rStyle w:val="Tablefreq"/>
                <w:rFonts w:eastAsia="SimSun"/>
                <w:lang w:val="en-US"/>
              </w:rPr>
            </w:pPr>
            <w:r w:rsidRPr="00E20FA6">
              <w:rPr>
                <w:rStyle w:val="Tablefreq"/>
                <w:rFonts w:eastAsia="SimSun"/>
                <w:lang w:val="en-US"/>
              </w:rPr>
              <w:t>3 500-3 700</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FIXED-SATELLITE (space-to-Earth)</w:t>
            </w:r>
          </w:p>
          <w:p w:rsidR="007235A4" w:rsidRPr="00782E83" w:rsidRDefault="007235A4" w:rsidP="005F2CE3">
            <w:pPr>
              <w:pStyle w:val="TableTextS5"/>
              <w:spacing w:before="20" w:after="20" w:line="220" w:lineRule="exact"/>
              <w:ind w:left="170" w:hanging="170"/>
              <w:rPr>
                <w:color w:val="000000"/>
                <w:lang w:val="fr-CH"/>
              </w:rPr>
            </w:pPr>
            <w:r w:rsidRPr="00782E83">
              <w:rPr>
                <w:color w:val="000000"/>
                <w:lang w:val="fr-CH"/>
              </w:rPr>
              <w:t>MOBILE except aeronautical mobile</w:t>
            </w:r>
          </w:p>
          <w:p w:rsidR="007235A4" w:rsidRPr="00782E83" w:rsidRDefault="007235A4" w:rsidP="005F2CE3">
            <w:pPr>
              <w:pStyle w:val="TableTextS5"/>
              <w:spacing w:before="20" w:after="20" w:line="220" w:lineRule="exact"/>
              <w:ind w:left="170" w:hanging="170"/>
              <w:rPr>
                <w:rStyle w:val="Tablefreq"/>
                <w:rFonts w:eastAsia="SimSun"/>
                <w:color w:val="000000"/>
                <w:lang w:val="fr-CH"/>
              </w:rPr>
            </w:pPr>
            <w:r w:rsidRPr="00782E83">
              <w:rPr>
                <w:color w:val="000000"/>
                <w:lang w:val="fr-CH"/>
              </w:rPr>
              <w:t xml:space="preserve">Radiolocation  </w:t>
            </w:r>
            <w:r w:rsidRPr="00782E83">
              <w:rPr>
                <w:rStyle w:val="Artref"/>
                <w:lang w:val="fr-CH"/>
              </w:rPr>
              <w:t>5.433</w:t>
            </w:r>
          </w:p>
        </w:tc>
        <w:tc>
          <w:tcPr>
            <w:tcW w:w="3101" w:type="dxa"/>
            <w:tcBorders>
              <w:top w:val="single" w:sz="4" w:space="0" w:color="auto"/>
              <w:left w:val="single" w:sz="6" w:space="0" w:color="auto"/>
              <w:bottom w:val="single" w:sz="6" w:space="0" w:color="auto"/>
              <w:right w:val="single" w:sz="6" w:space="0" w:color="auto"/>
            </w:tcBorders>
          </w:tcPr>
          <w:p w:rsidR="007235A4" w:rsidRPr="00E20FA6" w:rsidRDefault="007235A4" w:rsidP="005F2CE3">
            <w:pPr>
              <w:pStyle w:val="TableTextS5"/>
              <w:spacing w:before="20" w:after="20" w:line="220" w:lineRule="exact"/>
              <w:ind w:left="170" w:hanging="170"/>
              <w:rPr>
                <w:rStyle w:val="Tablefreq"/>
                <w:rFonts w:eastAsia="SimSun"/>
                <w:lang w:val="en-US"/>
              </w:rPr>
            </w:pPr>
            <w:r w:rsidRPr="00E20FA6">
              <w:rPr>
                <w:rStyle w:val="Tablefreq"/>
                <w:rFonts w:eastAsia="SimSun"/>
                <w:lang w:val="en-US"/>
              </w:rPr>
              <w:t>3 500-3 600</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FIXED-SATELLITE (space-to-Earth)</w:t>
            </w:r>
          </w:p>
          <w:p w:rsidR="007235A4" w:rsidRPr="00782E83" w:rsidRDefault="007235A4" w:rsidP="005F2CE3">
            <w:pPr>
              <w:pStyle w:val="TableTextS5"/>
              <w:spacing w:before="20" w:after="20" w:line="220" w:lineRule="exact"/>
              <w:ind w:left="170" w:hanging="170"/>
              <w:rPr>
                <w:rStyle w:val="Artref"/>
                <w:lang w:val="fr-CH"/>
              </w:rPr>
            </w:pPr>
            <w:r w:rsidRPr="00782E83">
              <w:rPr>
                <w:color w:val="000000"/>
                <w:lang w:val="fr-CH"/>
              </w:rPr>
              <w:t xml:space="preserve">MOBILE except aeronautical mobile  </w:t>
            </w:r>
            <w:r w:rsidRPr="00782E83">
              <w:rPr>
                <w:rStyle w:val="Artref"/>
                <w:lang w:val="fr-CH"/>
              </w:rPr>
              <w:t>5.433A</w:t>
            </w:r>
          </w:p>
          <w:p w:rsidR="007235A4" w:rsidRPr="00782E83" w:rsidRDefault="007235A4" w:rsidP="005F2CE3">
            <w:pPr>
              <w:pStyle w:val="TableTextS5"/>
              <w:rPr>
                <w:rStyle w:val="Artref"/>
                <w:rFonts w:eastAsia="SimSun"/>
                <w:color w:val="000000"/>
                <w:lang w:val="fr-CH"/>
              </w:rPr>
            </w:pPr>
            <w:r w:rsidRPr="00782E83">
              <w:rPr>
                <w:color w:val="000000"/>
                <w:lang w:val="fr-CH"/>
              </w:rPr>
              <w:t xml:space="preserve">Radiolocation  </w:t>
            </w:r>
            <w:r w:rsidRPr="00782E83">
              <w:rPr>
                <w:rStyle w:val="Artref"/>
                <w:rFonts w:eastAsia="SimSun"/>
                <w:lang w:val="fr-CH"/>
              </w:rPr>
              <w:t>5.433</w:t>
            </w:r>
          </w:p>
        </w:tc>
      </w:tr>
      <w:tr w:rsidR="007235A4" w:rsidRPr="00782E83" w:rsidTr="005F2CE3">
        <w:trPr>
          <w:cantSplit/>
          <w:jc w:val="center"/>
        </w:trPr>
        <w:tc>
          <w:tcPr>
            <w:tcW w:w="3093" w:type="dxa"/>
            <w:tcBorders>
              <w:top w:val="single" w:sz="6" w:space="0" w:color="auto"/>
              <w:left w:val="single" w:sz="6" w:space="0" w:color="auto"/>
              <w:right w:val="single" w:sz="6" w:space="0" w:color="auto"/>
            </w:tcBorders>
          </w:tcPr>
          <w:p w:rsidR="007235A4" w:rsidRPr="00E20FA6" w:rsidRDefault="007235A4" w:rsidP="005F2CE3">
            <w:pPr>
              <w:pStyle w:val="TableTextS5"/>
              <w:spacing w:before="20" w:after="20" w:line="220" w:lineRule="exact"/>
              <w:ind w:left="170" w:hanging="170"/>
              <w:rPr>
                <w:rStyle w:val="Tablefreq"/>
                <w:rFonts w:eastAsia="SimSun"/>
                <w:lang w:val="en-US"/>
              </w:rPr>
            </w:pPr>
            <w:r w:rsidRPr="00E20FA6">
              <w:rPr>
                <w:rStyle w:val="Tablefreq"/>
                <w:rFonts w:eastAsia="SimSun"/>
                <w:lang w:val="en-US"/>
              </w:rPr>
              <w:t>3 600-4 200</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FIXED-SATELLITE</w:t>
            </w:r>
            <w:r w:rsidRPr="00E20FA6">
              <w:rPr>
                <w:color w:val="000000"/>
                <w:lang w:val="en-US"/>
              </w:rPr>
              <w:br/>
              <w:t>(space-to-Earth)</w:t>
            </w:r>
          </w:p>
          <w:p w:rsidR="007235A4" w:rsidRPr="00E20FA6" w:rsidRDefault="007235A4" w:rsidP="005F2CE3">
            <w:pPr>
              <w:pStyle w:val="TableTextS5"/>
              <w:spacing w:before="20" w:after="20" w:line="220" w:lineRule="exact"/>
              <w:ind w:left="170" w:hanging="170"/>
              <w:rPr>
                <w:b/>
                <w:lang w:val="en-US"/>
              </w:rPr>
            </w:pPr>
            <w:r w:rsidRPr="00E20FA6">
              <w:rPr>
                <w:color w:val="000000"/>
                <w:lang w:val="en-US"/>
              </w:rPr>
              <w:t>Mobile</w:t>
            </w:r>
          </w:p>
        </w:tc>
        <w:tc>
          <w:tcPr>
            <w:tcW w:w="3109" w:type="dxa"/>
            <w:vMerge/>
            <w:tcBorders>
              <w:left w:val="single" w:sz="6" w:space="0" w:color="auto"/>
              <w:bottom w:val="single" w:sz="6" w:space="0" w:color="auto"/>
              <w:right w:val="single" w:sz="6" w:space="0" w:color="auto"/>
            </w:tcBorders>
          </w:tcPr>
          <w:p w:rsidR="007235A4" w:rsidRPr="00E20FA6" w:rsidRDefault="007235A4" w:rsidP="005F2CE3">
            <w:pPr>
              <w:pStyle w:val="TableTextS5"/>
              <w:rPr>
                <w:rStyle w:val="Artref"/>
                <w:rFonts w:eastAsia="SimSun"/>
                <w:color w:val="000000"/>
                <w:lang w:val="en-US"/>
              </w:rPr>
            </w:pPr>
          </w:p>
        </w:tc>
        <w:tc>
          <w:tcPr>
            <w:tcW w:w="3101" w:type="dxa"/>
            <w:tcBorders>
              <w:top w:val="single" w:sz="6" w:space="0" w:color="auto"/>
              <w:left w:val="single" w:sz="6" w:space="0" w:color="auto"/>
              <w:bottom w:val="single" w:sz="6" w:space="0" w:color="auto"/>
              <w:right w:val="single" w:sz="6" w:space="0" w:color="auto"/>
            </w:tcBorders>
          </w:tcPr>
          <w:p w:rsidR="007235A4" w:rsidRPr="00E20FA6" w:rsidRDefault="007235A4" w:rsidP="005F2CE3">
            <w:pPr>
              <w:pStyle w:val="TableTextS5"/>
              <w:spacing w:before="20" w:after="20" w:line="220" w:lineRule="exact"/>
              <w:ind w:left="170" w:hanging="170"/>
              <w:rPr>
                <w:rStyle w:val="Tablefreq"/>
                <w:rFonts w:eastAsia="SimSun"/>
                <w:lang w:val="en-US"/>
              </w:rPr>
            </w:pPr>
            <w:r w:rsidRPr="00E20FA6">
              <w:rPr>
                <w:rStyle w:val="Tablefreq"/>
                <w:rFonts w:eastAsia="SimSun"/>
                <w:lang w:val="en-US"/>
              </w:rPr>
              <w:t>3 600-3 700</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FIXED-SATELLITE (space-to-Earth)</w:t>
            </w:r>
          </w:p>
          <w:p w:rsidR="007235A4" w:rsidRPr="00782E83" w:rsidRDefault="007235A4" w:rsidP="005F2CE3">
            <w:pPr>
              <w:pStyle w:val="TableTextS5"/>
              <w:spacing w:before="20" w:after="20" w:line="220" w:lineRule="exact"/>
              <w:ind w:left="170" w:hanging="170"/>
              <w:rPr>
                <w:color w:val="000000"/>
                <w:lang w:val="fr-CH"/>
              </w:rPr>
            </w:pPr>
            <w:r w:rsidRPr="00782E83">
              <w:rPr>
                <w:color w:val="000000"/>
                <w:lang w:val="fr-CH"/>
              </w:rPr>
              <w:t>MOBILE except aeronautical mobile</w:t>
            </w:r>
          </w:p>
          <w:p w:rsidR="007235A4" w:rsidRPr="00782E83" w:rsidRDefault="007235A4" w:rsidP="005F2CE3">
            <w:pPr>
              <w:pStyle w:val="TableTextS5"/>
              <w:spacing w:before="20" w:after="20" w:line="220" w:lineRule="exact"/>
              <w:ind w:left="170" w:hanging="170"/>
              <w:rPr>
                <w:color w:val="000000"/>
                <w:lang w:val="fr-CH"/>
              </w:rPr>
            </w:pPr>
            <w:r w:rsidRPr="00782E83">
              <w:rPr>
                <w:color w:val="000000"/>
                <w:lang w:val="fr-CH"/>
              </w:rPr>
              <w:t>Radiolocation</w:t>
            </w:r>
          </w:p>
          <w:p w:rsidR="007235A4" w:rsidRPr="00782E83" w:rsidRDefault="007235A4" w:rsidP="005F2CE3">
            <w:pPr>
              <w:pStyle w:val="TableTextS5"/>
              <w:spacing w:before="20" w:after="20" w:line="220" w:lineRule="exact"/>
              <w:ind w:left="170" w:hanging="170"/>
              <w:rPr>
                <w:rStyle w:val="Artref"/>
                <w:rFonts w:eastAsia="SimSun"/>
                <w:lang w:val="fr-CH"/>
              </w:rPr>
            </w:pPr>
            <w:r w:rsidRPr="00782E83">
              <w:rPr>
                <w:rStyle w:val="Artref"/>
                <w:lang w:val="fr-CH"/>
              </w:rPr>
              <w:t>5.435</w:t>
            </w:r>
          </w:p>
        </w:tc>
      </w:tr>
      <w:tr w:rsidR="007235A4" w:rsidRPr="00E20FA6" w:rsidTr="005F2CE3">
        <w:trPr>
          <w:cantSplit/>
          <w:jc w:val="center"/>
        </w:trPr>
        <w:tc>
          <w:tcPr>
            <w:tcW w:w="3093" w:type="dxa"/>
            <w:tcBorders>
              <w:left w:val="single" w:sz="6" w:space="0" w:color="auto"/>
              <w:bottom w:val="single" w:sz="6" w:space="0" w:color="auto"/>
              <w:right w:val="single" w:sz="6" w:space="0" w:color="auto"/>
            </w:tcBorders>
          </w:tcPr>
          <w:p w:rsidR="007235A4" w:rsidRPr="00782E83" w:rsidRDefault="007235A4" w:rsidP="005F2CE3">
            <w:pPr>
              <w:pStyle w:val="TableTextS5"/>
              <w:spacing w:before="20" w:after="20" w:line="220" w:lineRule="exact"/>
              <w:ind w:left="170" w:hanging="170"/>
              <w:rPr>
                <w:rStyle w:val="Tablefreq"/>
                <w:rFonts w:eastAsia="SimSun"/>
                <w:color w:val="000000"/>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7235A4" w:rsidRPr="00E20FA6" w:rsidRDefault="007235A4" w:rsidP="005F2CE3">
            <w:pPr>
              <w:pStyle w:val="TableTextS5"/>
              <w:spacing w:before="20" w:after="20" w:line="220" w:lineRule="exact"/>
              <w:ind w:left="170" w:hanging="170"/>
              <w:rPr>
                <w:rStyle w:val="Tablefreq"/>
                <w:rFonts w:eastAsia="SimSun"/>
                <w:lang w:val="en-US"/>
              </w:rPr>
            </w:pPr>
            <w:r w:rsidRPr="00E20FA6">
              <w:rPr>
                <w:rStyle w:val="Tablefreq"/>
                <w:rFonts w:eastAsia="SimSun"/>
                <w:lang w:val="en-US"/>
              </w:rPr>
              <w:t>3 700-4 200</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w:t>
            </w:r>
          </w:p>
          <w:p w:rsidR="007235A4" w:rsidRPr="00E20FA6" w:rsidRDefault="007235A4" w:rsidP="005F2CE3">
            <w:pPr>
              <w:pStyle w:val="TableTextS5"/>
              <w:spacing w:before="20" w:after="20" w:line="220" w:lineRule="exact"/>
              <w:ind w:left="170" w:hanging="170"/>
              <w:rPr>
                <w:color w:val="000000"/>
                <w:lang w:val="en-US"/>
              </w:rPr>
            </w:pPr>
            <w:r w:rsidRPr="00E20FA6">
              <w:rPr>
                <w:color w:val="000000"/>
                <w:lang w:val="en-US"/>
              </w:rPr>
              <w:t>FIXED-SATELLITE (space to-Earth)</w:t>
            </w:r>
          </w:p>
          <w:p w:rsidR="007235A4" w:rsidRPr="00E20FA6" w:rsidRDefault="007235A4" w:rsidP="005F2CE3">
            <w:pPr>
              <w:pStyle w:val="TableTextS5"/>
              <w:spacing w:before="20" w:after="20" w:line="220" w:lineRule="exact"/>
              <w:ind w:left="170" w:hanging="170"/>
              <w:rPr>
                <w:rStyle w:val="Artref"/>
                <w:rFonts w:eastAsia="SimSun"/>
                <w:color w:val="000000"/>
                <w:lang w:val="en-US"/>
              </w:rPr>
            </w:pPr>
            <w:r w:rsidRPr="00E20FA6">
              <w:rPr>
                <w:color w:val="000000"/>
                <w:lang w:val="en-US"/>
              </w:rPr>
              <w:t>MOBILE except aeronautical mobile</w:t>
            </w:r>
          </w:p>
        </w:tc>
      </w:tr>
    </w:tbl>
    <w:p w:rsidR="007235A4" w:rsidRPr="00E20FA6" w:rsidRDefault="007235A4" w:rsidP="007235A4">
      <w:pPr>
        <w:pStyle w:val="Reasons"/>
        <w:rPr>
          <w:lang w:val="en-US"/>
        </w:rPr>
      </w:pPr>
      <w:r w:rsidRPr="00E20FA6">
        <w:rPr>
          <w:b/>
          <w:bCs/>
          <w:lang w:val="en-US"/>
        </w:rPr>
        <w:t>Reasons</w:t>
      </w:r>
      <w:r w:rsidRPr="00E20FA6">
        <w:rPr>
          <w:lang w:val="en-US"/>
        </w:rPr>
        <w:t>:</w:t>
      </w:r>
      <w:r w:rsidRPr="00E20FA6">
        <w:rPr>
          <w:lang w:val="en-US"/>
        </w:rPr>
        <w:tab/>
        <w:t>Identifying frequency band 3 400-4 200 MHz for IMT systems could cause harmful interference and affect continuity and quality of service of satellite services in the countries of Region 2 that use this service.</w:t>
      </w:r>
    </w:p>
    <w:p w:rsidR="007235A4" w:rsidRPr="00E20FA6" w:rsidRDefault="007235A4" w:rsidP="007235A4">
      <w:pPr>
        <w:jc w:val="center"/>
        <w:rPr>
          <w:lang w:val="en-US"/>
        </w:rPr>
      </w:pPr>
      <w:r w:rsidRPr="00E20FA6">
        <w:rPr>
          <w:lang w:val="en-US"/>
        </w:rPr>
        <w:t>______________</w:t>
      </w:r>
    </w:p>
    <w:p w:rsidR="00187BD9" w:rsidRDefault="00187BD9" w:rsidP="00187BD9">
      <w:pPr>
        <w:tabs>
          <w:tab w:val="clear" w:pos="1134"/>
          <w:tab w:val="clear" w:pos="1871"/>
          <w:tab w:val="clear" w:pos="2268"/>
        </w:tabs>
        <w:overflowPunct/>
        <w:autoSpaceDE/>
        <w:autoSpaceDN/>
        <w:adjustRightInd/>
        <w:spacing w:before="0"/>
        <w:textAlignment w:val="auto"/>
        <w:rPr>
          <w:lang w:val="fr-CH"/>
        </w:rPr>
      </w:pPr>
    </w:p>
    <w:sectPr w:rsidR="00187BD9">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235A4">
      <w:rPr>
        <w:noProof/>
      </w:rPr>
      <w:t>12.11.15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3C" w:rsidRPr="0041348E" w:rsidRDefault="002D413C" w:rsidP="002D413C">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P:\ENG\ITU-R\CONF-R\CMR15\200\242E.docx</w:t>
    </w:r>
    <w:r>
      <w:fldChar w:fldCharType="end"/>
    </w:r>
    <w:r>
      <w:t xml:space="preserve"> (390047)</w:t>
    </w:r>
    <w:r w:rsidRPr="0041348E">
      <w:rPr>
        <w:lang w:val="en-US"/>
      </w:rPr>
      <w:tab/>
    </w:r>
    <w:r>
      <w:fldChar w:fldCharType="begin"/>
    </w:r>
    <w:r>
      <w:instrText xml:space="preserve"> SAVEDATE \@ DD.MM.YY </w:instrText>
    </w:r>
    <w:r>
      <w:fldChar w:fldCharType="separate"/>
    </w:r>
    <w:r>
      <w:t>12.11.15</w:t>
    </w:r>
    <w:r>
      <w:fldChar w:fldCharType="end"/>
    </w:r>
    <w:r w:rsidRPr="0041348E">
      <w:rPr>
        <w:lang w:val="en-US"/>
      </w:rPr>
      <w:tab/>
    </w:r>
    <w:r>
      <w:fldChar w:fldCharType="begin"/>
    </w:r>
    <w:r>
      <w:instrText xml:space="preserve"> PRINTDATE \@ DD.MM.YY </w:instrText>
    </w:r>
    <w:r>
      <w:fldChar w:fldCharType="separate"/>
    </w:r>
    <w:r>
      <w:t>10.02.14</w:t>
    </w:r>
    <w:r>
      <w:fldChar w:fldCharType="end"/>
    </w: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2D413C">
      <w:rPr>
        <w:lang w:val="en-US"/>
      </w:rPr>
      <w:t>P:\ENG\ITU-R\CONF-R\CMR15\200\242E.docx</w:t>
    </w:r>
    <w:r>
      <w:fldChar w:fldCharType="end"/>
    </w:r>
    <w:r w:rsidR="002D413C">
      <w:t xml:space="preserve"> (390047)</w:t>
    </w:r>
    <w:r w:rsidRPr="0041348E">
      <w:rPr>
        <w:lang w:val="en-US"/>
      </w:rPr>
      <w:tab/>
    </w:r>
    <w:r>
      <w:fldChar w:fldCharType="begin"/>
    </w:r>
    <w:r>
      <w:instrText xml:space="preserve"> SAVEDATE \@ DD.MM.YY </w:instrText>
    </w:r>
    <w:r>
      <w:fldChar w:fldCharType="separate"/>
    </w:r>
    <w:r w:rsidR="007235A4">
      <w:t>12.11.15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3C" w:rsidRDefault="002D4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D413C">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242</w:t>
    </w:r>
    <w:bookmarkEnd w:id="9"/>
    <w:bookmarkEnd w:id="10"/>
    <w:bookmarkEnd w:id="11"/>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3C" w:rsidRDefault="002D41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413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763F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35A4"/>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70C942-C656-4838-948F-94AD6DE9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uiPriority w:val="99"/>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headChar">
    <w:name w:val="Table_head Char"/>
    <w:link w:val="Tablehead"/>
    <w:locked/>
    <w:rsid w:val="007235A4"/>
    <w:rPr>
      <w:rFonts w:ascii="Times New Roman Bold" w:hAnsi="Times New Roman Bold" w:cs="Times New Roman Bold"/>
      <w:b/>
      <w:lang w:val="en-GB" w:eastAsia="en-US"/>
    </w:rPr>
  </w:style>
  <w:style w:type="character" w:customStyle="1" w:styleId="TabletitleChar">
    <w:name w:val="Table_title Char"/>
    <w:link w:val="Tabletitle"/>
    <w:locked/>
    <w:rsid w:val="007235A4"/>
    <w:rPr>
      <w:rFonts w:ascii="Times New Roman Bold" w:hAnsi="Times New Roman Bold"/>
      <w:b/>
      <w:lang w:val="en-GB" w:eastAsia="en-US"/>
    </w:rPr>
  </w:style>
  <w:style w:type="character" w:customStyle="1" w:styleId="ArtNoChar">
    <w:name w:val="Art_No Char"/>
    <w:link w:val="ArtNo"/>
    <w:locked/>
    <w:rsid w:val="007235A4"/>
    <w:rPr>
      <w:rFonts w:ascii="Times New Roman" w:hAnsi="Times New Roman"/>
      <w:caps/>
      <w:sz w:val="28"/>
      <w:lang w:val="en-GB" w:eastAsia="en-US"/>
    </w:rPr>
  </w:style>
  <w:style w:type="character" w:customStyle="1" w:styleId="ArttitleCar">
    <w:name w:val="Art_title Car"/>
    <w:link w:val="Arttitle"/>
    <w:rsid w:val="007235A4"/>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R15-WRC15-C-0242!!MSW-E</DPM_x0020_File_x0020_name>
    <DPM_x0020_Author xmlns="32a1a8c5-2265-4ebc-b7a0-2071e2c5c9bb" xsi:nil="false">Documents Proposals Manager (DPM)</DPM_x0020_Author>
    <DPM_x0020_Version xmlns="32a1a8c5-2265-4ebc-b7a0-2071e2c5c9bb" xsi:nil="false">DPM_v5.2015.11.110_prod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4C5C1-7C43-4F29-AE0E-0329EBE170B4}">
  <ds:schemaRefs>
    <ds:schemaRef ds:uri="http://schemas.microsoft.com/office/2006/metadata/properties"/>
    <ds:schemaRef ds:uri="http://purl.org/dc/terms/"/>
    <ds:schemaRef ds:uri="32a1a8c5-2265-4ebc-b7a0-2071e2c5c9bb"/>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86E26BB6-F5E0-42F7-819C-EAE5F66E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3</Pages>
  <Words>994</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R15-WRC15-C-0242!!MSW-E</vt:lpstr>
    </vt:vector>
  </TitlesOfParts>
  <Manager>General Secretariat - Pool</Manager>
  <Company>International Telecommunication Union (ITU)</Company>
  <LinksUpToDate>false</LinksUpToDate>
  <CharactersWithSpaces>6790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R15-WRC15-C-0242!!MSW-E</dc:title>
  <dc:subject>World Radiocommunication Conference - 2015</dc:subject>
  <dc:creator>Documents Proposals Manager (DPM)</dc:creator>
  <cp:keywords>DPM_v5.2015.11.110_prod</cp:keywords>
  <dc:description>Uploaded on 2015.07.06</dc:description>
  <cp:lastModifiedBy>Currie, Jane</cp:lastModifiedBy>
  <cp:revision>3</cp:revision>
  <cp:lastPrinted>2014-02-10T09:49:00Z</cp:lastPrinted>
  <dcterms:created xsi:type="dcterms:W3CDTF">2015-11-12T08:01:00Z</dcterms:created>
  <dcterms:modified xsi:type="dcterms:W3CDTF">2015-11-12T08:02:00Z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