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4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242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11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E2293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Barbad</w:t>
            </w:r>
            <w:r w:rsidR="006E2293">
              <w:rPr>
                <w:lang w:val="en-US"/>
              </w:rPr>
              <w:t>e</w:t>
            </w:r>
            <w:r w:rsidRPr="002A6F8F">
              <w:rPr>
                <w:lang w:val="en-US"/>
              </w:rPr>
              <w:t>/Mexi</w:t>
            </w:r>
            <w:r w:rsidR="006E2293">
              <w:rPr>
                <w:lang w:val="en-US"/>
              </w:rPr>
              <w:t>que</w:t>
            </w:r>
          </w:p>
        </w:tc>
      </w:tr>
      <w:tr w:rsidR="00690C7B" w:rsidRPr="006E2293" w:rsidTr="0050008E">
        <w:trPr>
          <w:cantSplit/>
        </w:trPr>
        <w:tc>
          <w:tcPr>
            <w:tcW w:w="10031" w:type="dxa"/>
            <w:gridSpan w:val="2"/>
          </w:tcPr>
          <w:p w:rsidR="00690C7B" w:rsidRPr="006E2293" w:rsidRDefault="006E2293" w:rsidP="006E229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E2293">
              <w:rPr>
                <w:lang w:val="fr-CH"/>
              </w:rPr>
              <w:t>PROPOSITIONS POUR LES TRAVAUX DE LA CONFéRENCE</w:t>
            </w:r>
          </w:p>
        </w:tc>
      </w:tr>
      <w:tr w:rsidR="00690C7B" w:rsidRPr="006E2293" w:rsidTr="0050008E">
        <w:trPr>
          <w:cantSplit/>
        </w:trPr>
        <w:tc>
          <w:tcPr>
            <w:tcW w:w="10031" w:type="dxa"/>
            <w:gridSpan w:val="2"/>
          </w:tcPr>
          <w:p w:rsidR="00690C7B" w:rsidRPr="006E229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755D41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="003E6D68">
        <w:rPr>
          <w:b/>
          <w:bCs/>
          <w:lang w:val="fr-CA"/>
        </w:rPr>
        <w:t>233 </w:t>
      </w:r>
      <w:r w:rsidRPr="00645CBD">
        <w:rPr>
          <w:b/>
          <w:bCs/>
          <w:lang w:val="fr-CA"/>
        </w:rPr>
        <w:t>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6E2293" w:rsidRPr="00BE0843" w:rsidRDefault="006E2293" w:rsidP="006E2293">
      <w:pPr>
        <w:pStyle w:val="Headingb"/>
        <w:rPr>
          <w:lang w:val="fr-CH"/>
        </w:rPr>
      </w:pPr>
      <w:r w:rsidRPr="00BE0843">
        <w:rPr>
          <w:lang w:val="fr-CH"/>
        </w:rPr>
        <w:t>Introduction</w:t>
      </w:r>
    </w:p>
    <w:p w:rsidR="006E2293" w:rsidRDefault="006E2293" w:rsidP="00BE0843">
      <w:pPr>
        <w:rPr>
          <w:szCs w:val="24"/>
          <w:lang w:val="fr-CH"/>
        </w:rPr>
      </w:pPr>
      <w:r w:rsidRPr="006E2293">
        <w:rPr>
          <w:szCs w:val="24"/>
          <w:lang w:val="fr-CH"/>
        </w:rPr>
        <w:t xml:space="preserve">Au cours des dernières réunions du Groupe de travail 4C1 </w:t>
      </w:r>
      <w:r>
        <w:rPr>
          <w:szCs w:val="24"/>
          <w:lang w:val="fr-CH"/>
        </w:rPr>
        <w:t>de la Conférence mondiale des radiocommunications, plusieurs propositions et discussions ont porté sur l'identification de différentes gammes de fréquences pour les systèmes IMT.</w:t>
      </w:r>
    </w:p>
    <w:p w:rsidR="006E2293" w:rsidRPr="006E2293" w:rsidRDefault="006E2293" w:rsidP="00BE0843">
      <w:pPr>
        <w:rPr>
          <w:szCs w:val="24"/>
          <w:lang w:val="fr-CH"/>
        </w:rPr>
      </w:pPr>
      <w:r>
        <w:rPr>
          <w:szCs w:val="24"/>
          <w:lang w:val="fr-CH"/>
        </w:rPr>
        <w:t xml:space="preserve">Par conséquent, l'Administration du Mexique réaffirme sa position visant à ne pas identifier la bande de fréquences </w:t>
      </w:r>
      <w:r w:rsidR="00BE0843">
        <w:rPr>
          <w:szCs w:val="24"/>
          <w:lang w:val="fr-CH"/>
        </w:rPr>
        <w:t>3 400-</w:t>
      </w:r>
      <w:r w:rsidRPr="006E2293">
        <w:rPr>
          <w:szCs w:val="24"/>
          <w:lang w:val="fr-CH"/>
        </w:rPr>
        <w:t>4 200 MHz</w:t>
      </w:r>
      <w:r>
        <w:rPr>
          <w:szCs w:val="24"/>
          <w:lang w:val="fr-CH"/>
        </w:rPr>
        <w:t xml:space="preserve"> pour les systèmes IMT et propose donc de ne p</w:t>
      </w:r>
      <w:r w:rsidR="00BE0843">
        <w:rPr>
          <w:szCs w:val="24"/>
          <w:lang w:val="fr-CH"/>
        </w:rPr>
        <w:t>as apporter de modification au T</w:t>
      </w:r>
      <w:r>
        <w:rPr>
          <w:szCs w:val="24"/>
          <w:lang w:val="fr-CH"/>
        </w:rPr>
        <w:t>ableau d</w:t>
      </w:r>
      <w:r w:rsidR="00BE0843">
        <w:rPr>
          <w:szCs w:val="24"/>
          <w:lang w:val="fr-CH"/>
        </w:rPr>
        <w:t>'</w:t>
      </w:r>
      <w:r>
        <w:rPr>
          <w:szCs w:val="24"/>
          <w:lang w:val="fr-CH"/>
        </w:rPr>
        <w:t>attribution</w:t>
      </w:r>
      <w:r w:rsidR="00BE0843">
        <w:rPr>
          <w:szCs w:val="24"/>
          <w:lang w:val="fr-CH"/>
        </w:rPr>
        <w:t xml:space="preserve"> des bandes de fréquences</w:t>
      </w:r>
      <w:r>
        <w:rPr>
          <w:szCs w:val="24"/>
          <w:lang w:val="fr-CH"/>
        </w:rPr>
        <w:t>, afin que cette proposition rende compte de la situation actuelle dans la Région.</w:t>
      </w:r>
    </w:p>
    <w:p w:rsidR="006E2293" w:rsidRPr="006E2293" w:rsidRDefault="006E2293" w:rsidP="006E2293">
      <w:pPr>
        <w:pStyle w:val="Headingb"/>
        <w:rPr>
          <w:szCs w:val="22"/>
          <w:lang w:val="fr-CH"/>
        </w:rPr>
      </w:pPr>
      <w:r w:rsidRPr="006E2293">
        <w:rPr>
          <w:lang w:val="fr-CH"/>
        </w:rPr>
        <w:t>Considérations générales</w:t>
      </w:r>
    </w:p>
    <w:p w:rsidR="006E2293" w:rsidRDefault="006E2293" w:rsidP="00CA6B77">
      <w:pPr>
        <w:rPr>
          <w:lang w:val="fr-CH"/>
        </w:rPr>
      </w:pPr>
      <w:r>
        <w:rPr>
          <w:lang w:val="fr-CH"/>
        </w:rPr>
        <w:t>Au cours des quarante dernières années</w:t>
      </w:r>
      <w:r w:rsidRPr="006E2293">
        <w:rPr>
          <w:lang w:val="fr-CH"/>
        </w:rPr>
        <w:t>,</w:t>
      </w:r>
      <w:r>
        <w:rPr>
          <w:lang w:val="fr-CH"/>
        </w:rPr>
        <w:t xml:space="preserve"> les systèmes fonctionnant dans la bande C</w:t>
      </w:r>
      <w:r w:rsidR="00ED0A62">
        <w:rPr>
          <w:lang w:val="fr-CH"/>
        </w:rPr>
        <w:t xml:space="preserve"> se sont révélé</w:t>
      </w:r>
      <w:r>
        <w:rPr>
          <w:lang w:val="fr-CH"/>
        </w:rPr>
        <w:t>s les plus fiab</w:t>
      </w:r>
      <w:r w:rsidR="0042720F">
        <w:rPr>
          <w:lang w:val="fr-CH"/>
        </w:rPr>
        <w:t>les pour assurer les t</w:t>
      </w:r>
      <w:r>
        <w:rPr>
          <w:lang w:val="fr-CH"/>
        </w:rPr>
        <w:t xml:space="preserve">élécommunications, </w:t>
      </w:r>
      <w:r w:rsidR="0042720F">
        <w:rPr>
          <w:lang w:val="fr-CH"/>
        </w:rPr>
        <w:t>en raison de</w:t>
      </w:r>
      <w:r>
        <w:rPr>
          <w:lang w:val="fr-CH"/>
        </w:rPr>
        <w:t xml:space="preserve"> leur résistance </w:t>
      </w:r>
      <w:r w:rsidR="0042720F">
        <w:rPr>
          <w:lang w:val="fr-CH"/>
        </w:rPr>
        <w:t>à la pluie et d</w:t>
      </w:r>
      <w:r w:rsidR="00BE0843">
        <w:rPr>
          <w:lang w:val="fr-CH"/>
        </w:rPr>
        <w:t>u fait qu'ils peuvent aisément être</w:t>
      </w:r>
      <w:r w:rsidR="0042720F">
        <w:rPr>
          <w:lang w:val="fr-CH"/>
        </w:rPr>
        <w:t xml:space="preserve"> </w:t>
      </w:r>
      <w:r>
        <w:rPr>
          <w:lang w:val="fr-CH"/>
        </w:rPr>
        <w:t xml:space="preserve">mis en </w:t>
      </w:r>
      <w:r w:rsidR="00CA6B77">
        <w:rPr>
          <w:lang w:val="fr-CH"/>
        </w:rPr>
        <w:t>oe</w:t>
      </w:r>
      <w:r>
        <w:rPr>
          <w:lang w:val="fr-CH"/>
        </w:rPr>
        <w:t xml:space="preserve">uvre </w:t>
      </w:r>
      <w:r w:rsidR="00BE0843">
        <w:rPr>
          <w:lang w:val="fr-CH"/>
        </w:rPr>
        <w:t>à très court terme et à moindre coût</w:t>
      </w:r>
      <w:r>
        <w:rPr>
          <w:lang w:val="fr-CH"/>
        </w:rPr>
        <w:t>.</w:t>
      </w:r>
      <w:r w:rsidR="0042720F">
        <w:rPr>
          <w:lang w:val="fr-CH"/>
        </w:rPr>
        <w:t xml:space="preserve"> Ces aspects </w:t>
      </w:r>
      <w:r w:rsidR="00BE0843">
        <w:rPr>
          <w:lang w:val="fr-CH"/>
        </w:rPr>
        <w:t>sont d'autant plus importants</w:t>
      </w:r>
      <w:r w:rsidR="0042720F">
        <w:rPr>
          <w:lang w:val="fr-CH"/>
        </w:rPr>
        <w:t xml:space="preserve"> dans les pays</w:t>
      </w:r>
      <w:r w:rsidR="00ED0A62">
        <w:rPr>
          <w:lang w:val="fr-CH"/>
        </w:rPr>
        <w:t xml:space="preserve"> particulièrement</w:t>
      </w:r>
      <w:r w:rsidR="0042720F">
        <w:rPr>
          <w:lang w:val="fr-CH"/>
        </w:rPr>
        <w:t xml:space="preserve"> </w:t>
      </w:r>
      <w:r w:rsidR="00ED0A62">
        <w:rPr>
          <w:lang w:val="fr-CH"/>
        </w:rPr>
        <w:t>exposés</w:t>
      </w:r>
      <w:r w:rsidR="0042720F">
        <w:rPr>
          <w:lang w:val="fr-CH"/>
        </w:rPr>
        <w:t xml:space="preserve"> </w:t>
      </w:r>
      <w:r w:rsidR="00ED0A62">
        <w:rPr>
          <w:lang w:val="fr-CH"/>
        </w:rPr>
        <w:t>à</w:t>
      </w:r>
      <w:r w:rsidR="0042720F">
        <w:rPr>
          <w:lang w:val="fr-CH"/>
        </w:rPr>
        <w:t xml:space="preserve"> l'accumulation de</w:t>
      </w:r>
      <w:r w:rsidR="00ED0A62">
        <w:rPr>
          <w:lang w:val="fr-CH"/>
        </w:rPr>
        <w:t>s</w:t>
      </w:r>
      <w:r w:rsidR="0042720F">
        <w:rPr>
          <w:lang w:val="fr-CH"/>
        </w:rPr>
        <w:t xml:space="preserve"> précipitations, </w:t>
      </w:r>
      <w:r w:rsidR="00ED0A62">
        <w:rPr>
          <w:lang w:val="fr-CH"/>
        </w:rPr>
        <w:t>aux</w:t>
      </w:r>
      <w:r w:rsidR="0042720F">
        <w:rPr>
          <w:lang w:val="fr-CH"/>
        </w:rPr>
        <w:t xml:space="preserve"> phénomènes sismiques fréquents et </w:t>
      </w:r>
      <w:r w:rsidR="00ED0A62">
        <w:rPr>
          <w:lang w:val="fr-CH"/>
        </w:rPr>
        <w:t>aux</w:t>
      </w:r>
      <w:r w:rsidR="0042720F">
        <w:rPr>
          <w:lang w:val="fr-CH"/>
        </w:rPr>
        <w:t xml:space="preserve"> éruptions volcaniques </w:t>
      </w:r>
      <w:r w:rsidR="00ED0A62">
        <w:rPr>
          <w:lang w:val="fr-CH"/>
        </w:rPr>
        <w:t>périodiques</w:t>
      </w:r>
      <w:r w:rsidR="00BE0843">
        <w:rPr>
          <w:lang w:val="fr-CH"/>
        </w:rPr>
        <w:t xml:space="preserve"> qui caractérisent </w:t>
      </w:r>
      <w:r w:rsidR="0042720F">
        <w:rPr>
          <w:lang w:val="fr-CH"/>
        </w:rPr>
        <w:t xml:space="preserve">les pays de la région de l'Amérique centrale et des Caraïbes. </w:t>
      </w:r>
      <w:r w:rsidR="00BE0843">
        <w:rPr>
          <w:lang w:val="fr-CH"/>
        </w:rPr>
        <w:t>De fait, l</w:t>
      </w:r>
      <w:r w:rsidR="0042720F">
        <w:rPr>
          <w:lang w:val="fr-CH"/>
        </w:rPr>
        <w:t xml:space="preserve">es systèmes fonctionnant dans la bande C sont indispensables en cas de catastrophe naturelle pour assurer la mise en </w:t>
      </w:r>
      <w:r w:rsidR="00CA6B77">
        <w:rPr>
          <w:lang w:val="fr-CH"/>
        </w:rPr>
        <w:t>oe</w:t>
      </w:r>
      <w:r w:rsidR="0042720F">
        <w:rPr>
          <w:lang w:val="fr-CH"/>
        </w:rPr>
        <w:t>uvre de</w:t>
      </w:r>
      <w:r w:rsidR="00150D0B">
        <w:rPr>
          <w:lang w:val="fr-CH"/>
        </w:rPr>
        <w:t>s</w:t>
      </w:r>
      <w:r w:rsidR="0042720F">
        <w:rPr>
          <w:lang w:val="fr-CH"/>
        </w:rPr>
        <w:t xml:space="preserve"> missions de secours et la protection de la population civile dans les zones sinistrées.</w:t>
      </w:r>
    </w:p>
    <w:p w:rsidR="0042720F" w:rsidRPr="006E2293" w:rsidRDefault="0042720F" w:rsidP="00BE0843">
      <w:pPr>
        <w:rPr>
          <w:lang w:val="fr-CH"/>
        </w:rPr>
      </w:pPr>
      <w:r>
        <w:rPr>
          <w:lang w:val="fr-CH"/>
        </w:rPr>
        <w:t xml:space="preserve">Dans certains pays de la Région 2, la bande </w:t>
      </w:r>
      <w:r w:rsidRPr="0042720F">
        <w:rPr>
          <w:lang w:val="fr-CH"/>
        </w:rPr>
        <w:t>3</w:t>
      </w:r>
      <w:r>
        <w:rPr>
          <w:lang w:val="fr-CH"/>
        </w:rPr>
        <w:t> </w:t>
      </w:r>
      <w:r w:rsidRPr="0042720F">
        <w:rPr>
          <w:lang w:val="fr-CH"/>
        </w:rPr>
        <w:t>400-4</w:t>
      </w:r>
      <w:r>
        <w:rPr>
          <w:lang w:val="fr-CH"/>
        </w:rPr>
        <w:t> </w:t>
      </w:r>
      <w:r w:rsidRPr="0042720F">
        <w:rPr>
          <w:lang w:val="fr-CH"/>
        </w:rPr>
        <w:t>200 MHz</w:t>
      </w:r>
      <w:r>
        <w:rPr>
          <w:lang w:val="fr-CH"/>
        </w:rPr>
        <w:t xml:space="preserve"> est utilisée pour assurer des services publics essentiels pour la population (météorologie, </w:t>
      </w:r>
      <w:r w:rsidR="00150D0B">
        <w:rPr>
          <w:lang w:val="fr-CH"/>
        </w:rPr>
        <w:t>aviation</w:t>
      </w:r>
      <w:r>
        <w:rPr>
          <w:lang w:val="fr-CH"/>
        </w:rPr>
        <w:t xml:space="preserve"> civile, sécurité publique, etc.) </w:t>
      </w:r>
      <w:r w:rsidR="00575151">
        <w:rPr>
          <w:lang w:val="fr-CH"/>
        </w:rPr>
        <w:t>ai</w:t>
      </w:r>
      <w:r>
        <w:rPr>
          <w:lang w:val="fr-CH"/>
        </w:rPr>
        <w:t>nsi que des services commerciaux du secteur privé (DTH</w:t>
      </w:r>
      <w:r w:rsidR="00575151">
        <w:rPr>
          <w:lang w:val="fr-CH"/>
        </w:rPr>
        <w:t xml:space="preserve">, chaînes gratuites, </w:t>
      </w:r>
      <w:r w:rsidR="00575151" w:rsidRPr="00575151">
        <w:rPr>
          <w:lang w:val="fr-CH"/>
        </w:rPr>
        <w:t>raccordement</w:t>
      </w:r>
      <w:r w:rsidR="00BE0843">
        <w:rPr>
          <w:lang w:val="fr-CH"/>
        </w:rPr>
        <w:t xml:space="preserve"> pour la téléphonie</w:t>
      </w:r>
      <w:r w:rsidR="00575151" w:rsidRPr="00575151">
        <w:rPr>
          <w:lang w:val="fr-CH"/>
        </w:rPr>
        <w:t xml:space="preserve"> cellulaire</w:t>
      </w:r>
      <w:r w:rsidR="00575151">
        <w:rPr>
          <w:lang w:val="fr-CH"/>
        </w:rPr>
        <w:t>, etc.).</w:t>
      </w:r>
    </w:p>
    <w:p w:rsidR="00575151" w:rsidRPr="00575151" w:rsidRDefault="00BE0843" w:rsidP="00F87FDC">
      <w:pPr>
        <w:rPr>
          <w:lang w:val="fr-CH"/>
        </w:rPr>
      </w:pPr>
      <w:r>
        <w:rPr>
          <w:lang w:val="fr-CH"/>
        </w:rPr>
        <w:lastRenderedPageBreak/>
        <w:t xml:space="preserve">Les </w:t>
      </w:r>
      <w:r w:rsidR="00575151" w:rsidRPr="00575151">
        <w:rPr>
          <w:lang w:val="fr-CH"/>
        </w:rPr>
        <w:t xml:space="preserve">études menées par l'UIT </w:t>
      </w:r>
      <w:r>
        <w:rPr>
          <w:lang w:val="fr-CH"/>
        </w:rPr>
        <w:t>permettent de conclure q</w:t>
      </w:r>
      <w:r w:rsidR="00575151" w:rsidRPr="00575151">
        <w:rPr>
          <w:lang w:val="fr-CH"/>
        </w:rPr>
        <w:t>ue,</w:t>
      </w:r>
      <w:r w:rsidR="00575151">
        <w:rPr>
          <w:lang w:val="fr-CH"/>
        </w:rPr>
        <w:t xml:space="preserve"> dans l'état actuel des </w:t>
      </w:r>
      <w:r w:rsidR="00150D0B">
        <w:rPr>
          <w:lang w:val="fr-CH"/>
        </w:rPr>
        <w:t>techniques</w:t>
      </w:r>
      <w:r w:rsidR="00575151">
        <w:rPr>
          <w:lang w:val="fr-CH"/>
        </w:rPr>
        <w:t xml:space="preserve">, l'utilisation du service fixe par satellite n'est pas compatible avec la mise en place de systèmes IMT dans la bande </w:t>
      </w:r>
      <w:r w:rsidR="00575151" w:rsidRPr="00575151">
        <w:rPr>
          <w:lang w:val="fr-CH" w:eastAsia="zh-CN"/>
        </w:rPr>
        <w:t>3 400-4 200 MHz</w:t>
      </w:r>
      <w:r w:rsidR="00575151">
        <w:rPr>
          <w:lang w:val="fr-CH" w:eastAsia="zh-CN"/>
        </w:rPr>
        <w:t xml:space="preserve">. </w:t>
      </w:r>
      <w:r w:rsidR="00150D0B">
        <w:rPr>
          <w:lang w:val="fr-CH" w:eastAsia="zh-CN"/>
        </w:rPr>
        <w:t>D'après le</w:t>
      </w:r>
      <w:r w:rsidR="00575151" w:rsidRPr="00575151">
        <w:rPr>
          <w:lang w:val="fr-CH" w:eastAsia="zh-CN"/>
        </w:rPr>
        <w:t xml:space="preserve"> Rapport</w:t>
      </w:r>
      <w:r w:rsidR="00575151" w:rsidRPr="00575151">
        <w:rPr>
          <w:lang w:val="fr-CH"/>
        </w:rPr>
        <w:t xml:space="preserve"> UIT-R M.2109, les mêmes difficultés techniques</w:t>
      </w:r>
      <w:r w:rsidR="00575151">
        <w:rPr>
          <w:lang w:val="fr-CH"/>
        </w:rPr>
        <w:t xml:space="preserve"> </w:t>
      </w:r>
      <w:r>
        <w:rPr>
          <w:lang w:val="fr-CH"/>
        </w:rPr>
        <w:t xml:space="preserve">apparaitraient </w:t>
      </w:r>
      <w:r w:rsidR="00575151">
        <w:rPr>
          <w:lang w:val="fr-CH"/>
        </w:rPr>
        <w:t xml:space="preserve">dans la bande </w:t>
      </w:r>
      <w:r w:rsidR="00575151" w:rsidRPr="00575151">
        <w:rPr>
          <w:lang w:val="fr-CH" w:eastAsia="zh-CN"/>
        </w:rPr>
        <w:t>4 500-4 800 MHz</w:t>
      </w:r>
      <w:r w:rsidR="00575151">
        <w:rPr>
          <w:lang w:val="fr-CH" w:eastAsia="zh-CN"/>
        </w:rPr>
        <w:t xml:space="preserve"> (espace vers Terre), attribuée au service fixe par satellite </w:t>
      </w:r>
      <w:r w:rsidR="00150D0B">
        <w:rPr>
          <w:lang w:val="fr-CH" w:eastAsia="zh-CN"/>
        </w:rPr>
        <w:t>au titre</w:t>
      </w:r>
      <w:r w:rsidR="00575151">
        <w:rPr>
          <w:lang w:val="fr-CH" w:eastAsia="zh-CN"/>
        </w:rPr>
        <w:t xml:space="preserve"> de l'Appendice </w:t>
      </w:r>
      <w:r w:rsidR="00575151" w:rsidRPr="00CA6B77">
        <w:rPr>
          <w:lang w:val="fr-CH" w:eastAsia="zh-CN"/>
        </w:rPr>
        <w:t>30B</w:t>
      </w:r>
      <w:r w:rsidR="00575151" w:rsidRPr="00575151">
        <w:rPr>
          <w:lang w:val="fr-CH" w:eastAsia="zh-CN"/>
        </w:rPr>
        <w:t>,</w:t>
      </w:r>
      <w:r w:rsidR="00575151">
        <w:rPr>
          <w:b/>
          <w:bCs/>
          <w:lang w:val="fr-CH" w:eastAsia="zh-CN"/>
        </w:rPr>
        <w:t xml:space="preserve"> </w:t>
      </w:r>
      <w:r w:rsidR="00575151" w:rsidRPr="00575151">
        <w:rPr>
          <w:lang w:val="fr-CH" w:eastAsia="zh-CN"/>
        </w:rPr>
        <w:t>qui vise</w:t>
      </w:r>
      <w:r w:rsidR="00575151">
        <w:rPr>
          <w:lang w:val="fr-CH" w:eastAsia="zh-CN"/>
        </w:rPr>
        <w:t xml:space="preserve"> à garantir à tous les pays un accès équitable à l'orbite </w:t>
      </w:r>
      <w:r>
        <w:rPr>
          <w:lang w:val="fr-CH" w:eastAsia="zh-CN"/>
        </w:rPr>
        <w:t xml:space="preserve">des satellites </w:t>
      </w:r>
      <w:r w:rsidR="00575151">
        <w:rPr>
          <w:lang w:val="fr-CH" w:eastAsia="zh-CN"/>
        </w:rPr>
        <w:t>géostationnaire</w:t>
      </w:r>
      <w:r>
        <w:rPr>
          <w:lang w:val="fr-CH" w:eastAsia="zh-CN"/>
        </w:rPr>
        <w:t>s</w:t>
      </w:r>
      <w:r w:rsidR="00575151">
        <w:rPr>
          <w:lang w:val="fr-CH" w:eastAsia="zh-CN"/>
        </w:rPr>
        <w:t xml:space="preserve"> en vue de son utilisation</w:t>
      </w:r>
      <w:r w:rsidR="00EB1389">
        <w:rPr>
          <w:lang w:val="fr-CH" w:eastAsia="zh-CN"/>
        </w:rPr>
        <w:t xml:space="preserve"> </w:t>
      </w:r>
      <w:r>
        <w:rPr>
          <w:lang w:val="fr-CH" w:eastAsia="zh-CN"/>
        </w:rPr>
        <w:t>en</w:t>
      </w:r>
      <w:r w:rsidR="00EB1389">
        <w:rPr>
          <w:lang w:val="fr-CH" w:eastAsia="zh-CN"/>
        </w:rPr>
        <w:t xml:space="preserve"> tout </w:t>
      </w:r>
      <w:r>
        <w:rPr>
          <w:lang w:val="fr-CH" w:eastAsia="zh-CN"/>
        </w:rPr>
        <w:t>temps</w:t>
      </w:r>
      <w:r w:rsidR="00EB1389">
        <w:rPr>
          <w:lang w:val="fr-CH" w:eastAsia="zh-CN"/>
        </w:rPr>
        <w:t xml:space="preserve"> et en tout lieu</w:t>
      </w:r>
      <w:r w:rsidR="00575151">
        <w:rPr>
          <w:lang w:val="fr-CH" w:eastAsia="zh-CN"/>
        </w:rPr>
        <w:t>.</w:t>
      </w:r>
    </w:p>
    <w:p w:rsidR="00EB1389" w:rsidRDefault="00EB1389" w:rsidP="00BE0843">
      <w:pPr>
        <w:rPr>
          <w:lang w:val="fr-CH"/>
        </w:rPr>
      </w:pPr>
      <w:r w:rsidRPr="00EB1389">
        <w:rPr>
          <w:lang w:val="fr-CH"/>
        </w:rPr>
        <w:t>Plusieurs administrations,</w:t>
      </w:r>
      <w:r>
        <w:rPr>
          <w:lang w:val="fr-CH"/>
        </w:rPr>
        <w:t xml:space="preserve"> </w:t>
      </w:r>
      <w:r w:rsidR="00150D0B">
        <w:rPr>
          <w:lang w:val="fr-CH"/>
        </w:rPr>
        <w:t xml:space="preserve">tant </w:t>
      </w:r>
      <w:r>
        <w:rPr>
          <w:lang w:val="fr-CH"/>
        </w:rPr>
        <w:t xml:space="preserve">de la Région 2 </w:t>
      </w:r>
      <w:r w:rsidR="00150D0B">
        <w:rPr>
          <w:lang w:val="fr-CH"/>
        </w:rPr>
        <w:t xml:space="preserve">que </w:t>
      </w:r>
      <w:r>
        <w:rPr>
          <w:lang w:val="fr-CH"/>
        </w:rPr>
        <w:t>des</w:t>
      </w:r>
      <w:r w:rsidR="00F345DF">
        <w:rPr>
          <w:lang w:val="fr-CH"/>
        </w:rPr>
        <w:t xml:space="preserve"> Régions 1 et 3, ainsi que des o</w:t>
      </w:r>
      <w:r>
        <w:rPr>
          <w:lang w:val="fr-CH"/>
        </w:rPr>
        <w:t xml:space="preserve">rganisations internationales, </w:t>
      </w:r>
      <w:r w:rsidR="00150D0B">
        <w:rPr>
          <w:lang w:val="fr-CH"/>
        </w:rPr>
        <w:t>comme</w:t>
      </w:r>
      <w:r>
        <w:rPr>
          <w:lang w:val="fr-CH"/>
        </w:rPr>
        <w:t xml:space="preserve"> l'OACI, ont </w:t>
      </w:r>
      <w:r w:rsidR="00BE0843">
        <w:rPr>
          <w:lang w:val="fr-CH"/>
        </w:rPr>
        <w:t>signalé un accroissement du</w:t>
      </w:r>
      <w:r>
        <w:rPr>
          <w:lang w:val="fr-CH"/>
        </w:rPr>
        <w:t xml:space="preserve"> nombre de cas de brouillages préjudiciables causés aux réseaux de microstations </w:t>
      </w:r>
      <w:r w:rsidR="00150D0B">
        <w:rPr>
          <w:lang w:val="fr-CH"/>
        </w:rPr>
        <w:t>utilisé</w:t>
      </w:r>
      <w:r>
        <w:rPr>
          <w:lang w:val="fr-CH"/>
        </w:rPr>
        <w:t xml:space="preserve">s pour la navigation aérienne civile et la météorologie qui </w:t>
      </w:r>
      <w:r w:rsidR="00150D0B">
        <w:rPr>
          <w:lang w:val="fr-CH"/>
        </w:rPr>
        <w:t>pourrait</w:t>
      </w:r>
      <w:r>
        <w:rPr>
          <w:lang w:val="fr-CH"/>
        </w:rPr>
        <w:t xml:space="preserve"> compromettre la sécurité des passagers </w:t>
      </w:r>
      <w:r w:rsidR="00150D0B">
        <w:rPr>
          <w:lang w:val="fr-CH"/>
        </w:rPr>
        <w:t xml:space="preserve">et </w:t>
      </w:r>
      <w:r>
        <w:rPr>
          <w:lang w:val="fr-CH"/>
        </w:rPr>
        <w:t>du transport aérien civil en général.</w:t>
      </w:r>
    </w:p>
    <w:p w:rsidR="006E2293" w:rsidRPr="00EB1389" w:rsidRDefault="00EB1389" w:rsidP="00BE0843">
      <w:pPr>
        <w:rPr>
          <w:lang w:val="fr-CH"/>
        </w:rPr>
      </w:pPr>
      <w:r>
        <w:rPr>
          <w:lang w:val="fr-CH"/>
        </w:rPr>
        <w:t xml:space="preserve">De même, un grand nombre de systèmes </w:t>
      </w:r>
      <w:r w:rsidR="00BE0843">
        <w:rPr>
          <w:lang w:val="fr-CH"/>
        </w:rPr>
        <w:t xml:space="preserve">actuellement </w:t>
      </w:r>
      <w:r>
        <w:rPr>
          <w:lang w:val="fr-CH"/>
        </w:rPr>
        <w:t xml:space="preserve">déployés dans plusieurs pays assurent des services de </w:t>
      </w:r>
      <w:r w:rsidR="00BE0843">
        <w:rPr>
          <w:lang w:val="fr-CH"/>
        </w:rPr>
        <w:t>télé</w:t>
      </w:r>
      <w:r>
        <w:rPr>
          <w:lang w:val="fr-CH"/>
        </w:rPr>
        <w:t xml:space="preserve">communication par satellite essentiels </w:t>
      </w:r>
      <w:r w:rsidR="00BE0843">
        <w:rPr>
          <w:lang w:val="fr-CH"/>
        </w:rPr>
        <w:t>au moyen</w:t>
      </w:r>
      <w:r>
        <w:rPr>
          <w:lang w:val="fr-CH"/>
        </w:rPr>
        <w:t xml:space="preserve"> des fréquences de la bande C </w:t>
      </w:r>
      <w:r w:rsidRPr="00EB1389">
        <w:rPr>
          <w:lang w:val="fr-CH"/>
        </w:rPr>
        <w:t>(3 400</w:t>
      </w:r>
      <w:r w:rsidRPr="00EB1389">
        <w:rPr>
          <w:lang w:val="fr-CH"/>
        </w:rPr>
        <w:noBreakHyphen/>
      </w:r>
      <w:r w:rsidR="00BA4292">
        <w:rPr>
          <w:lang w:val="fr-CH"/>
        </w:rPr>
        <w:t>4 </w:t>
      </w:r>
      <w:r w:rsidRPr="00EB1389">
        <w:rPr>
          <w:lang w:val="fr-CH"/>
        </w:rPr>
        <w:t xml:space="preserve">200 MHz </w:t>
      </w:r>
      <w:r>
        <w:rPr>
          <w:lang w:val="fr-CH"/>
        </w:rPr>
        <w:t>et</w:t>
      </w:r>
      <w:r w:rsidRPr="00EB1389">
        <w:rPr>
          <w:lang w:val="fr-CH"/>
        </w:rPr>
        <w:t xml:space="preserve"> 5 850-6 700 MHz)</w:t>
      </w:r>
      <w:r>
        <w:rPr>
          <w:lang w:val="fr-CH"/>
        </w:rPr>
        <w:t>, qu'il convient de prendre en considération afin qu</w:t>
      </w:r>
      <w:r w:rsidR="00BE0843">
        <w:rPr>
          <w:lang w:val="fr-CH"/>
        </w:rPr>
        <w:t xml:space="preserve">e leur exploitation soit exempte de </w:t>
      </w:r>
      <w:r>
        <w:rPr>
          <w:lang w:val="fr-CH"/>
        </w:rPr>
        <w:t>brouillages préjudiciables</w:t>
      </w:r>
      <w:r w:rsidR="00BE0843">
        <w:rPr>
          <w:lang w:val="fr-CH"/>
        </w:rPr>
        <w:t>.</w:t>
      </w:r>
    </w:p>
    <w:p w:rsidR="00150D0B" w:rsidRPr="001C40B7" w:rsidRDefault="00150D0B" w:rsidP="00047AA3">
      <w:pPr>
        <w:rPr>
          <w:lang w:val="fr-CH"/>
        </w:rPr>
      </w:pPr>
      <w:r w:rsidRPr="001C40B7">
        <w:rPr>
          <w:lang w:val="fr-CH"/>
        </w:rPr>
        <w:t>L</w:t>
      </w:r>
      <w:r w:rsidR="003E6D68">
        <w:rPr>
          <w:lang w:val="fr-CH"/>
        </w:rPr>
        <w:t>'</w:t>
      </w:r>
      <w:r w:rsidRPr="001C40B7">
        <w:rPr>
          <w:lang w:val="fr-CH"/>
        </w:rPr>
        <w:t>exploitation exempte de brouillage</w:t>
      </w:r>
      <w:r w:rsidR="00BE0843">
        <w:rPr>
          <w:lang w:val="fr-CH"/>
        </w:rPr>
        <w:t>s</w:t>
      </w:r>
      <w:r w:rsidRPr="001C40B7">
        <w:rPr>
          <w:lang w:val="fr-CH"/>
        </w:rPr>
        <w:t xml:space="preserve"> des télécommunications par satellite qui utilisent la bande C est fondamentale, étant donné que cette bande offre de très nombreux avantages par rapport aux autres bandes de fréquences également utilisées en commun par les satellites, comme c</w:t>
      </w:r>
      <w:r w:rsidR="003E6D68">
        <w:rPr>
          <w:lang w:val="fr-CH"/>
        </w:rPr>
        <w:t>'</w:t>
      </w:r>
      <w:r w:rsidRPr="001C40B7">
        <w:rPr>
          <w:lang w:val="fr-CH"/>
        </w:rPr>
        <w:t>est le cas des bandes Ku ou Ka.</w:t>
      </w:r>
      <w:r>
        <w:rPr>
          <w:lang w:val="fr-CH"/>
        </w:rPr>
        <w:t xml:space="preserve"> </w:t>
      </w:r>
      <w:r w:rsidRPr="001C40B7">
        <w:rPr>
          <w:lang w:val="fr-CH"/>
        </w:rPr>
        <w:t xml:space="preserve">Les caractéristiques de propagation dans la bande </w:t>
      </w:r>
      <w:r w:rsidR="00047AA3">
        <w:rPr>
          <w:lang w:val="fr-CH"/>
        </w:rPr>
        <w:t>C</w:t>
      </w:r>
      <w:r w:rsidRPr="001C40B7">
        <w:rPr>
          <w:lang w:val="fr-CH"/>
        </w:rPr>
        <w:t xml:space="preserve"> permettent </w:t>
      </w:r>
      <w:r w:rsidR="00047AA3">
        <w:rPr>
          <w:lang w:val="fr-CH"/>
        </w:rPr>
        <w:t>une</w:t>
      </w:r>
      <w:r w:rsidRPr="001C40B7">
        <w:rPr>
          <w:lang w:val="fr-CH"/>
        </w:rPr>
        <w:t xml:space="preserve"> couverture</w:t>
      </w:r>
      <w:r>
        <w:rPr>
          <w:lang w:val="fr-CH"/>
        </w:rPr>
        <w:t xml:space="preserve"> plus large, </w:t>
      </w:r>
      <w:r w:rsidR="00047AA3">
        <w:rPr>
          <w:lang w:val="fr-CH"/>
        </w:rPr>
        <w:t>grâce à laquelle il est possible</w:t>
      </w:r>
      <w:r>
        <w:rPr>
          <w:lang w:val="fr-CH"/>
        </w:rPr>
        <w:t xml:space="preserve"> de connecter </w:t>
      </w:r>
      <w:r w:rsidRPr="001C40B7">
        <w:rPr>
          <w:color w:val="000000"/>
          <w:lang w:val="fr-CH"/>
        </w:rPr>
        <w:t xml:space="preserve">sur une </w:t>
      </w:r>
      <w:r>
        <w:rPr>
          <w:color w:val="000000"/>
          <w:lang w:val="fr-CH"/>
        </w:rPr>
        <w:t xml:space="preserve">même </w:t>
      </w:r>
      <w:r w:rsidRPr="001C40B7">
        <w:rPr>
          <w:color w:val="000000"/>
          <w:lang w:val="fr-CH"/>
        </w:rPr>
        <w:t>empreinte</w:t>
      </w:r>
      <w:r w:rsidRPr="001C40B7">
        <w:rPr>
          <w:lang w:val="fr-CH"/>
        </w:rPr>
        <w:t xml:space="preserve"> </w:t>
      </w:r>
      <w:r>
        <w:rPr>
          <w:lang w:val="fr-CH"/>
        </w:rPr>
        <w:t xml:space="preserve">de vastes zones </w:t>
      </w:r>
      <w:r w:rsidR="00047AA3">
        <w:rPr>
          <w:lang w:val="fr-CH"/>
        </w:rPr>
        <w:t>ou continents</w:t>
      </w:r>
      <w:r>
        <w:rPr>
          <w:lang w:val="fr-CH"/>
        </w:rPr>
        <w:t xml:space="preserve">. </w:t>
      </w:r>
      <w:r w:rsidRPr="001C40B7">
        <w:rPr>
          <w:lang w:val="fr-CH"/>
        </w:rPr>
        <w:t>De même, comme nous l</w:t>
      </w:r>
      <w:r w:rsidR="003E6D68">
        <w:rPr>
          <w:lang w:val="fr-CH"/>
        </w:rPr>
        <w:t>'</w:t>
      </w:r>
      <w:r w:rsidRPr="001C40B7">
        <w:rPr>
          <w:lang w:val="fr-CH"/>
        </w:rPr>
        <w:t xml:space="preserve">avons indiqué précédemment, cette bande de fréquences </w:t>
      </w:r>
      <w:r w:rsidR="00047AA3">
        <w:rPr>
          <w:lang w:val="fr-CH"/>
        </w:rPr>
        <w:t xml:space="preserve">est très résistante </w:t>
      </w:r>
      <w:r w:rsidRPr="001C40B7">
        <w:rPr>
          <w:lang w:val="fr-CH"/>
        </w:rPr>
        <w:t>à la dégradation des signaux due à la pluie, dans la mesure où alors que la pluie</w:t>
      </w:r>
      <w:r>
        <w:rPr>
          <w:lang w:val="fr-CH"/>
        </w:rPr>
        <w:t xml:space="preserve"> dégrade dans certains cas les signaux des services dans les bandes de fréquences plus élevées, les services qu</w:t>
      </w:r>
      <w:r w:rsidR="003E6D68">
        <w:rPr>
          <w:lang w:val="fr-CH"/>
        </w:rPr>
        <w:t>'</w:t>
      </w:r>
      <w:r>
        <w:rPr>
          <w:lang w:val="fr-CH"/>
        </w:rPr>
        <w:t>il est prévu d</w:t>
      </w:r>
      <w:r w:rsidR="003E6D68">
        <w:rPr>
          <w:lang w:val="fr-CH"/>
        </w:rPr>
        <w:t>'</w:t>
      </w:r>
      <w:r>
        <w:rPr>
          <w:lang w:val="fr-CH"/>
        </w:rPr>
        <w:t>exploiter dans la bande C</w:t>
      </w:r>
      <w:r w:rsidRPr="001C40B7">
        <w:rPr>
          <w:lang w:val="fr-CH"/>
        </w:rPr>
        <w:t xml:space="preserve"> </w:t>
      </w:r>
      <w:r>
        <w:rPr>
          <w:lang w:val="fr-CH"/>
        </w:rPr>
        <w:t>se caractérisent par une très grande viabilité, même en cas de fortes précipitations</w:t>
      </w:r>
      <w:r w:rsidR="00047AA3">
        <w:rPr>
          <w:lang w:val="fr-CH"/>
        </w:rPr>
        <w:t>.</w:t>
      </w:r>
    </w:p>
    <w:p w:rsidR="00150D0B" w:rsidRPr="001C40B7" w:rsidRDefault="00150D0B" w:rsidP="00047AA3">
      <w:pPr>
        <w:rPr>
          <w:lang w:val="fr-CH"/>
        </w:rPr>
      </w:pPr>
      <w:r w:rsidRPr="001C40B7">
        <w:rPr>
          <w:lang w:val="fr-CH"/>
        </w:rPr>
        <w:t>De plus,</w:t>
      </w:r>
      <w:r>
        <w:rPr>
          <w:lang w:val="fr-CH"/>
        </w:rPr>
        <w:t xml:space="preserve"> la coexistence des</w:t>
      </w:r>
      <w:r w:rsidRPr="001C40B7">
        <w:rPr>
          <w:lang w:val="fr-CH"/>
        </w:rPr>
        <w:t xml:space="preserve"> services par satellite fonctionnant actuellement dans cette bande </w:t>
      </w:r>
      <w:r>
        <w:rPr>
          <w:lang w:val="fr-CH"/>
        </w:rPr>
        <w:t>ne soulève guère de difficultés avec les autres services de radiocommunication. Cela s</w:t>
      </w:r>
      <w:r w:rsidR="003E6D68">
        <w:rPr>
          <w:lang w:val="fr-CH"/>
        </w:rPr>
        <w:t>'</w:t>
      </w:r>
      <w:r>
        <w:rPr>
          <w:lang w:val="fr-CH"/>
        </w:rPr>
        <w:t xml:space="preserve">explique par les caractéristiques techniques et de fonctionnement de ces services, bien que ces caractéristiques soient différentes de celles des services IMT. </w:t>
      </w:r>
      <w:r w:rsidRPr="001C40B7">
        <w:rPr>
          <w:lang w:val="fr-CH"/>
        </w:rPr>
        <w:t>Les résultats des études techniques effectuées par l</w:t>
      </w:r>
      <w:r w:rsidR="003E6D68">
        <w:rPr>
          <w:lang w:val="fr-CH"/>
        </w:rPr>
        <w:t>'</w:t>
      </w:r>
      <w:r w:rsidRPr="001C40B7">
        <w:rPr>
          <w:lang w:val="fr-CH"/>
        </w:rPr>
        <w:t>UIT n</w:t>
      </w:r>
      <w:r w:rsidR="003E6D68">
        <w:rPr>
          <w:lang w:val="fr-CH"/>
        </w:rPr>
        <w:t>'</w:t>
      </w:r>
      <w:r w:rsidRPr="001C40B7">
        <w:rPr>
          <w:lang w:val="fr-CH"/>
        </w:rPr>
        <w:t>ont pas permis pour le moment d</w:t>
      </w:r>
      <w:r w:rsidR="003E6D68">
        <w:rPr>
          <w:lang w:val="fr-CH"/>
        </w:rPr>
        <w:t>'</w:t>
      </w:r>
      <w:r w:rsidRPr="001C40B7">
        <w:rPr>
          <w:lang w:val="fr-CH"/>
        </w:rPr>
        <w:t>arriver à des conclusions en la matière</w:t>
      </w:r>
      <w:r>
        <w:rPr>
          <w:lang w:val="fr-CH"/>
        </w:rPr>
        <w:t xml:space="preserve"> et ont</w:t>
      </w:r>
      <w:r w:rsidR="003E6D68">
        <w:rPr>
          <w:lang w:val="fr-CH"/>
        </w:rPr>
        <w:t xml:space="preserve"> </w:t>
      </w:r>
      <w:r w:rsidRPr="001C40B7">
        <w:rPr>
          <w:lang w:val="fr-CH"/>
        </w:rPr>
        <w:t>démontré que certaines difficultés</w:t>
      </w:r>
      <w:r w:rsidR="003E6D68">
        <w:rPr>
          <w:lang w:val="fr-CH"/>
        </w:rPr>
        <w:t xml:space="preserve"> </w:t>
      </w:r>
      <w:r>
        <w:rPr>
          <w:lang w:val="fr-CH"/>
        </w:rPr>
        <w:t>étaient à prévoir</w:t>
      </w:r>
      <w:r w:rsidRPr="001C40B7">
        <w:rPr>
          <w:lang w:val="fr-CH"/>
        </w:rPr>
        <w:t xml:space="preserve"> </w:t>
      </w:r>
      <w:r>
        <w:rPr>
          <w:lang w:val="fr-CH"/>
        </w:rPr>
        <w:t>si l</w:t>
      </w:r>
      <w:r w:rsidR="003E6D68">
        <w:rPr>
          <w:lang w:val="fr-CH"/>
        </w:rPr>
        <w:t>'</w:t>
      </w:r>
      <w:r>
        <w:rPr>
          <w:lang w:val="fr-CH"/>
        </w:rPr>
        <w:t>on voulait que les systèmes IMT puissent coexister avec les services par satellite</w:t>
      </w:r>
      <w:r w:rsidR="00047AA3">
        <w:rPr>
          <w:lang w:val="fr-CH"/>
        </w:rPr>
        <w:t>.</w:t>
      </w:r>
    </w:p>
    <w:p w:rsidR="00150D0B" w:rsidRPr="00BE0843" w:rsidRDefault="00150D0B" w:rsidP="00BE0843">
      <w:pPr>
        <w:pStyle w:val="Headingb"/>
        <w:rPr>
          <w:lang w:val="fr-CH"/>
        </w:rPr>
      </w:pPr>
      <w:r w:rsidRPr="00BE0843">
        <w:rPr>
          <w:lang w:val="fr-CH"/>
        </w:rPr>
        <w:t xml:space="preserve">Considérations particulières </w:t>
      </w:r>
    </w:p>
    <w:p w:rsidR="00150D0B" w:rsidRPr="00C67FC8" w:rsidRDefault="00150D0B" w:rsidP="001A2C1E">
      <w:pPr>
        <w:pStyle w:val="enumlev1"/>
        <w:spacing w:before="120"/>
        <w:rPr>
          <w:lang w:val="fr-CH"/>
        </w:rPr>
      </w:pPr>
      <w:r w:rsidRPr="00C67FC8">
        <w:rPr>
          <w:lang w:val="fr-CH"/>
        </w:rPr>
        <w:t>1</w:t>
      </w:r>
      <w:r w:rsidR="001A2C1E">
        <w:rPr>
          <w:lang w:val="fr-CH"/>
        </w:rPr>
        <w:t>)</w:t>
      </w:r>
      <w:r w:rsidRPr="00C67FC8">
        <w:rPr>
          <w:lang w:val="fr-CH"/>
        </w:rPr>
        <w:tab/>
        <w:t xml:space="preserve">Pour </w:t>
      </w:r>
      <w:r w:rsidRPr="00C67FC8">
        <w:rPr>
          <w:color w:val="000000"/>
          <w:lang w:val="fr-CH"/>
        </w:rPr>
        <w:t>les administrations cosignataires de la présente</w:t>
      </w:r>
      <w:r w:rsidRPr="00C67FC8">
        <w:rPr>
          <w:lang w:val="fr-CH"/>
        </w:rPr>
        <w:t xml:space="preserve"> proposition, l</w:t>
      </w:r>
      <w:r w:rsidR="003E6D68">
        <w:rPr>
          <w:lang w:val="fr-CH"/>
        </w:rPr>
        <w:t>'</w:t>
      </w:r>
      <w:r w:rsidRPr="00C67FC8">
        <w:rPr>
          <w:lang w:val="fr-CH"/>
        </w:rPr>
        <w:t>utilisation de la bande C est très importante pour la fourniture de services au moyen de systèmes à satellites, et parallèlement, un certain nombre de raisons importantes militent en faveur</w:t>
      </w:r>
      <w:r w:rsidR="00047AA3">
        <w:rPr>
          <w:lang w:val="fr-CH"/>
        </w:rPr>
        <w:t xml:space="preserve"> </w:t>
      </w:r>
      <w:r>
        <w:rPr>
          <w:lang w:val="fr-CH"/>
        </w:rPr>
        <w:t>de</w:t>
      </w:r>
      <w:r w:rsidR="003E6D68">
        <w:rPr>
          <w:lang w:val="fr-CH"/>
        </w:rPr>
        <w:t xml:space="preserve"> </w:t>
      </w:r>
      <w:r w:rsidRPr="00C67FC8">
        <w:rPr>
          <w:lang w:val="fr-CH"/>
        </w:rPr>
        <w:t xml:space="preserve">la </w:t>
      </w:r>
      <w:r w:rsidRPr="00C67FC8">
        <w:rPr>
          <w:color w:val="000000"/>
          <w:lang w:val="fr-CH"/>
        </w:rPr>
        <w:t xml:space="preserve">position </w:t>
      </w:r>
      <w:r w:rsidR="00047AA3">
        <w:rPr>
          <w:color w:val="000000"/>
          <w:lang w:val="fr-CH"/>
        </w:rPr>
        <w:t>v</w:t>
      </w:r>
      <w:r w:rsidRPr="00C67FC8">
        <w:rPr>
          <w:color w:val="000000"/>
          <w:lang w:val="fr-CH"/>
        </w:rPr>
        <w:t>isant à n'apporter aucune modification (NOC)</w:t>
      </w:r>
      <w:r w:rsidR="001A2C1E">
        <w:rPr>
          <w:color w:val="000000"/>
          <w:lang w:val="fr-CH"/>
        </w:rPr>
        <w:t>.</w:t>
      </w:r>
    </w:p>
    <w:p w:rsidR="00150D0B" w:rsidRDefault="00150D0B" w:rsidP="001A2C1E">
      <w:pPr>
        <w:pStyle w:val="enumlev1"/>
        <w:rPr>
          <w:lang w:val="fr-CH"/>
        </w:rPr>
      </w:pPr>
      <w:r w:rsidRPr="00C67FC8">
        <w:rPr>
          <w:lang w:val="fr-CH"/>
        </w:rPr>
        <w:t>2</w:t>
      </w:r>
      <w:r w:rsidR="001A2C1E">
        <w:rPr>
          <w:lang w:val="fr-CH"/>
        </w:rPr>
        <w:t>)</w:t>
      </w:r>
      <w:r w:rsidRPr="00C67FC8">
        <w:rPr>
          <w:lang w:val="fr-CH"/>
        </w:rPr>
        <w:tab/>
        <w:t>Dans le cas particulier du Mexique, le système à satellit</w:t>
      </w:r>
      <w:r w:rsidR="00047AA3">
        <w:rPr>
          <w:lang w:val="fr-CH"/>
        </w:rPr>
        <w:t xml:space="preserve">es mexicain MEXSAT a bénéficié </w:t>
      </w:r>
      <w:r w:rsidRPr="00C67FC8">
        <w:rPr>
          <w:lang w:val="fr-CH"/>
        </w:rPr>
        <w:t>d</w:t>
      </w:r>
      <w:r w:rsidR="003E6D68">
        <w:rPr>
          <w:lang w:val="fr-CH"/>
        </w:rPr>
        <w:t>'</w:t>
      </w:r>
      <w:r w:rsidRPr="00C67FC8">
        <w:rPr>
          <w:lang w:val="fr-CH"/>
        </w:rPr>
        <w:t xml:space="preserve">une assignation pour </w:t>
      </w:r>
      <w:r w:rsidR="00047AA3">
        <w:rPr>
          <w:lang w:val="fr-CH"/>
        </w:rPr>
        <w:t>l</w:t>
      </w:r>
      <w:r w:rsidR="003E6D68">
        <w:rPr>
          <w:lang w:val="fr-CH"/>
        </w:rPr>
        <w:t>'</w:t>
      </w:r>
      <w:r w:rsidR="00047AA3">
        <w:rPr>
          <w:lang w:val="fr-CH"/>
        </w:rPr>
        <w:t>exploitation de la bande 3</w:t>
      </w:r>
      <w:r w:rsidR="000B4D65">
        <w:rPr>
          <w:lang w:val="fr-CH"/>
        </w:rPr>
        <w:t xml:space="preserve"> </w:t>
      </w:r>
      <w:r w:rsidR="00047AA3">
        <w:rPr>
          <w:lang w:val="fr-CH"/>
        </w:rPr>
        <w:t>400-</w:t>
      </w:r>
      <w:r w:rsidRPr="00C67FC8">
        <w:rPr>
          <w:lang w:val="fr-CH"/>
        </w:rPr>
        <w:t>3</w:t>
      </w:r>
      <w:r w:rsidR="000B4D65">
        <w:rPr>
          <w:lang w:val="fr-CH"/>
        </w:rPr>
        <w:t xml:space="preserve"> </w:t>
      </w:r>
      <w:r w:rsidRPr="00C67FC8">
        <w:rPr>
          <w:lang w:val="fr-CH"/>
        </w:rPr>
        <w:t>700 MHz (espace vers Terre) par le satellite Bicentenario, qui a été lancé avec succès en décembre 2012 et pla</w:t>
      </w:r>
      <w:r w:rsidR="00047AA3">
        <w:rPr>
          <w:lang w:val="fr-CH"/>
        </w:rPr>
        <w:t>cé à la position orbitale</w:t>
      </w:r>
      <w:r w:rsidR="003E6D68">
        <w:rPr>
          <w:lang w:val="fr-CH"/>
        </w:rPr>
        <w:t> </w:t>
      </w:r>
      <w:r w:rsidR="00047AA3">
        <w:rPr>
          <w:lang w:val="fr-CH"/>
        </w:rPr>
        <w:t>114,</w:t>
      </w:r>
      <w:r w:rsidRPr="00C67FC8">
        <w:rPr>
          <w:lang w:val="fr-CH"/>
        </w:rPr>
        <w:t>9° O</w:t>
      </w:r>
      <w:r>
        <w:rPr>
          <w:lang w:val="fr-CH"/>
        </w:rPr>
        <w:t xml:space="preserve">uest. </w:t>
      </w:r>
      <w:r w:rsidRPr="00C67FC8">
        <w:rPr>
          <w:lang w:val="fr-CH"/>
        </w:rPr>
        <w:t xml:space="preserve">Ce satellite </w:t>
      </w:r>
      <w:r w:rsidR="00047AA3">
        <w:rPr>
          <w:lang w:val="fr-CH"/>
        </w:rPr>
        <w:t>es</w:t>
      </w:r>
      <w:r w:rsidRPr="00C67FC8">
        <w:rPr>
          <w:lang w:val="fr-CH"/>
        </w:rPr>
        <w:t>t actuellement</w:t>
      </w:r>
      <w:r w:rsidR="00047AA3">
        <w:rPr>
          <w:lang w:val="fr-CH"/>
        </w:rPr>
        <w:t xml:space="preserve"> utilisé pour</w:t>
      </w:r>
      <w:r w:rsidRPr="00C67FC8">
        <w:rPr>
          <w:lang w:val="fr-CH"/>
        </w:rPr>
        <w:t xml:space="preserve"> la fourniture de services liés à la sécurité nationale ainsi que des communications gouvernementales</w:t>
      </w:r>
      <w:r>
        <w:rPr>
          <w:lang w:val="fr-CH"/>
        </w:rPr>
        <w:t xml:space="preserve">, au nombre desquels </w:t>
      </w:r>
      <w:r w:rsidR="00047AA3">
        <w:rPr>
          <w:lang w:val="fr-CH"/>
        </w:rPr>
        <w:t>il y a lieu de citer</w:t>
      </w:r>
      <w:r w:rsidRPr="00C67FC8">
        <w:rPr>
          <w:lang w:val="fr-CH"/>
        </w:rPr>
        <w:t xml:space="preserve"> </w:t>
      </w:r>
      <w:r>
        <w:rPr>
          <w:lang w:val="fr-CH"/>
        </w:rPr>
        <w:t>le</w:t>
      </w:r>
      <w:r w:rsidR="003E6D68">
        <w:rPr>
          <w:lang w:val="fr-CH"/>
        </w:rPr>
        <w:t xml:space="preserve"> </w:t>
      </w:r>
      <w:r>
        <w:rPr>
          <w:lang w:val="fr-CH"/>
        </w:rPr>
        <w:t>programme</w:t>
      </w:r>
      <w:r w:rsidR="003E6D68">
        <w:rPr>
          <w:lang w:val="fr-CH"/>
        </w:rPr>
        <w:t xml:space="preserve"> </w:t>
      </w:r>
      <w:r>
        <w:rPr>
          <w:lang w:val="fr-CH"/>
        </w:rPr>
        <w:t>«</w:t>
      </w:r>
      <w:r w:rsidRPr="00C67FC8">
        <w:rPr>
          <w:lang w:val="fr-CH"/>
        </w:rPr>
        <w:t>México Conectado</w:t>
      </w:r>
      <w:r w:rsidR="00047AA3">
        <w:rPr>
          <w:lang w:val="fr-CH"/>
        </w:rPr>
        <w:t xml:space="preserve">» </w:t>
      </w:r>
      <w:r>
        <w:rPr>
          <w:lang w:val="fr-CH"/>
        </w:rPr>
        <w:t>et d</w:t>
      </w:r>
      <w:r w:rsidR="003E6D68">
        <w:rPr>
          <w:lang w:val="fr-CH"/>
        </w:rPr>
        <w:t>'</w:t>
      </w:r>
      <w:r>
        <w:rPr>
          <w:lang w:val="fr-CH"/>
        </w:rPr>
        <w:t>autres programmes importants de couverture sociale sur le terri</w:t>
      </w:r>
      <w:r w:rsidR="00047AA3">
        <w:rPr>
          <w:lang w:val="fr-CH"/>
        </w:rPr>
        <w:t>toire national qui comprend sa Z</w:t>
      </w:r>
      <w:r>
        <w:rPr>
          <w:lang w:val="fr-CH"/>
        </w:rPr>
        <w:t>one économique exclusive</w:t>
      </w:r>
      <w:r w:rsidR="00FC4AF8">
        <w:rPr>
          <w:lang w:val="fr-CH"/>
        </w:rPr>
        <w:t>.</w:t>
      </w:r>
    </w:p>
    <w:p w:rsidR="0015203F" w:rsidRPr="00150D0B" w:rsidRDefault="00150D0B" w:rsidP="001A2C1E">
      <w:pPr>
        <w:pStyle w:val="enumlev1"/>
        <w:keepNext/>
        <w:keepLines/>
        <w:rPr>
          <w:lang w:val="fr-CH"/>
        </w:rPr>
      </w:pPr>
      <w:r w:rsidRPr="00C67FC8">
        <w:rPr>
          <w:lang w:val="fr-CH"/>
        </w:rPr>
        <w:lastRenderedPageBreak/>
        <w:t>3</w:t>
      </w:r>
      <w:r w:rsidR="001A2C1E">
        <w:rPr>
          <w:lang w:val="fr-CH"/>
        </w:rPr>
        <w:t>)</w:t>
      </w:r>
      <w:r w:rsidRPr="00C67FC8">
        <w:rPr>
          <w:lang w:val="fr-CH"/>
        </w:rPr>
        <w:tab/>
      </w:r>
      <w:r w:rsidR="00047AA3">
        <w:rPr>
          <w:color w:val="000000"/>
          <w:lang w:val="fr-CH"/>
        </w:rPr>
        <w:t>L</w:t>
      </w:r>
      <w:r w:rsidRPr="00C67FC8">
        <w:rPr>
          <w:color w:val="000000"/>
          <w:lang w:val="fr-CH"/>
        </w:rPr>
        <w:t>es administrations cosignataires de la présente</w:t>
      </w:r>
      <w:r w:rsidR="00FC4AF8">
        <w:rPr>
          <w:lang w:val="fr-CH"/>
        </w:rPr>
        <w:t xml:space="preserve"> proposition</w:t>
      </w:r>
      <w:r w:rsidRPr="00C67FC8">
        <w:rPr>
          <w:lang w:val="fr-CH"/>
        </w:rPr>
        <w:t>, en leur qualité d</w:t>
      </w:r>
      <w:r w:rsidR="003E6D68">
        <w:rPr>
          <w:lang w:val="fr-CH"/>
        </w:rPr>
        <w:t>'</w:t>
      </w:r>
      <w:r w:rsidRPr="00C67FC8">
        <w:rPr>
          <w:lang w:val="fr-CH"/>
        </w:rPr>
        <w:t>administration</w:t>
      </w:r>
      <w:r>
        <w:rPr>
          <w:lang w:val="fr-CH"/>
        </w:rPr>
        <w:t>s</w:t>
      </w:r>
      <w:r w:rsidRPr="00C67FC8">
        <w:rPr>
          <w:lang w:val="fr-CH"/>
        </w:rPr>
        <w:t xml:space="preserve"> notificatrice</w:t>
      </w:r>
      <w:r>
        <w:rPr>
          <w:lang w:val="fr-CH"/>
        </w:rPr>
        <w:t>s</w:t>
      </w:r>
      <w:r w:rsidRPr="00C67FC8">
        <w:rPr>
          <w:lang w:val="fr-CH"/>
        </w:rPr>
        <w:t xml:space="preserve"> vis-à-vis de l</w:t>
      </w:r>
      <w:r w:rsidR="003E6D68">
        <w:rPr>
          <w:lang w:val="fr-CH"/>
        </w:rPr>
        <w:t>'</w:t>
      </w:r>
      <w:r w:rsidRPr="00C67FC8">
        <w:rPr>
          <w:lang w:val="fr-CH"/>
        </w:rPr>
        <w:t>UIT de différents réseaux à satellite qui sont actuellement exploités</w:t>
      </w:r>
      <w:r>
        <w:rPr>
          <w:lang w:val="fr-CH"/>
        </w:rPr>
        <w:t>,</w:t>
      </w:r>
      <w:r w:rsidRPr="00C67FC8">
        <w:rPr>
          <w:lang w:val="fr-CH"/>
        </w:rPr>
        <w:t xml:space="preserve"> et en tant qu</w:t>
      </w:r>
      <w:r w:rsidR="003E6D68">
        <w:rPr>
          <w:lang w:val="fr-CH"/>
        </w:rPr>
        <w:t>'</w:t>
      </w:r>
      <w:r w:rsidRPr="00C67FC8">
        <w:rPr>
          <w:lang w:val="fr-CH"/>
        </w:rPr>
        <w:t>autorité</w:t>
      </w:r>
      <w:r>
        <w:rPr>
          <w:lang w:val="fr-CH"/>
        </w:rPr>
        <w:t>s</w:t>
      </w:r>
      <w:r w:rsidRPr="00C67FC8">
        <w:rPr>
          <w:lang w:val="fr-CH"/>
        </w:rPr>
        <w:t xml:space="preserve"> chargée</w:t>
      </w:r>
      <w:r>
        <w:rPr>
          <w:lang w:val="fr-CH"/>
        </w:rPr>
        <w:t>s</w:t>
      </w:r>
      <w:r w:rsidRPr="00C67FC8">
        <w:rPr>
          <w:lang w:val="fr-CH"/>
        </w:rPr>
        <w:t xml:space="preserve"> d</w:t>
      </w:r>
      <w:r w:rsidR="003E6D68">
        <w:rPr>
          <w:lang w:val="fr-CH"/>
        </w:rPr>
        <w:t>'</w:t>
      </w:r>
      <w:r w:rsidRPr="00C67FC8">
        <w:rPr>
          <w:lang w:val="fr-CH"/>
        </w:rPr>
        <w:t>octroyer des licences à d</w:t>
      </w:r>
      <w:r w:rsidR="003E6D68">
        <w:rPr>
          <w:lang w:val="fr-CH"/>
        </w:rPr>
        <w:t>'</w:t>
      </w:r>
      <w:r w:rsidRPr="00C67FC8">
        <w:rPr>
          <w:lang w:val="fr-CH"/>
        </w:rPr>
        <w:t>autres opérateurs de satellites étranger</w:t>
      </w:r>
      <w:bookmarkStart w:id="6" w:name="_GoBack"/>
      <w:bookmarkEnd w:id="6"/>
      <w:r w:rsidRPr="00C67FC8">
        <w:rPr>
          <w:lang w:val="fr-CH"/>
        </w:rPr>
        <w:t>s pour la fourniture de services sur le territoire de ces administrations</w:t>
      </w:r>
      <w:r>
        <w:rPr>
          <w:lang w:val="fr-CH"/>
        </w:rPr>
        <w:t>,</w:t>
      </w:r>
      <w:r w:rsidRPr="00C67FC8">
        <w:rPr>
          <w:lang w:val="fr-CH"/>
        </w:rPr>
        <w:t xml:space="preserve"> ont pour objectif de protéger les services par satellite au profit des citoyens, en particulier ceux qui jouent un rôle essentiel pour mener à </w:t>
      </w:r>
      <w:r>
        <w:rPr>
          <w:lang w:val="fr-CH"/>
        </w:rPr>
        <w:t>bonne fin</w:t>
      </w:r>
      <w:r w:rsidRPr="00C67FC8">
        <w:rPr>
          <w:lang w:val="fr-CH"/>
        </w:rPr>
        <w:t xml:space="preserve"> les projets de connectivité que le gouvernement </w:t>
      </w:r>
      <w:r w:rsidR="00047AA3">
        <w:rPr>
          <w:lang w:val="fr-CH"/>
        </w:rPr>
        <w:t>s'est fixés</w:t>
      </w:r>
      <w:r w:rsidRPr="00C67FC8">
        <w:rPr>
          <w:lang w:val="fr-CH"/>
        </w:rPr>
        <w:t xml:space="preserve"> au niveau constitutionnel </w:t>
      </w:r>
      <w:r>
        <w:rPr>
          <w:lang w:val="fr-CH"/>
        </w:rPr>
        <w:t>et qu</w:t>
      </w:r>
      <w:r w:rsidR="003E6D68">
        <w:rPr>
          <w:lang w:val="fr-CH"/>
        </w:rPr>
        <w:t>'</w:t>
      </w:r>
      <w:r>
        <w:rPr>
          <w:lang w:val="fr-CH"/>
        </w:rPr>
        <w:t>il met</w:t>
      </w:r>
      <w:r w:rsidR="003E6D68">
        <w:rPr>
          <w:lang w:val="fr-CH"/>
        </w:rPr>
        <w:t xml:space="preserve"> </w:t>
      </w:r>
      <w:r>
        <w:rPr>
          <w:lang w:val="fr-CH"/>
        </w:rPr>
        <w:t xml:space="preserve">en </w:t>
      </w:r>
      <w:r w:rsidR="00FC4AF8">
        <w:rPr>
          <w:lang w:val="fr-CH"/>
        </w:rPr>
        <w:t>oe</w:t>
      </w:r>
      <w:r>
        <w:rPr>
          <w:lang w:val="fr-CH"/>
        </w:rPr>
        <w:t>uvre dans la pratique</w:t>
      </w:r>
      <w:r w:rsidR="00FC4AF8">
        <w:rPr>
          <w:lang w:val="fr-CH"/>
        </w:rPr>
        <w:t>.</w:t>
      </w:r>
    </w:p>
    <w:p w:rsidR="004A6A8C" w:rsidRDefault="00755D41" w:rsidP="00FC4AF8">
      <w:pPr>
        <w:pStyle w:val="ArtNo"/>
      </w:pPr>
      <w:r w:rsidRPr="00FC4AF8">
        <w:t>ARTICLE</w:t>
      </w:r>
      <w:r>
        <w:t xml:space="preserve"> </w:t>
      </w:r>
      <w:r>
        <w:rPr>
          <w:rStyle w:val="href"/>
          <w:color w:val="000000"/>
        </w:rPr>
        <w:t>5</w:t>
      </w:r>
    </w:p>
    <w:p w:rsidR="004A6A8C" w:rsidRDefault="00755D41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55D41" w:rsidP="00981953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047AA3">
        <w:rPr>
          <w:b w:val="0"/>
          <w:bCs/>
        </w:rPr>
        <w:t>(Voir le numéro</w:t>
      </w:r>
      <w:r w:rsidRPr="00260AE5">
        <w:t xml:space="preserve"> 2.1</w:t>
      </w:r>
      <w:r w:rsidRPr="00047AA3">
        <w:rPr>
          <w:b w:val="0"/>
          <w:bCs/>
        </w:rPr>
        <w:t>)</w:t>
      </w:r>
    </w:p>
    <w:p w:rsidR="003753E8" w:rsidRDefault="00755D41">
      <w:pPr>
        <w:pStyle w:val="Proposal"/>
      </w:pPr>
      <w:r>
        <w:rPr>
          <w:u w:val="single"/>
        </w:rPr>
        <w:t>NOC</w:t>
      </w:r>
      <w:r>
        <w:tab/>
        <w:t>BRB/MEX/242/1</w:t>
      </w:r>
    </w:p>
    <w:p w:rsidR="004A6A8C" w:rsidRDefault="00755D41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6"/>
        <w:gridCol w:w="3083"/>
        <w:gridCol w:w="41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55D41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55D41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55D41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55D41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3 400-3 600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</w:t>
            </w:r>
            <w:r w:rsidR="003E6D68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5.430A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Default="009F3D52" w:rsidP="00D94B99">
            <w:pPr>
              <w:pStyle w:val="TableTextS5"/>
              <w:spacing w:before="10" w:after="10"/>
              <w:ind w:left="108" w:right="130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3 400-3 500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Amateur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</w:t>
            </w:r>
            <w:r w:rsidR="003E6D68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5.431A</w:t>
            </w:r>
          </w:p>
          <w:p w:rsidR="004A6A8C" w:rsidRDefault="00755D41" w:rsidP="00D94B99">
            <w:pPr>
              <w:pStyle w:val="TableTextS5"/>
              <w:spacing w:before="10" w:after="10"/>
              <w:ind w:left="170"/>
              <w:rPr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  <w:r w:rsidR="003E6D68">
              <w:rPr>
                <w:color w:val="000000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5.433</w:t>
            </w:r>
            <w:r>
              <w:rPr>
                <w:rStyle w:val="Artref"/>
                <w:color w:val="000000"/>
              </w:rPr>
              <w:br/>
            </w:r>
            <w:r w:rsidRPr="004867BF">
              <w:rPr>
                <w:rStyle w:val="Artref"/>
                <w:color w:val="000000"/>
              </w:rPr>
              <w:t>5.282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3 400-3 500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755D41" w:rsidP="00A43E82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Amateur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</w:t>
            </w:r>
            <w:r w:rsidR="003E6D68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5.432B</w:t>
            </w:r>
          </w:p>
          <w:p w:rsidR="004A6A8C" w:rsidRDefault="00755D41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  <w:r w:rsidR="003E6D68">
              <w:rPr>
                <w:color w:val="000000"/>
              </w:rPr>
              <w:t xml:space="preserve"> </w:t>
            </w:r>
            <w:r w:rsidRPr="00880E98">
              <w:t>5.433</w:t>
            </w:r>
            <w:r w:rsidRPr="00880E98">
              <w:br/>
              <w:t>5.282</w:t>
            </w:r>
            <w:r w:rsidR="003E6D68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</w:t>
            </w:r>
            <w:r w:rsidRPr="00880E98">
              <w:t>.432</w:t>
            </w:r>
            <w:r w:rsidR="003E6D68">
              <w:t xml:space="preserve"> </w:t>
            </w:r>
            <w:r w:rsidRPr="006B6D2D">
              <w:rPr>
                <w:color w:val="000000"/>
              </w:rPr>
              <w:t>5.432A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D56DE3" w:rsidRDefault="00755D41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</w:rPr>
            </w:pPr>
            <w:r w:rsidRPr="006E560B">
              <w:t>5.431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4A6A8C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4A6A8C" w:rsidRPr="002151BA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</w:p>
          <w:p w:rsidR="004A6A8C" w:rsidRDefault="00755D41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="003E6D68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3A7B14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4A6A8C" w:rsidRPr="006B6D2D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="003E6D68"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4A6A8C" w:rsidRDefault="00755D41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="003E6D68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4A6A8C" w:rsidRDefault="00755D41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4A6A8C" w:rsidRPr="002151BA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4A6A8C" w:rsidRPr="00880E98" w:rsidRDefault="00755D41" w:rsidP="00D94B99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8C" w:rsidRDefault="009F3D52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4A6A8C" w:rsidRPr="004867BF" w:rsidRDefault="00755D41" w:rsidP="00D94B99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3A7B14" w:rsidRDefault="00755D41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4A6A8C" w:rsidRDefault="00755D41" w:rsidP="00D94B99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3753E8" w:rsidRDefault="00755D41" w:rsidP="00755D41">
      <w:pPr>
        <w:pStyle w:val="Reasons"/>
      </w:pPr>
      <w:r>
        <w:rPr>
          <w:b/>
        </w:rPr>
        <w:t>Motifs:</w:t>
      </w:r>
      <w:r>
        <w:tab/>
      </w:r>
      <w:r w:rsidR="00ED0A62">
        <w:t>L'identification de la bande 3</w:t>
      </w:r>
      <w:r w:rsidR="008A5C8D">
        <w:t> </w:t>
      </w:r>
      <w:r w:rsidR="00ED0A62">
        <w:t>400</w:t>
      </w:r>
      <w:r>
        <w:t>-</w:t>
      </w:r>
      <w:r w:rsidR="00ED0A62">
        <w:t>4</w:t>
      </w:r>
      <w:r w:rsidR="008A5C8D">
        <w:t> </w:t>
      </w:r>
      <w:r w:rsidR="00ED0A62">
        <w:t xml:space="preserve">200 MHz pour les systèmes IMT pourrait causer des brouillages préjudiciables aux services par satellite et nuire à la </w:t>
      </w:r>
      <w:r w:rsidR="00047AA3">
        <w:t>continuité</w:t>
      </w:r>
      <w:r w:rsidR="00ED0A62">
        <w:t xml:space="preserve"> et à l</w:t>
      </w:r>
      <w:r w:rsidR="00047AA3">
        <w:t>a</w:t>
      </w:r>
      <w:r w:rsidR="00ED0A62">
        <w:t xml:space="preserve"> qualité de fonctionnement</w:t>
      </w:r>
      <w:r w:rsidR="00047AA3">
        <w:t xml:space="preserve"> de ces services</w:t>
      </w:r>
      <w:r w:rsidR="00ED0A62">
        <w:t xml:space="preserve">, dans les pays de la Région 2 où </w:t>
      </w:r>
      <w:r w:rsidR="00047AA3">
        <w:t>ils</w:t>
      </w:r>
      <w:r w:rsidR="00ED0A62">
        <w:t xml:space="preserve"> sont utilisés.</w:t>
      </w:r>
    </w:p>
    <w:p w:rsidR="00BA4292" w:rsidRDefault="00BA4292" w:rsidP="008A5C8D">
      <w:pPr>
        <w:jc w:val="center"/>
      </w:pPr>
      <w:r>
        <w:t>______________</w:t>
      </w:r>
    </w:p>
    <w:sectPr w:rsidR="00BA429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87FDC" w:rsidRDefault="00936D25">
    <w:pPr>
      <w:rPr>
        <w:lang w:val="es-ES_tradnl"/>
      </w:rPr>
    </w:pPr>
    <w:r>
      <w:fldChar w:fldCharType="begin"/>
    </w:r>
    <w:r w:rsidRPr="00F87FDC">
      <w:rPr>
        <w:lang w:val="es-ES_tradnl"/>
      </w:rPr>
      <w:instrText xml:space="preserve"> FILENAME \p  \* MERGEFORMAT </w:instrText>
    </w:r>
    <w:r>
      <w:fldChar w:fldCharType="separate"/>
    </w:r>
    <w:r w:rsidR="009F3D52">
      <w:rPr>
        <w:noProof/>
        <w:lang w:val="es-ES_tradnl"/>
      </w:rPr>
      <w:t>P:\FRA\ITU-R\CONF-R\CMR15\200\242F.docx</w:t>
    </w:r>
    <w:r>
      <w:fldChar w:fldCharType="end"/>
    </w:r>
    <w:r w:rsidRPr="00F87FD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3D52">
      <w:rPr>
        <w:noProof/>
      </w:rPr>
      <w:t>12.11.15</w:t>
    </w:r>
    <w:r>
      <w:fldChar w:fldCharType="end"/>
    </w:r>
    <w:r w:rsidRPr="00F87FD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3D52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254FD" w:rsidRDefault="00936D25">
    <w:pPr>
      <w:pStyle w:val="Footer"/>
      <w:rPr>
        <w:lang w:val="es-ES_tradnl"/>
      </w:rPr>
    </w:pPr>
    <w:r>
      <w:fldChar w:fldCharType="begin"/>
    </w:r>
    <w:r w:rsidRPr="00B254FD">
      <w:rPr>
        <w:lang w:val="es-ES_tradnl"/>
      </w:rPr>
      <w:instrText xml:space="preserve"> FILENAME \p  \* MERGEFORMAT </w:instrText>
    </w:r>
    <w:r>
      <w:fldChar w:fldCharType="separate"/>
    </w:r>
    <w:r w:rsidR="009F3D52">
      <w:rPr>
        <w:lang w:val="es-ES_tradnl"/>
      </w:rPr>
      <w:t>P:\FRA\ITU-R\CONF-R\CMR15\200\242F.docx</w:t>
    </w:r>
    <w:r>
      <w:fldChar w:fldCharType="end"/>
    </w:r>
    <w:r w:rsidR="00B254FD" w:rsidRPr="00B254FD">
      <w:rPr>
        <w:lang w:val="es-ES_tradnl"/>
      </w:rPr>
      <w:t xml:space="preserve"> (390047)</w:t>
    </w:r>
    <w:r w:rsidRPr="00B254F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3D52">
      <w:t>12.11.15</w:t>
    </w:r>
    <w:r>
      <w:fldChar w:fldCharType="end"/>
    </w:r>
    <w:r w:rsidRPr="00B254F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3D52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254FD" w:rsidRDefault="00936D25">
    <w:pPr>
      <w:pStyle w:val="Footer"/>
      <w:rPr>
        <w:lang w:val="es-ES_tradnl"/>
      </w:rPr>
    </w:pPr>
    <w:r>
      <w:fldChar w:fldCharType="begin"/>
    </w:r>
    <w:r w:rsidRPr="00B254FD">
      <w:rPr>
        <w:lang w:val="es-ES_tradnl"/>
      </w:rPr>
      <w:instrText xml:space="preserve"> FILENAME \p  \* MERGEFORMAT </w:instrText>
    </w:r>
    <w:r>
      <w:fldChar w:fldCharType="separate"/>
    </w:r>
    <w:r w:rsidR="009F3D52">
      <w:rPr>
        <w:lang w:val="es-ES_tradnl"/>
      </w:rPr>
      <w:t>P:\FRA\ITU-R\CONF-R\CMR15\200\242F.docx</w:t>
    </w:r>
    <w:r>
      <w:fldChar w:fldCharType="end"/>
    </w:r>
    <w:r w:rsidR="00B254FD" w:rsidRPr="00B254FD">
      <w:rPr>
        <w:lang w:val="es-ES_tradnl"/>
      </w:rPr>
      <w:t xml:space="preserve"> (390047)</w:t>
    </w:r>
    <w:r w:rsidRPr="00B254F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3D52">
      <w:t>12.11.15</w:t>
    </w:r>
    <w:r>
      <w:fldChar w:fldCharType="end"/>
    </w:r>
    <w:r w:rsidRPr="00B254F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3D52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3D52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242-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1069DD-51B3-4D3E-8EC3-3120964BB6C7}"/>
    <w:docVar w:name="dgnword-eventsink" w:val="441044032"/>
  </w:docVars>
  <w:rsids>
    <w:rsidRoot w:val="00BB1D82"/>
    <w:rsid w:val="00007EC7"/>
    <w:rsid w:val="00010B43"/>
    <w:rsid w:val="00016648"/>
    <w:rsid w:val="0003522F"/>
    <w:rsid w:val="00047AA3"/>
    <w:rsid w:val="00080E2C"/>
    <w:rsid w:val="000A4755"/>
    <w:rsid w:val="000B2E0C"/>
    <w:rsid w:val="000B3D0C"/>
    <w:rsid w:val="000B4D65"/>
    <w:rsid w:val="001167B9"/>
    <w:rsid w:val="001267A0"/>
    <w:rsid w:val="00150D0B"/>
    <w:rsid w:val="0015203F"/>
    <w:rsid w:val="00160C64"/>
    <w:rsid w:val="0018169B"/>
    <w:rsid w:val="0019352B"/>
    <w:rsid w:val="001960D0"/>
    <w:rsid w:val="001A2C1E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753E8"/>
    <w:rsid w:val="00393ACD"/>
    <w:rsid w:val="003A583E"/>
    <w:rsid w:val="003E112B"/>
    <w:rsid w:val="003E1D1C"/>
    <w:rsid w:val="003E6D68"/>
    <w:rsid w:val="003E7B05"/>
    <w:rsid w:val="0042720F"/>
    <w:rsid w:val="00466211"/>
    <w:rsid w:val="004834A9"/>
    <w:rsid w:val="004D01FC"/>
    <w:rsid w:val="004E28C3"/>
    <w:rsid w:val="004F1F8E"/>
    <w:rsid w:val="00512A32"/>
    <w:rsid w:val="00575151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2293"/>
    <w:rsid w:val="00701BAE"/>
    <w:rsid w:val="00721F04"/>
    <w:rsid w:val="00730E95"/>
    <w:rsid w:val="007426B9"/>
    <w:rsid w:val="00755D41"/>
    <w:rsid w:val="00764342"/>
    <w:rsid w:val="00774362"/>
    <w:rsid w:val="00786598"/>
    <w:rsid w:val="007A04E8"/>
    <w:rsid w:val="00851625"/>
    <w:rsid w:val="00863C0A"/>
    <w:rsid w:val="008A3120"/>
    <w:rsid w:val="008A5C8D"/>
    <w:rsid w:val="008D41BE"/>
    <w:rsid w:val="008D58D3"/>
    <w:rsid w:val="00923064"/>
    <w:rsid w:val="00930FFD"/>
    <w:rsid w:val="00936D25"/>
    <w:rsid w:val="00941EA5"/>
    <w:rsid w:val="00964700"/>
    <w:rsid w:val="00966C16"/>
    <w:rsid w:val="00981953"/>
    <w:rsid w:val="0098732F"/>
    <w:rsid w:val="009A045F"/>
    <w:rsid w:val="009C7E7C"/>
    <w:rsid w:val="009F3D52"/>
    <w:rsid w:val="00A00473"/>
    <w:rsid w:val="00A03C9B"/>
    <w:rsid w:val="00A37105"/>
    <w:rsid w:val="00A606C3"/>
    <w:rsid w:val="00A83B09"/>
    <w:rsid w:val="00A84541"/>
    <w:rsid w:val="00AE36A0"/>
    <w:rsid w:val="00B00294"/>
    <w:rsid w:val="00B254FD"/>
    <w:rsid w:val="00B64FD0"/>
    <w:rsid w:val="00BA4292"/>
    <w:rsid w:val="00BA5BD0"/>
    <w:rsid w:val="00BB1D82"/>
    <w:rsid w:val="00BE0843"/>
    <w:rsid w:val="00BF26E7"/>
    <w:rsid w:val="00C53FCA"/>
    <w:rsid w:val="00C76BAF"/>
    <w:rsid w:val="00C814B9"/>
    <w:rsid w:val="00CA6B77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524D"/>
    <w:rsid w:val="00DE0932"/>
    <w:rsid w:val="00E03A27"/>
    <w:rsid w:val="00E049F1"/>
    <w:rsid w:val="00E37A25"/>
    <w:rsid w:val="00E46A3C"/>
    <w:rsid w:val="00E537FF"/>
    <w:rsid w:val="00E6539B"/>
    <w:rsid w:val="00E70A31"/>
    <w:rsid w:val="00EA3F38"/>
    <w:rsid w:val="00EA5AB6"/>
    <w:rsid w:val="00EB1389"/>
    <w:rsid w:val="00EC7615"/>
    <w:rsid w:val="00ED0A62"/>
    <w:rsid w:val="00ED16AA"/>
    <w:rsid w:val="00EF662E"/>
    <w:rsid w:val="00F148F1"/>
    <w:rsid w:val="00F345DF"/>
    <w:rsid w:val="00F5718B"/>
    <w:rsid w:val="00F87FDC"/>
    <w:rsid w:val="00FA3BBF"/>
    <w:rsid w:val="00FC41F8"/>
    <w:rsid w:val="00FC4A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4AA88B2-8562-4F20-8633-B3B5D7B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R15-WRC15-C-0242!!MSW-F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4AB99-51F1-41CC-9651-23D8496F747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1243</Words>
  <Characters>6975</Characters>
  <Application>Microsoft Office Word</Application>
  <DocSecurity>0</DocSecurity>
  <Lines>174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R15-WRC15-C-0242!!MSW-F</vt:lpstr>
    </vt:vector>
  </TitlesOfParts>
  <Manager>Secrétariat général - Pool</Manager>
  <Company>Union internationale des télécommunications (UIT)</Company>
  <LinksUpToDate>false</LinksUpToDate>
  <CharactersWithSpaces>8143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R15-WRC15-C-0242!!MSW-F</dc:title>
  <dc:subject>Conférence mondiale des radiocommunications - 2015</dc:subject>
  <dc:creator>Documents Proposals Manager (DPM)</dc:creator>
  <cp:keywords>DPM_v5.2015.11.114_prod</cp:keywords>
  <dc:description/>
  <cp:lastModifiedBy>Royer, Veronique</cp:lastModifiedBy>
  <cp:revision>12</cp:revision>
  <cp:lastPrinted>2015-11-12T09:02:00Z</cp:lastPrinted>
  <dcterms:created xsi:type="dcterms:W3CDTF">2015-11-11T23:27:00Z</dcterms:created>
  <dcterms:modified xsi:type="dcterms:W3CDTF">2015-11-12T09:03:00Z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