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rsidTr="003E1608">
        <w:trPr>
          <w:cantSplit/>
          <w:trHeight w:val="20"/>
        </w:trPr>
        <w:tc>
          <w:tcPr>
            <w:tcW w:w="6619" w:type="dxa"/>
          </w:tcPr>
          <w:p w:rsidR="00461FA7" w:rsidRPr="00584333" w:rsidRDefault="00461FA7" w:rsidP="00461FA7">
            <w:pPr>
              <w:pStyle w:val="LOGO"/>
              <w:framePr w:hSpace="0" w:wrap="auto" w:xAlign="left" w:yAlign="inline"/>
              <w:rPr>
                <w:rtl/>
              </w:rPr>
            </w:pPr>
            <w:r w:rsidRPr="00584333">
              <w:rPr>
                <w:rFonts w:hint="cs"/>
                <w:rtl/>
              </w:rPr>
              <w:t xml:space="preserve">المؤتمر العالمي للاتصالات الراديوية </w:t>
            </w:r>
            <w:r w:rsidRPr="00584333">
              <w:t>(WRC-1</w:t>
            </w:r>
            <w:r>
              <w:t>5</w:t>
            </w:r>
            <w:r w:rsidRPr="00584333">
              <w:t>)</w:t>
            </w:r>
          </w:p>
          <w:p w:rsidR="00280E04" w:rsidRPr="00F16602" w:rsidRDefault="00461FA7" w:rsidP="00461FA7">
            <w:pPr>
              <w:pStyle w:val="LOGO"/>
              <w:framePr w:hSpace="0" w:wrap="auto" w:xAlign="left" w:yAlign="inline"/>
              <w:spacing w:before="120"/>
              <w:rPr>
                <w:rtl/>
              </w:rPr>
            </w:pPr>
            <w:r w:rsidRPr="003E1D90">
              <w:rPr>
                <w:rFonts w:hint="cs"/>
                <w:sz w:val="25"/>
                <w:szCs w:val="38"/>
                <w:rtl/>
              </w:rPr>
              <w:t xml:space="preserve">جنيف، </w:t>
            </w:r>
            <w:r w:rsidRPr="00A809E8">
              <w:rPr>
                <w:sz w:val="24"/>
                <w:szCs w:val="36"/>
              </w:rPr>
              <w:t>2</w:t>
            </w:r>
            <w:r w:rsidRPr="00A809E8">
              <w:rPr>
                <w:rFonts w:hint="cs"/>
                <w:sz w:val="24"/>
                <w:szCs w:val="36"/>
                <w:rtl/>
              </w:rPr>
              <w:t>-</w:t>
            </w:r>
            <w:r w:rsidRPr="00A809E8">
              <w:rPr>
                <w:sz w:val="24"/>
                <w:szCs w:val="36"/>
              </w:rPr>
              <w:t>27</w:t>
            </w:r>
            <w:r w:rsidRPr="003E1D90">
              <w:rPr>
                <w:rFonts w:hint="cs"/>
                <w:sz w:val="25"/>
                <w:szCs w:val="38"/>
                <w:rtl/>
              </w:rPr>
              <w:t xml:space="preserve"> </w:t>
            </w:r>
            <w:r w:rsidRPr="00A809E8">
              <w:rPr>
                <w:sz w:val="25"/>
                <w:szCs w:val="38"/>
                <w:rtl/>
              </w:rPr>
              <w:t>نوفمبر</w:t>
            </w:r>
            <w:r w:rsidRPr="003E1D90">
              <w:rPr>
                <w:rFonts w:hint="cs"/>
                <w:sz w:val="25"/>
                <w:szCs w:val="38"/>
                <w:rtl/>
              </w:rPr>
              <w:t xml:space="preserve"> </w:t>
            </w:r>
            <w:r w:rsidRPr="00A809E8">
              <w:rPr>
                <w:sz w:val="24"/>
                <w:szCs w:val="36"/>
              </w:rPr>
              <w:t>2015</w:t>
            </w:r>
          </w:p>
        </w:tc>
        <w:tc>
          <w:tcPr>
            <w:tcW w:w="3053" w:type="dxa"/>
          </w:tcPr>
          <w:p w:rsidR="00280E04" w:rsidRDefault="006B0D94" w:rsidP="006B0D94">
            <w:pPr>
              <w:jc w:val="right"/>
              <w:rPr>
                <w:rtl/>
                <w:lang w:bidi="ar-EG"/>
              </w:rPr>
            </w:pPr>
            <w:bookmarkStart w:id="0" w:name="ditulogo"/>
            <w:bookmarkEnd w:id="0"/>
            <w:r>
              <w:rPr>
                <w:noProof/>
                <w:lang w:eastAsia="zh-CN"/>
              </w:rPr>
              <w:drawing>
                <wp:inline distT="0" distB="0" distL="0" distR="0" wp14:anchorId="70DED31C" wp14:editId="2F55BBD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280E04" w:rsidTr="003E1608">
        <w:trPr>
          <w:cantSplit/>
          <w:trHeight w:val="20"/>
        </w:trPr>
        <w:tc>
          <w:tcPr>
            <w:tcW w:w="6619" w:type="dxa"/>
            <w:tcBorders>
              <w:bottom w:val="single" w:sz="12" w:space="0" w:color="auto"/>
            </w:tcBorders>
          </w:tcPr>
          <w:p w:rsidR="00280E04" w:rsidRPr="00960962" w:rsidRDefault="006B0D94" w:rsidP="00D44350">
            <w:pPr>
              <w:rPr>
                <w:rtl/>
                <w:lang w:bidi="ar-EG"/>
              </w:rPr>
            </w:pPr>
            <w:r w:rsidRPr="00486C51">
              <w:rPr>
                <w:b/>
                <w:bCs/>
                <w:sz w:val="24"/>
                <w:szCs w:val="32"/>
                <w:rtl/>
              </w:rPr>
              <w:t>الاتحـ</w:t>
            </w:r>
            <w:r w:rsidRPr="00486C51">
              <w:rPr>
                <w:rFonts w:hint="cs"/>
                <w:b/>
                <w:bCs/>
                <w:sz w:val="24"/>
                <w:szCs w:val="32"/>
                <w:rtl/>
              </w:rPr>
              <w:t>ـــ</w:t>
            </w:r>
            <w:r w:rsidRPr="00486C51">
              <w:rPr>
                <w:b/>
                <w:bCs/>
                <w:sz w:val="24"/>
                <w:szCs w:val="32"/>
                <w:rtl/>
              </w:rPr>
              <w:t>اد</w:t>
            </w:r>
            <w:r w:rsidRPr="00486C51">
              <w:rPr>
                <w:rFonts w:hint="cs"/>
                <w:b/>
                <w:bCs/>
                <w:sz w:val="24"/>
                <w:szCs w:val="32"/>
                <w:rtl/>
              </w:rPr>
              <w:t xml:space="preserve"> </w:t>
            </w:r>
            <w:r w:rsidRPr="00486C51">
              <w:rPr>
                <w:b/>
                <w:bCs/>
                <w:sz w:val="24"/>
                <w:szCs w:val="32"/>
                <w:rtl/>
              </w:rPr>
              <w:t>ال</w:t>
            </w:r>
            <w:r w:rsidRPr="00486C51">
              <w:rPr>
                <w:rFonts w:hint="cs"/>
                <w:b/>
                <w:bCs/>
                <w:sz w:val="24"/>
                <w:szCs w:val="32"/>
                <w:rtl/>
              </w:rPr>
              <w:t>ـ</w:t>
            </w:r>
            <w:r w:rsidRPr="00486C51">
              <w:rPr>
                <w:b/>
                <w:bCs/>
                <w:sz w:val="24"/>
                <w:szCs w:val="32"/>
                <w:rtl/>
              </w:rPr>
              <w:t>دولـ</w:t>
            </w:r>
            <w:r w:rsidRPr="00486C51">
              <w:rPr>
                <w:rFonts w:hint="cs"/>
                <w:b/>
                <w:bCs/>
                <w:sz w:val="24"/>
                <w:szCs w:val="32"/>
                <w:rtl/>
              </w:rPr>
              <w:t>ـــ</w:t>
            </w:r>
            <w:r w:rsidRPr="00486C51">
              <w:rPr>
                <w:b/>
                <w:bCs/>
                <w:sz w:val="24"/>
                <w:szCs w:val="32"/>
                <w:rtl/>
              </w:rPr>
              <w:t>ي للاتص</w:t>
            </w:r>
            <w:r w:rsidRPr="00486C51">
              <w:rPr>
                <w:rFonts w:hint="cs"/>
                <w:b/>
                <w:bCs/>
                <w:sz w:val="24"/>
                <w:szCs w:val="32"/>
                <w:rtl/>
              </w:rPr>
              <w:t>ـ</w:t>
            </w:r>
            <w:r w:rsidRPr="00486C51">
              <w:rPr>
                <w:b/>
                <w:bCs/>
                <w:sz w:val="24"/>
                <w:szCs w:val="32"/>
                <w:rtl/>
              </w:rPr>
              <w:t>ـ</w:t>
            </w:r>
            <w:r w:rsidRPr="00486C51">
              <w:rPr>
                <w:rFonts w:hint="cs"/>
                <w:b/>
                <w:bCs/>
                <w:sz w:val="24"/>
                <w:szCs w:val="32"/>
                <w:rtl/>
              </w:rPr>
              <w:t>ــ</w:t>
            </w:r>
            <w:r w:rsidRPr="00486C51">
              <w:rPr>
                <w:b/>
                <w:bCs/>
                <w:sz w:val="24"/>
                <w:szCs w:val="32"/>
                <w:rtl/>
              </w:rPr>
              <w:t>الات</w:t>
            </w:r>
          </w:p>
        </w:tc>
        <w:tc>
          <w:tcPr>
            <w:tcW w:w="3053" w:type="dxa"/>
            <w:tcBorders>
              <w:bottom w:val="single" w:sz="12" w:space="0" w:color="auto"/>
            </w:tcBorders>
          </w:tcPr>
          <w:p w:rsidR="00280E04" w:rsidRPr="00A9645C" w:rsidRDefault="00280E04" w:rsidP="00D44350">
            <w:pPr>
              <w:rPr>
                <w:lang w:bidi="ar-EG"/>
              </w:rPr>
            </w:pPr>
          </w:p>
        </w:tc>
      </w:tr>
      <w:tr w:rsidR="00280E04" w:rsidTr="003E1608">
        <w:trPr>
          <w:cantSplit/>
          <w:trHeight w:val="20"/>
        </w:trPr>
        <w:tc>
          <w:tcPr>
            <w:tcW w:w="6619" w:type="dxa"/>
            <w:tcBorders>
              <w:top w:val="single" w:sz="12" w:space="0" w:color="auto"/>
            </w:tcBorders>
          </w:tcPr>
          <w:p w:rsidR="00280E04" w:rsidRPr="00BD6EF3" w:rsidRDefault="00280E04" w:rsidP="00D44350">
            <w:pPr>
              <w:pStyle w:val="Adress"/>
              <w:framePr w:hSpace="0" w:wrap="auto" w:xAlign="left" w:yAlign="inline"/>
              <w:rPr>
                <w:rtl/>
              </w:rPr>
            </w:pPr>
          </w:p>
        </w:tc>
        <w:tc>
          <w:tcPr>
            <w:tcW w:w="3053" w:type="dxa"/>
            <w:tcBorders>
              <w:top w:val="single" w:sz="12" w:space="0" w:color="auto"/>
            </w:tcBorders>
          </w:tcPr>
          <w:p w:rsidR="00280E04" w:rsidRPr="00BD6EF3" w:rsidRDefault="00280E04" w:rsidP="00D44350">
            <w:pPr>
              <w:pStyle w:val="Adress"/>
              <w:framePr w:hSpace="0" w:wrap="auto" w:xAlign="left" w:yAlign="inline"/>
            </w:pPr>
          </w:p>
        </w:tc>
      </w:tr>
      <w:tr w:rsidR="003E1608" w:rsidTr="003E1608">
        <w:trPr>
          <w:cantSplit/>
        </w:trPr>
        <w:tc>
          <w:tcPr>
            <w:tcW w:w="6619" w:type="dxa"/>
          </w:tcPr>
          <w:p w:rsidR="003E1608" w:rsidRPr="00DC35BA" w:rsidRDefault="00E165ED" w:rsidP="00FD21FD">
            <w:pPr>
              <w:pStyle w:val="Committee"/>
              <w:framePr w:hSpace="0" w:wrap="auto" w:hAnchor="text" w:yAlign="inline"/>
              <w:tabs>
                <w:tab w:val="clear" w:pos="2268"/>
                <w:tab w:val="left" w:pos="2448"/>
              </w:tabs>
              <w:bidi/>
              <w:spacing w:before="60" w:line="168" w:lineRule="auto"/>
              <w:rPr>
                <w:rFonts w:ascii="Verdana Bold" w:hAnsi="Verdana Bold" w:cs="Traditional Arabic"/>
                <w:bCs/>
                <w:sz w:val="19"/>
                <w:szCs w:val="30"/>
              </w:rPr>
            </w:pPr>
            <w:r w:rsidRPr="00DC35BA">
              <w:rPr>
                <w:rFonts w:ascii="Verdana Bold" w:hAnsi="Verdana Bold" w:cs="Traditional Arabic" w:hint="cs"/>
                <w:bCs/>
                <w:sz w:val="19"/>
                <w:szCs w:val="30"/>
                <w:rtl/>
              </w:rPr>
              <w:t>اللجنة</w:t>
            </w:r>
            <w:r w:rsidRPr="00DC35BA">
              <w:rPr>
                <w:rFonts w:ascii="Verdana Bold" w:hAnsi="Verdana Bold" w:cs="Traditional Arabic"/>
                <w:bCs/>
                <w:sz w:val="19"/>
                <w:szCs w:val="30"/>
                <w:rtl/>
              </w:rPr>
              <w:t xml:space="preserve"> </w:t>
            </w:r>
            <w:r w:rsidR="00DC35BA" w:rsidRPr="00DC35BA">
              <w:rPr>
                <w:rFonts w:ascii="Verdana Bold" w:hAnsi="Verdana Bold" w:cs="Traditional Arabic"/>
                <w:bCs/>
                <w:sz w:val="19"/>
                <w:szCs w:val="30"/>
              </w:rPr>
              <w:t>5</w:t>
            </w:r>
          </w:p>
        </w:tc>
        <w:tc>
          <w:tcPr>
            <w:tcW w:w="3053" w:type="dxa"/>
            <w:vAlign w:val="center"/>
          </w:tcPr>
          <w:p w:rsidR="003E1608" w:rsidRPr="00DC35BA" w:rsidRDefault="003E1608" w:rsidP="00FD21FD">
            <w:pPr>
              <w:pStyle w:val="Adress"/>
              <w:framePr w:hSpace="0" w:wrap="auto" w:xAlign="left" w:yAlign="inline"/>
              <w:rPr>
                <w:rFonts w:asciiTheme="minorHAnsi" w:hAnsiTheme="minorHAnsi"/>
                <w:rtl/>
              </w:rPr>
            </w:pPr>
            <w:r w:rsidRPr="00DC35BA">
              <w:rPr>
                <w:rtl/>
              </w:rPr>
              <w:t xml:space="preserve">الوثيقة </w:t>
            </w:r>
            <w:r w:rsidRPr="00DC35BA">
              <w:t>264-</w:t>
            </w:r>
            <w:r w:rsidR="00DC35BA">
              <w:t>A</w:t>
            </w:r>
          </w:p>
        </w:tc>
      </w:tr>
      <w:tr w:rsidR="00764079" w:rsidTr="003E1608">
        <w:trPr>
          <w:cantSplit/>
        </w:trPr>
        <w:tc>
          <w:tcPr>
            <w:tcW w:w="6619" w:type="dxa"/>
          </w:tcPr>
          <w:p w:rsidR="00764079" w:rsidRPr="00BD6EF3" w:rsidRDefault="00764079" w:rsidP="00FD21FD">
            <w:pPr>
              <w:pStyle w:val="Adress"/>
              <w:framePr w:hSpace="0" w:wrap="auto" w:xAlign="left" w:yAlign="inline"/>
              <w:rPr>
                <w:rtl/>
              </w:rPr>
            </w:pPr>
          </w:p>
        </w:tc>
        <w:tc>
          <w:tcPr>
            <w:tcW w:w="3053" w:type="dxa"/>
            <w:vAlign w:val="center"/>
          </w:tcPr>
          <w:p w:rsidR="00764079" w:rsidRPr="00DC35BA" w:rsidRDefault="00764079" w:rsidP="00FD21FD">
            <w:pPr>
              <w:pStyle w:val="Adress"/>
              <w:framePr w:hSpace="0" w:wrap="auto" w:xAlign="left" w:yAlign="inline"/>
              <w:rPr>
                <w:rtl/>
              </w:rPr>
            </w:pPr>
            <w:r w:rsidRPr="00DC35BA">
              <w:rPr>
                <w:rFonts w:eastAsia="SimSun"/>
              </w:rPr>
              <w:t>12</w:t>
            </w:r>
            <w:r w:rsidRPr="00DC35BA">
              <w:rPr>
                <w:rFonts w:eastAsia="SimSun"/>
                <w:rtl/>
              </w:rPr>
              <w:t xml:space="preserve"> نوفمبر </w:t>
            </w:r>
            <w:r w:rsidRPr="00DC35BA">
              <w:rPr>
                <w:rFonts w:eastAsia="SimSun"/>
              </w:rPr>
              <w:t>2015</w:t>
            </w:r>
          </w:p>
        </w:tc>
      </w:tr>
      <w:tr w:rsidR="00764079" w:rsidTr="003E1608">
        <w:trPr>
          <w:cantSplit/>
        </w:trPr>
        <w:tc>
          <w:tcPr>
            <w:tcW w:w="6619" w:type="dxa"/>
          </w:tcPr>
          <w:p w:rsidR="00764079" w:rsidRPr="00BD6EF3" w:rsidRDefault="00764079" w:rsidP="00FD21FD">
            <w:pPr>
              <w:pStyle w:val="Adress"/>
              <w:framePr w:hSpace="0" w:wrap="auto" w:xAlign="left" w:yAlign="inline"/>
              <w:rPr>
                <w:rFonts w:eastAsia="SimSun" w:hint="eastAsia"/>
                <w:rtl/>
              </w:rPr>
            </w:pPr>
          </w:p>
        </w:tc>
        <w:tc>
          <w:tcPr>
            <w:tcW w:w="3053" w:type="dxa"/>
            <w:vAlign w:val="center"/>
          </w:tcPr>
          <w:p w:rsidR="00764079" w:rsidRPr="00DC35BA" w:rsidRDefault="00764079" w:rsidP="00FD21FD">
            <w:pPr>
              <w:pStyle w:val="Adress"/>
              <w:framePr w:hSpace="0" w:wrap="auto" w:xAlign="left" w:yAlign="inline"/>
              <w:rPr>
                <w:rFonts w:eastAsia="SimSun" w:hint="eastAsia"/>
              </w:rPr>
            </w:pPr>
            <w:r w:rsidRPr="00DC35BA">
              <w:rPr>
                <w:rFonts w:eastAsia="SimSun"/>
                <w:rtl/>
              </w:rPr>
              <w:t>الأصل: بالإنكليزية</w:t>
            </w:r>
          </w:p>
        </w:tc>
      </w:tr>
      <w:tr w:rsidR="00764079" w:rsidTr="003E1608">
        <w:trPr>
          <w:cantSplit/>
        </w:trPr>
        <w:tc>
          <w:tcPr>
            <w:tcW w:w="9672" w:type="dxa"/>
            <w:gridSpan w:val="2"/>
          </w:tcPr>
          <w:p w:rsidR="00764079" w:rsidRDefault="00764079" w:rsidP="00D44350">
            <w:pPr>
              <w:pStyle w:val="Adress"/>
              <w:framePr w:hSpace="0" w:wrap="auto" w:xAlign="left" w:yAlign="inline"/>
              <w:rPr>
                <w:rFonts w:eastAsia="SimSun" w:hint="eastAsia"/>
              </w:rPr>
            </w:pPr>
          </w:p>
        </w:tc>
      </w:tr>
      <w:tr w:rsidR="00764079" w:rsidTr="003E1608">
        <w:trPr>
          <w:cantSplit/>
        </w:trPr>
        <w:tc>
          <w:tcPr>
            <w:tcW w:w="9672" w:type="dxa"/>
            <w:gridSpan w:val="2"/>
          </w:tcPr>
          <w:p w:rsidR="00764079" w:rsidRPr="00E621A3" w:rsidRDefault="00764079" w:rsidP="00D44350">
            <w:pPr>
              <w:pStyle w:val="Source"/>
              <w:rPr>
                <w:rtl/>
              </w:rPr>
            </w:pPr>
            <w:r w:rsidRPr="008204AC">
              <w:rPr>
                <w:rtl/>
              </w:rPr>
              <w:t>مملكة هولندا/الاتحاد السويسري</w:t>
            </w:r>
          </w:p>
        </w:tc>
      </w:tr>
      <w:tr w:rsidR="00764079" w:rsidTr="003E1608">
        <w:trPr>
          <w:cantSplit/>
        </w:trPr>
        <w:tc>
          <w:tcPr>
            <w:tcW w:w="9672" w:type="dxa"/>
            <w:gridSpan w:val="2"/>
          </w:tcPr>
          <w:p w:rsidR="00764079" w:rsidRPr="00DC35BA" w:rsidRDefault="00DC35BA" w:rsidP="00D44350">
            <w:pPr>
              <w:pStyle w:val="Title1"/>
              <w:spacing w:before="240"/>
              <w:rPr>
                <w:rtl/>
              </w:rPr>
            </w:pPr>
            <w:r w:rsidRPr="00DC35BA">
              <w:rPr>
                <w:rtl/>
              </w:rPr>
              <w:t>مقترحات بشأن أعمال ال‍مؤت‍مر</w:t>
            </w:r>
          </w:p>
        </w:tc>
      </w:tr>
      <w:tr w:rsidR="00764079" w:rsidTr="003E1608">
        <w:trPr>
          <w:cantSplit/>
        </w:trPr>
        <w:tc>
          <w:tcPr>
            <w:tcW w:w="9672" w:type="dxa"/>
            <w:gridSpan w:val="2"/>
          </w:tcPr>
          <w:p w:rsidR="00764079" w:rsidRPr="00BD6EF3" w:rsidRDefault="00764079" w:rsidP="00D44350">
            <w:pPr>
              <w:pStyle w:val="Title2"/>
              <w:rPr>
                <w:rtl/>
              </w:rPr>
            </w:pPr>
          </w:p>
        </w:tc>
      </w:tr>
      <w:tr w:rsidR="00764079" w:rsidTr="003E1608">
        <w:trPr>
          <w:cantSplit/>
        </w:trPr>
        <w:tc>
          <w:tcPr>
            <w:tcW w:w="9672" w:type="dxa"/>
            <w:gridSpan w:val="2"/>
          </w:tcPr>
          <w:p w:rsidR="00764079" w:rsidRPr="002919E1" w:rsidRDefault="00764079" w:rsidP="00D44350">
            <w:pPr>
              <w:pStyle w:val="Agendaitem"/>
              <w:spacing w:before="240" w:line="192" w:lineRule="auto"/>
            </w:pPr>
            <w:r w:rsidRPr="008204AC">
              <w:rPr>
                <w:rtl/>
              </w:rPr>
              <w:t xml:space="preserve">البنـد </w:t>
            </w:r>
            <w:r w:rsidR="00DC35BA" w:rsidRPr="00431196">
              <w:rPr>
                <w:rFonts w:eastAsia="SimSun"/>
              </w:rPr>
              <w:t>2.9</w:t>
            </w:r>
            <w:r w:rsidRPr="008204AC">
              <w:rPr>
                <w:rtl/>
              </w:rPr>
              <w:t xml:space="preserve"> من جدول الأعمال</w:t>
            </w:r>
          </w:p>
        </w:tc>
      </w:tr>
    </w:tbl>
    <w:p w:rsidR="00534840" w:rsidRPr="00431196" w:rsidRDefault="00D92E75" w:rsidP="005E62EE">
      <w:pPr>
        <w:pStyle w:val="Normalaftertitle"/>
        <w:rPr>
          <w:rFonts w:eastAsia="SimSun"/>
          <w:rtl/>
        </w:rPr>
      </w:pPr>
      <w:r w:rsidRPr="00431196">
        <w:rPr>
          <w:rFonts w:eastAsia="SimSun"/>
        </w:rPr>
        <w:t>9</w:t>
      </w:r>
      <w:r w:rsidRPr="00431196">
        <w:rPr>
          <w:rFonts w:eastAsia="SimSun" w:hint="cs"/>
          <w:rtl/>
        </w:rPr>
        <w:tab/>
        <w:t xml:space="preserve">النظر في تقرير مدير مكتب الاتصالات الراديوية وإقراره، وفقاً للمادة </w:t>
      </w:r>
      <w:r w:rsidRPr="00431196">
        <w:rPr>
          <w:rFonts w:eastAsia="SimSun"/>
        </w:rPr>
        <w:t>7</w:t>
      </w:r>
      <w:r w:rsidRPr="00431196">
        <w:rPr>
          <w:rFonts w:eastAsia="SimSun" w:hint="cs"/>
          <w:rtl/>
        </w:rPr>
        <w:t xml:space="preserve"> من الاتفاقية:</w:t>
      </w:r>
    </w:p>
    <w:p w:rsidR="00BE4A66" w:rsidRDefault="00D92E75" w:rsidP="00431196">
      <w:pPr>
        <w:rPr>
          <w:rFonts w:eastAsia="SimSun"/>
          <w:rtl/>
          <w:lang w:bidi="ar-EG"/>
        </w:rPr>
      </w:pPr>
      <w:r w:rsidRPr="00431196">
        <w:rPr>
          <w:rFonts w:eastAsia="SimSun"/>
        </w:rPr>
        <w:t>2.9</w:t>
      </w:r>
      <w:r w:rsidRPr="00431196">
        <w:rPr>
          <w:rFonts w:eastAsia="SimSun" w:hint="cs"/>
          <w:rtl/>
        </w:rPr>
        <w:tab/>
        <w:t>بشأن أي صعوبات أو حالات تضارب ووجهت في تطبيق لوائح الراديو؛</w:t>
      </w:r>
    </w:p>
    <w:p w:rsidR="00B14BB7" w:rsidRPr="00431196" w:rsidRDefault="00B14BB7" w:rsidP="00431196">
      <w:pPr>
        <w:rPr>
          <w:rFonts w:eastAsia="SimSun" w:hint="cs"/>
          <w:rtl/>
          <w:lang w:bidi="ar-EG"/>
        </w:rPr>
      </w:pPr>
      <w:bookmarkStart w:id="1" w:name="_GoBack"/>
      <w:bookmarkEnd w:id="1"/>
    </w:p>
    <w:p w:rsidR="00D92E75" w:rsidRDefault="00153296" w:rsidP="00153296">
      <w:pPr>
        <w:pStyle w:val="Headingb"/>
        <w:rPr>
          <w:rtl/>
        </w:rPr>
      </w:pPr>
      <w:r>
        <w:rPr>
          <w:rFonts w:hint="cs"/>
          <w:rtl/>
        </w:rPr>
        <w:t>معلومات أساسية</w:t>
      </w:r>
    </w:p>
    <w:p w:rsidR="00F94F90" w:rsidRDefault="00153296" w:rsidP="00A64A4B">
      <w:pPr>
        <w:rPr>
          <w:rtl/>
        </w:rPr>
      </w:pPr>
      <w:r w:rsidRPr="00153296">
        <w:rPr>
          <w:rFonts w:hint="cs"/>
          <w:rtl/>
        </w:rPr>
        <w:t xml:space="preserve">في القسم </w:t>
      </w:r>
      <w:r w:rsidRPr="00153296">
        <w:t>4.1.2.3</w:t>
      </w:r>
      <w:r w:rsidRPr="00153296">
        <w:rPr>
          <w:rFonts w:hint="cs"/>
          <w:rtl/>
        </w:rPr>
        <w:t xml:space="preserve"> من تقرير المدير (الوثيقة </w:t>
      </w:r>
      <w:r w:rsidRPr="00153296">
        <w:t>CMR15/4(Add.2)</w:t>
      </w:r>
      <w:r w:rsidRPr="00153296">
        <w:rPr>
          <w:rFonts w:hint="cs"/>
          <w:rtl/>
        </w:rPr>
        <w:t>)</w:t>
      </w:r>
      <w:r>
        <w:rPr>
          <w:rFonts w:hint="cs"/>
          <w:rtl/>
        </w:rPr>
        <w:t xml:space="preserve"> تحت العنوان "مركبات الإطلاق والرحلات دون المدارية (الوثيقة</w:t>
      </w:r>
      <w:r w:rsidR="004E6943">
        <w:rPr>
          <w:rFonts w:hint="eastAsia"/>
          <w:rtl/>
        </w:rPr>
        <w:t> </w:t>
      </w:r>
      <w:r w:rsidRPr="000C2F07">
        <w:t>WRC12</w:t>
      </w:r>
      <w:r>
        <w:t>/</w:t>
      </w:r>
      <w:r w:rsidRPr="000C2F07">
        <w:t>4(Add.2)</w:t>
      </w:r>
      <w:r>
        <w:rPr>
          <w:rFonts w:hint="cs"/>
          <w:rtl/>
          <w:lang w:bidi="ar-EG"/>
        </w:rPr>
        <w:t xml:space="preserve">، الفقرة </w:t>
      </w:r>
      <w:r w:rsidRPr="000C2F07">
        <w:t>9</w:t>
      </w:r>
      <w:r>
        <w:t>.3.3</w:t>
      </w:r>
      <w:r>
        <w:rPr>
          <w:rFonts w:hint="cs"/>
          <w:rtl/>
          <w:lang w:bidi="ar-EG"/>
        </w:rPr>
        <w:t>)</w:t>
      </w:r>
      <w:r w:rsidR="004E6943">
        <w:rPr>
          <w:rFonts w:hint="cs"/>
          <w:rtl/>
          <w:lang w:bidi="ar-EG"/>
        </w:rPr>
        <w:t>"،</w:t>
      </w:r>
      <w:r>
        <w:rPr>
          <w:rFonts w:hint="cs"/>
          <w:rtl/>
          <w:lang w:bidi="ar-EG"/>
        </w:rPr>
        <w:t xml:space="preserve"> ذك</w:t>
      </w:r>
      <w:r w:rsidR="00866E68">
        <w:rPr>
          <w:rFonts w:hint="cs"/>
          <w:rtl/>
          <w:lang w:bidi="ar-EG"/>
        </w:rPr>
        <w:t>ّ</w:t>
      </w:r>
      <w:r>
        <w:rPr>
          <w:rFonts w:hint="cs"/>
          <w:rtl/>
          <w:lang w:bidi="ar-EG"/>
        </w:rPr>
        <w:t xml:space="preserve">ر مدير مكتب الاتصالات الراديوية بأن بعض الإدارات طبقت </w:t>
      </w:r>
      <w:r w:rsidR="00DC35BA" w:rsidRPr="00DC35BA">
        <w:rPr>
          <w:rtl/>
        </w:rPr>
        <w:t>إجراء المادة</w:t>
      </w:r>
      <w:r w:rsidR="00A64A4B">
        <w:rPr>
          <w:rFonts w:hint="cs"/>
          <w:rtl/>
        </w:rPr>
        <w:t> </w:t>
      </w:r>
      <w:r w:rsidR="00DC35BA">
        <w:t>9</w:t>
      </w:r>
      <w:r w:rsidR="00DC35BA" w:rsidRPr="00DC35BA">
        <w:rPr>
          <w:rtl/>
        </w:rPr>
        <w:t xml:space="preserve"> من لوائح الراديو وسجلت تخصيصات ترددات لمركبات إطلاق السواتل </w:t>
      </w:r>
      <w:r>
        <w:rPr>
          <w:rFonts w:hint="cs"/>
          <w:rtl/>
        </w:rPr>
        <w:t xml:space="preserve">والرحلات دون المدارية </w:t>
      </w:r>
      <w:r w:rsidR="00DC35BA" w:rsidRPr="00DC35BA">
        <w:rPr>
          <w:rtl/>
        </w:rPr>
        <w:t xml:space="preserve">في السجل الأساسي الدولي للترددات. وبالإضافة إلى </w:t>
      </w:r>
      <w:r>
        <w:rPr>
          <w:rFonts w:hint="cs"/>
          <w:rtl/>
        </w:rPr>
        <w:t>مركبات</w:t>
      </w:r>
      <w:r w:rsidR="00DC35BA" w:rsidRPr="00DC35BA">
        <w:rPr>
          <w:rtl/>
        </w:rPr>
        <w:t xml:space="preserve"> إطلاق السواتل، </w:t>
      </w:r>
      <w:r>
        <w:rPr>
          <w:rFonts w:hint="cs"/>
          <w:rtl/>
        </w:rPr>
        <w:t>يشهد المكتب المزيد من الأنشطة والمشاريع قيد التطوير و</w:t>
      </w:r>
      <w:r w:rsidR="00DC35BA" w:rsidRPr="00DC35BA">
        <w:rPr>
          <w:rtl/>
        </w:rPr>
        <w:t xml:space="preserve">التي تستعمل مركبات الرحلات دون المدارية. </w:t>
      </w:r>
      <w:r>
        <w:rPr>
          <w:rFonts w:hint="cs"/>
          <w:rtl/>
        </w:rPr>
        <w:t>ومن غير المزمع أن تبقى هذه المركبات في الفضاء الخارجي لمدة طويلة. وفي الواقع، قد تختلف هذه المدة من دقائق أو</w:t>
      </w:r>
      <w:r>
        <w:rPr>
          <w:rFonts w:hint="eastAsia"/>
          <w:rtl/>
        </w:rPr>
        <w:t> </w:t>
      </w:r>
      <w:r>
        <w:rPr>
          <w:rFonts w:hint="cs"/>
          <w:rtl/>
        </w:rPr>
        <w:t>ساعات وصولاً إلى عدد قليل من الأيام قبل العودة ثانية إلى الأرض</w:t>
      </w:r>
      <w:r w:rsidR="00F94F90">
        <w:rPr>
          <w:rFonts w:hint="cs"/>
          <w:rtl/>
        </w:rPr>
        <w:t>.</w:t>
      </w:r>
    </w:p>
    <w:p w:rsidR="00DC35BA" w:rsidRDefault="00153296" w:rsidP="00153296">
      <w:pPr>
        <w:rPr>
          <w:rtl/>
        </w:rPr>
      </w:pPr>
      <w:r>
        <w:rPr>
          <w:rFonts w:hint="cs"/>
          <w:rtl/>
        </w:rPr>
        <w:t>ويرى المدير أنه "</w:t>
      </w:r>
      <w:r w:rsidR="00DC35BA" w:rsidRPr="00DC35BA">
        <w:rPr>
          <w:rtl/>
        </w:rPr>
        <w:t>في هذا الصدد، قد يرغب المؤتمر في النظر في</w:t>
      </w:r>
      <w:r>
        <w:rPr>
          <w:rFonts w:hint="cs"/>
          <w:rtl/>
        </w:rPr>
        <w:t> </w:t>
      </w:r>
      <w:r w:rsidR="00DC35BA" w:rsidRPr="00DC35BA">
        <w:rPr>
          <w:rtl/>
        </w:rPr>
        <w:t xml:space="preserve">مدى ملائمة </w:t>
      </w:r>
      <w:r>
        <w:rPr>
          <w:rFonts w:hint="cs"/>
          <w:rtl/>
        </w:rPr>
        <w:t>التعاريف وتوزيعات الخدمات و</w:t>
      </w:r>
      <w:r w:rsidR="00DC35BA" w:rsidRPr="00DC35BA">
        <w:rPr>
          <w:rtl/>
        </w:rPr>
        <w:t xml:space="preserve">الإجراءات القائمة الواجبة التطبيق على هذه المحطات/المركبات </w:t>
      </w:r>
      <w:r>
        <w:rPr>
          <w:rFonts w:hint="cs"/>
          <w:rtl/>
        </w:rPr>
        <w:t xml:space="preserve">والمعلومات التي يجب أن تقدمها </w:t>
      </w:r>
      <w:r w:rsidR="00DC35BA" w:rsidRPr="00DC35BA">
        <w:rPr>
          <w:rtl/>
        </w:rPr>
        <w:t>ومراجعتها طبقاً لذلك وتشجيع الإدارات أيضاً على تسجيل تخصيصات الترددات التي تستعملها هذه المحطات</w:t>
      </w:r>
      <w:r>
        <w:rPr>
          <w:rFonts w:hint="cs"/>
          <w:rtl/>
        </w:rPr>
        <w:t>".</w:t>
      </w:r>
    </w:p>
    <w:p w:rsidR="00D92E75" w:rsidRDefault="00153296" w:rsidP="005D6D48">
      <w:pPr>
        <w:rPr>
          <w:rtl/>
        </w:rPr>
      </w:pPr>
      <w:r>
        <w:rPr>
          <w:rFonts w:hint="cs"/>
          <w:rtl/>
        </w:rPr>
        <w:t>وتقترح هذه المساهمة أسلوب معالجة هذه المسألة التي أثارها مدير مكتب الاتصالات الراديوية.</w:t>
      </w:r>
    </w:p>
    <w:p w:rsidR="00153296" w:rsidRDefault="00153296" w:rsidP="00866E68">
      <w:pPr>
        <w:rPr>
          <w:rtl/>
        </w:rPr>
      </w:pPr>
      <w:r>
        <w:rPr>
          <w:rFonts w:hint="cs"/>
          <w:rtl/>
        </w:rPr>
        <w:t xml:space="preserve">وقد أضافت جمعية الاتصالات الراديوية الأخيرة </w:t>
      </w:r>
      <w:r>
        <w:t>(RA-15)</w:t>
      </w:r>
      <w:r>
        <w:rPr>
          <w:rFonts w:hint="cs"/>
          <w:rtl/>
          <w:lang w:bidi="ar-EG"/>
        </w:rPr>
        <w:t xml:space="preserve"> مسألة جديدة </w:t>
      </w:r>
      <w:r w:rsidRPr="000C2F07">
        <w:t>ITU-R 259/5</w:t>
      </w:r>
      <w:r>
        <w:rPr>
          <w:rFonts w:hint="cs"/>
          <w:rtl/>
        </w:rPr>
        <w:t xml:space="preserve">، الجوانب التشغيلية والتنظيمية الراديوية للطائرات التي تعمل في المستوى الأعلى من الغلاف الجوي، على </w:t>
      </w:r>
      <w:r w:rsidR="00866E68">
        <w:rPr>
          <w:rFonts w:hint="cs"/>
          <w:rtl/>
        </w:rPr>
        <w:t>أ</w:t>
      </w:r>
      <w:r>
        <w:rPr>
          <w:rFonts w:hint="cs"/>
          <w:rtl/>
        </w:rPr>
        <w:t>ن تدرج نتائج هذه الدراسات في توصيات و/أو تقارير لقطاع الاتصالات الراديوية.</w:t>
      </w:r>
    </w:p>
    <w:p w:rsidR="00F94F90" w:rsidRDefault="00F94F90" w:rsidP="00F94F90">
      <w:pPr>
        <w:rPr>
          <w:rtl/>
          <w:lang w:bidi="ar-EG"/>
        </w:rPr>
      </w:pPr>
      <w:r>
        <w:rPr>
          <w:rFonts w:hint="cs"/>
          <w:rtl/>
        </w:rPr>
        <w:lastRenderedPageBreak/>
        <w:t>وتقترح هذه المساهمة اعتما</w:t>
      </w:r>
      <w:r w:rsidR="00EB07C9">
        <w:rPr>
          <w:rFonts w:hint="cs"/>
          <w:rtl/>
        </w:rPr>
        <w:t>د</w:t>
      </w:r>
      <w:r>
        <w:rPr>
          <w:rFonts w:hint="cs"/>
          <w:rtl/>
        </w:rPr>
        <w:t xml:space="preserve"> قرار للمؤتمر </w:t>
      </w:r>
      <w:r>
        <w:t>WRC-15</w:t>
      </w:r>
      <w:r>
        <w:rPr>
          <w:rFonts w:hint="cs"/>
          <w:rtl/>
          <w:lang w:bidi="ar-EG"/>
        </w:rPr>
        <w:t xml:space="preserve"> يدعو قطاع الاتصالات الراديوية إلى إجراء دراسات من أجل اعتماد توصية جديدة أو تقرير جديد للقطاع لتوجيه ا</w:t>
      </w:r>
      <w:r w:rsidR="00EB07C9">
        <w:rPr>
          <w:rFonts w:hint="cs"/>
          <w:rtl/>
          <w:lang w:bidi="ar-EG"/>
        </w:rPr>
        <w:t xml:space="preserve">لإدارات التي تخطط لتنفيذ أنشطة </w:t>
      </w:r>
      <w:r>
        <w:rPr>
          <w:rFonts w:hint="cs"/>
          <w:rtl/>
          <w:lang w:bidi="ar-EG"/>
        </w:rPr>
        <w:t>لرحلات دون مدارية.</w:t>
      </w:r>
    </w:p>
    <w:p w:rsidR="00F07E43" w:rsidRDefault="00D92E75">
      <w:pPr>
        <w:pStyle w:val="Proposal"/>
      </w:pPr>
      <w:r>
        <w:t>ADD</w:t>
      </w:r>
      <w:r>
        <w:tab/>
        <w:t>HOL/SUI/264/1</w:t>
      </w:r>
    </w:p>
    <w:p w:rsidR="00F07E43" w:rsidRPr="00D43E94" w:rsidRDefault="00D92E75" w:rsidP="00C0622A">
      <w:pPr>
        <w:pStyle w:val="ResNo"/>
      </w:pPr>
      <w:r w:rsidRPr="00D43E94">
        <w:rPr>
          <w:rtl/>
        </w:rPr>
        <w:t xml:space="preserve">مشـروع </w:t>
      </w:r>
      <w:r w:rsidR="00FB6F76">
        <w:rPr>
          <w:rFonts w:hint="cs"/>
          <w:rtl/>
        </w:rPr>
        <w:t>ال</w:t>
      </w:r>
      <w:r w:rsidRPr="00D43E94">
        <w:rPr>
          <w:rtl/>
        </w:rPr>
        <w:t xml:space="preserve">قـرار </w:t>
      </w:r>
      <w:r w:rsidR="00FB6F76">
        <w:rPr>
          <w:rFonts w:hint="cs"/>
          <w:rtl/>
        </w:rPr>
        <w:t>ال</w:t>
      </w:r>
      <w:r w:rsidRPr="00D43E94">
        <w:rPr>
          <w:rtl/>
        </w:rPr>
        <w:t>جديـد</w:t>
      </w:r>
      <w:r w:rsidR="00FD21FD">
        <w:rPr>
          <w:rFonts w:hint="cs"/>
          <w:rtl/>
        </w:rPr>
        <w:t xml:space="preserve"> </w:t>
      </w:r>
      <w:r w:rsidR="00FD21FD" w:rsidRPr="00FD21FD">
        <w:rPr>
          <w:caps/>
          <w:lang w:val="en-GB"/>
        </w:rPr>
        <w:t>[HOL/SUI-Space planes intended</w:t>
      </w:r>
      <w:r w:rsidR="00FD21FD">
        <w:rPr>
          <w:caps/>
          <w:rtl/>
          <w:lang w:val="en-GB"/>
        </w:rPr>
        <w:br/>
      </w:r>
      <w:r w:rsidR="00FD21FD">
        <w:rPr>
          <w:rFonts w:hint="cs"/>
          <w:caps/>
          <w:rtl/>
          <w:lang w:val="en-GB"/>
        </w:rPr>
        <w:t> </w:t>
      </w:r>
      <w:r w:rsidR="00FD21FD" w:rsidRPr="00FD21FD">
        <w:rPr>
          <w:caps/>
          <w:lang w:val="en-GB"/>
        </w:rPr>
        <w:t xml:space="preserve">to perform suborbital flights] </w:t>
      </w:r>
      <w:r w:rsidR="00FD21FD" w:rsidRPr="00FD21FD">
        <w:rPr>
          <w:lang w:val="en-GB"/>
        </w:rPr>
        <w:t>(WRC</w:t>
      </w:r>
      <w:r w:rsidR="00FD21FD" w:rsidRPr="00FD21FD">
        <w:rPr>
          <w:lang w:val="en-GB"/>
        </w:rPr>
        <w:noBreakHyphen/>
        <w:t>15)</w:t>
      </w:r>
      <w:r w:rsidR="00FD21FD">
        <w:rPr>
          <w:rFonts w:hint="cs"/>
          <w:rtl/>
        </w:rPr>
        <w:t> </w:t>
      </w:r>
    </w:p>
    <w:p w:rsidR="00F07E43" w:rsidRPr="00F94F90" w:rsidRDefault="00F94F90" w:rsidP="00F94F90">
      <w:pPr>
        <w:pStyle w:val="Restitle"/>
        <w:rPr>
          <w:rtl/>
          <w:lang w:bidi="ar-EG"/>
        </w:rPr>
      </w:pPr>
      <w:r>
        <w:rPr>
          <w:rFonts w:hint="cs"/>
          <w:rtl/>
        </w:rPr>
        <w:t xml:space="preserve">الطائرات </w:t>
      </w:r>
      <w:r>
        <w:rPr>
          <w:rFonts w:hint="cs"/>
          <w:rtl/>
          <w:lang w:bidi="ar-EG"/>
        </w:rPr>
        <w:t>الفضائية المصممة للقيام برحلات دون مدارية</w:t>
      </w:r>
    </w:p>
    <w:p w:rsidR="007F34D5" w:rsidRPr="007F34D5" w:rsidRDefault="007F34D5" w:rsidP="007F34D5">
      <w:pPr>
        <w:pStyle w:val="Normalaftertitle"/>
        <w:rPr>
          <w:rtl/>
          <w:lang w:bidi="ar-EG"/>
        </w:rPr>
      </w:pPr>
      <w:r w:rsidRPr="007F34D5">
        <w:rPr>
          <w:rtl/>
        </w:rPr>
        <w:t xml:space="preserve">إن المؤتمر العالمي للاتصالات الراديوية (جنيف، </w:t>
      </w:r>
      <w:r>
        <w:t>2015</w:t>
      </w:r>
      <w:r>
        <w:rPr>
          <w:rFonts w:hint="cs"/>
          <w:rtl/>
          <w:lang w:bidi="ar-EG"/>
        </w:rPr>
        <w:t>)،</w:t>
      </w:r>
    </w:p>
    <w:p w:rsidR="007F34D5" w:rsidRPr="006D01BF" w:rsidRDefault="007F34D5" w:rsidP="00D92E75">
      <w:pPr>
        <w:pStyle w:val="Call"/>
        <w:rPr>
          <w:rtl/>
        </w:rPr>
      </w:pPr>
      <w:r>
        <w:rPr>
          <w:rtl/>
        </w:rPr>
        <w:t>إذ</w:t>
      </w:r>
      <w:r>
        <w:rPr>
          <w:rFonts w:hint="cs"/>
          <w:rtl/>
        </w:rPr>
        <w:t xml:space="preserve"> ي</w:t>
      </w:r>
      <w:r>
        <w:rPr>
          <w:rtl/>
        </w:rPr>
        <w:t>ضع في اعتباره</w:t>
      </w:r>
    </w:p>
    <w:p w:rsidR="007F34D5" w:rsidRPr="006D01BF" w:rsidRDefault="007F34D5" w:rsidP="007F34D5">
      <w:pPr>
        <w:rPr>
          <w:rtl/>
        </w:rPr>
      </w:pPr>
      <w:r w:rsidRPr="006D01BF">
        <w:rPr>
          <w:rFonts w:hint="eastAsia"/>
          <w:i/>
          <w:iCs/>
          <w:rtl/>
        </w:rPr>
        <w:t> </w:t>
      </w:r>
      <w:r w:rsidRPr="006D01BF">
        <w:rPr>
          <w:rFonts w:hint="cs"/>
          <w:i/>
          <w:iCs/>
          <w:rtl/>
        </w:rPr>
        <w:t>أ</w:t>
      </w:r>
      <w:r w:rsidRPr="006D01BF">
        <w:rPr>
          <w:rFonts w:hint="eastAsia"/>
          <w:i/>
          <w:iCs/>
          <w:rtl/>
        </w:rPr>
        <w:t> </w:t>
      </w:r>
      <w:r w:rsidRPr="006D01BF">
        <w:rPr>
          <w:rFonts w:hint="cs"/>
          <w:i/>
          <w:iCs/>
          <w:rtl/>
        </w:rPr>
        <w:t>)</w:t>
      </w:r>
      <w:r w:rsidRPr="006D01BF">
        <w:rPr>
          <w:rFonts w:hint="cs"/>
          <w:rtl/>
        </w:rPr>
        <w:tab/>
        <w:t>أن الطيف الراديوي هو مورد محدود؛</w:t>
      </w:r>
    </w:p>
    <w:p w:rsidR="007F34D5" w:rsidRPr="00CB352C" w:rsidRDefault="007F34D5" w:rsidP="007F34D5">
      <w:pPr>
        <w:rPr>
          <w:spacing w:val="-4"/>
          <w:rtl/>
        </w:rPr>
      </w:pPr>
      <w:r w:rsidRPr="00CB352C">
        <w:rPr>
          <w:rFonts w:hint="cs"/>
          <w:i/>
          <w:iCs/>
          <w:spacing w:val="-4"/>
          <w:rtl/>
        </w:rPr>
        <w:t>ب)</w:t>
      </w:r>
      <w:r w:rsidRPr="00CB352C">
        <w:rPr>
          <w:rFonts w:hint="cs"/>
          <w:spacing w:val="-4"/>
          <w:rtl/>
        </w:rPr>
        <w:tab/>
      </w:r>
      <w:r w:rsidRPr="00EB07C9">
        <w:rPr>
          <w:rFonts w:hint="cs"/>
          <w:spacing w:val="6"/>
          <w:rtl/>
        </w:rPr>
        <w:t>أن الطائرات، ويشار إليها عموماً بالطائرات الفضائية، يجري تصميمها بحيث يمكنها الطيران عند ارتفاعات</w:t>
      </w:r>
      <w:r w:rsidRPr="00EB07C9">
        <w:rPr>
          <w:rFonts w:hint="cs"/>
          <w:rtl/>
        </w:rPr>
        <w:t xml:space="preserve"> تتجاوز</w:t>
      </w:r>
      <w:r w:rsidRPr="00EB07C9">
        <w:rPr>
          <w:rFonts w:hint="eastAsia"/>
          <w:rtl/>
        </w:rPr>
        <w:t> </w:t>
      </w:r>
      <w:r w:rsidRPr="00EB07C9">
        <w:rPr>
          <w:lang w:val="en-GB"/>
        </w:rPr>
        <w:t>km 100</w:t>
      </w:r>
      <w:r w:rsidRPr="00EB07C9">
        <w:rPr>
          <w:rFonts w:hint="cs"/>
          <w:rtl/>
        </w:rPr>
        <w:t>؛</w:t>
      </w:r>
    </w:p>
    <w:p w:rsidR="007F34D5" w:rsidRPr="006D01BF" w:rsidRDefault="007F34D5" w:rsidP="007F34D5">
      <w:pPr>
        <w:rPr>
          <w:rtl/>
        </w:rPr>
      </w:pPr>
      <w:r w:rsidRPr="006D01BF">
        <w:rPr>
          <w:rFonts w:hint="cs"/>
          <w:i/>
          <w:iCs/>
          <w:rtl/>
        </w:rPr>
        <w:t>ج)</w:t>
      </w:r>
      <w:r w:rsidRPr="006D01BF">
        <w:rPr>
          <w:rFonts w:hint="cs"/>
          <w:rtl/>
        </w:rPr>
        <w:tab/>
        <w:t xml:space="preserve">أن بعض الطائرات المشار إليها في </w:t>
      </w:r>
      <w:r w:rsidRPr="006D01BF">
        <w:rPr>
          <w:rFonts w:hint="cs"/>
          <w:i/>
          <w:iCs/>
          <w:rtl/>
        </w:rPr>
        <w:t>الفقرة ب) من "إذ تضع في اعتبارها"</w:t>
      </w:r>
      <w:r w:rsidRPr="006D01BF">
        <w:rPr>
          <w:rFonts w:hint="cs"/>
          <w:rtl/>
        </w:rPr>
        <w:t xml:space="preserve"> تستعمل مسارات غير</w:t>
      </w:r>
      <w:r>
        <w:rPr>
          <w:rFonts w:hint="eastAsia"/>
          <w:rtl/>
        </w:rPr>
        <w:t> </w:t>
      </w:r>
      <w:r w:rsidRPr="006D01BF">
        <w:rPr>
          <w:rFonts w:hint="cs"/>
          <w:rtl/>
        </w:rPr>
        <w:t>مدارية؛</w:t>
      </w:r>
    </w:p>
    <w:p w:rsidR="007F34D5" w:rsidRDefault="007F34D5" w:rsidP="00F94F90">
      <w:pPr>
        <w:rPr>
          <w:rtl/>
        </w:rPr>
      </w:pPr>
      <w:r w:rsidRPr="006D01BF">
        <w:rPr>
          <w:rFonts w:hint="cs"/>
          <w:i/>
          <w:iCs/>
          <w:rtl/>
        </w:rPr>
        <w:t>د</w:t>
      </w:r>
      <w:r w:rsidRPr="006D01BF">
        <w:rPr>
          <w:rFonts w:hint="eastAsia"/>
          <w:i/>
          <w:iCs/>
          <w:rtl/>
        </w:rPr>
        <w:t> </w:t>
      </w:r>
      <w:r w:rsidRPr="006D01BF">
        <w:rPr>
          <w:rFonts w:hint="cs"/>
          <w:i/>
          <w:iCs/>
          <w:rtl/>
        </w:rPr>
        <w:t>)</w:t>
      </w:r>
      <w:r w:rsidRPr="006D01BF">
        <w:rPr>
          <w:rFonts w:hint="cs"/>
          <w:rtl/>
        </w:rPr>
        <w:tab/>
        <w:t xml:space="preserve">أن الحد بين الغلاف الجوي للأرض والفضاء يُفترض عموماً أن يكون على ارتفاع </w:t>
      </w:r>
      <w:r w:rsidRPr="006D01BF">
        <w:rPr>
          <w:lang w:val="en-GB"/>
        </w:rPr>
        <w:t>100</w:t>
      </w:r>
      <w:r w:rsidRPr="006D01BF">
        <w:rPr>
          <w:rFonts w:hint="cs"/>
          <w:rtl/>
        </w:rPr>
        <w:t xml:space="preserve"> كيلومتر فوق سطح</w:t>
      </w:r>
      <w:r>
        <w:rPr>
          <w:rFonts w:hint="eastAsia"/>
          <w:rtl/>
        </w:rPr>
        <w:t> </w:t>
      </w:r>
      <w:r w:rsidR="00F94F90">
        <w:rPr>
          <w:rFonts w:hint="cs"/>
          <w:rtl/>
        </w:rPr>
        <w:t>الأرض؛</w:t>
      </w:r>
    </w:p>
    <w:p w:rsidR="007F34D5" w:rsidRDefault="00F94F90" w:rsidP="00456C3A">
      <w:pPr>
        <w:rPr>
          <w:rtl/>
        </w:rPr>
      </w:pPr>
      <w:r w:rsidRPr="006D01BF">
        <w:rPr>
          <w:rFonts w:hint="cs"/>
          <w:i/>
          <w:iCs/>
          <w:rtl/>
        </w:rPr>
        <w:t>ﻫ</w:t>
      </w:r>
      <w:r w:rsidRPr="006D01BF">
        <w:rPr>
          <w:rFonts w:hint="eastAsia"/>
          <w:i/>
          <w:iCs/>
          <w:rtl/>
        </w:rPr>
        <w:t> </w:t>
      </w:r>
      <w:r w:rsidRPr="006D01BF">
        <w:rPr>
          <w:rFonts w:hint="cs"/>
          <w:i/>
          <w:iCs/>
          <w:rtl/>
        </w:rPr>
        <w:t>)</w:t>
      </w:r>
      <w:r w:rsidRPr="006D01BF">
        <w:rPr>
          <w:rFonts w:hint="cs"/>
          <w:rtl/>
        </w:rPr>
        <w:tab/>
      </w:r>
      <w:r w:rsidR="007F34D5" w:rsidRPr="007F34D5">
        <w:rPr>
          <w:rtl/>
        </w:rPr>
        <w:t xml:space="preserve">تكنولوجيا </w:t>
      </w:r>
      <w:r>
        <w:rPr>
          <w:rFonts w:hint="cs"/>
          <w:rtl/>
        </w:rPr>
        <w:t>ال</w:t>
      </w:r>
      <w:r>
        <w:rPr>
          <w:rtl/>
        </w:rPr>
        <w:t>طائر</w:t>
      </w:r>
      <w:r>
        <w:rPr>
          <w:rFonts w:hint="cs"/>
          <w:rtl/>
        </w:rPr>
        <w:t>ات</w:t>
      </w:r>
      <w:r w:rsidR="007F34D5" w:rsidRPr="007F34D5">
        <w:rPr>
          <w:rtl/>
        </w:rPr>
        <w:t xml:space="preserve"> </w:t>
      </w:r>
      <w:r>
        <w:rPr>
          <w:rFonts w:hint="cs"/>
          <w:rtl/>
        </w:rPr>
        <w:t>ال</w:t>
      </w:r>
      <w:r w:rsidR="007F34D5" w:rsidRPr="007F34D5">
        <w:rPr>
          <w:rtl/>
        </w:rPr>
        <w:t xml:space="preserve">فضائية </w:t>
      </w:r>
      <w:r>
        <w:rPr>
          <w:rFonts w:hint="cs"/>
          <w:rtl/>
        </w:rPr>
        <w:t>ال</w:t>
      </w:r>
      <w:r w:rsidR="007F34D5" w:rsidRPr="007F34D5">
        <w:rPr>
          <w:rtl/>
        </w:rPr>
        <w:t xml:space="preserve">هجينة </w:t>
      </w:r>
      <w:r>
        <w:rPr>
          <w:rFonts w:hint="cs"/>
          <w:rtl/>
        </w:rPr>
        <w:t>القائمة على محركات نفاثة هجينة</w:t>
      </w:r>
      <w:r w:rsidR="007F34D5" w:rsidRPr="007F34D5">
        <w:rPr>
          <w:rtl/>
        </w:rPr>
        <w:t xml:space="preserve"> أو محركات صاروخية معدّة لإطلاق مركبة فضائية </w:t>
      </w:r>
      <w:r>
        <w:rPr>
          <w:rFonts w:hint="cs"/>
          <w:rtl/>
        </w:rPr>
        <w:t xml:space="preserve">لكي تصل إلى </w:t>
      </w:r>
      <w:r w:rsidR="007F34D5" w:rsidRPr="007F34D5">
        <w:rPr>
          <w:rtl/>
        </w:rPr>
        <w:t xml:space="preserve">مدار في الفضاء الخارجي، </w:t>
      </w:r>
      <w:r>
        <w:rPr>
          <w:rFonts w:hint="cs"/>
          <w:rtl/>
        </w:rPr>
        <w:t xml:space="preserve">ثم </w:t>
      </w:r>
      <w:r w:rsidR="007F34D5" w:rsidRPr="007F34D5">
        <w:rPr>
          <w:rtl/>
        </w:rPr>
        <w:t>تهبط على الأرض بعد تحرير المركبة الفضائية شأنها في ذلك شأن رحلة فضائية دون</w:t>
      </w:r>
      <w:r w:rsidR="00456C3A">
        <w:rPr>
          <w:rFonts w:hint="cs"/>
          <w:rtl/>
        </w:rPr>
        <w:t> </w:t>
      </w:r>
      <w:r w:rsidR="007F34D5" w:rsidRPr="007F34D5">
        <w:rPr>
          <w:rtl/>
        </w:rPr>
        <w:t>مدارية</w:t>
      </w:r>
      <w:r>
        <w:rPr>
          <w:rFonts w:hint="cs"/>
          <w:rtl/>
        </w:rPr>
        <w:t>،</w:t>
      </w:r>
    </w:p>
    <w:p w:rsidR="00D92E75" w:rsidRDefault="00D92E75" w:rsidP="00D92E75">
      <w:pPr>
        <w:pStyle w:val="Call"/>
        <w:rPr>
          <w:rtl/>
        </w:rPr>
      </w:pPr>
      <w:r w:rsidRPr="00D92E75">
        <w:rPr>
          <w:rtl/>
        </w:rPr>
        <w:t>وإذ يشير إلى</w:t>
      </w:r>
    </w:p>
    <w:p w:rsidR="00D92E75" w:rsidRDefault="00D92E75" w:rsidP="00F94F90">
      <w:pPr>
        <w:rPr>
          <w:rtl/>
        </w:rPr>
      </w:pPr>
      <w:r w:rsidRPr="00D92E75">
        <w:rPr>
          <w:rFonts w:hint="cs"/>
          <w:i/>
          <w:iCs/>
          <w:rtl/>
        </w:rPr>
        <w:t xml:space="preserve"> أ )</w:t>
      </w:r>
      <w:r w:rsidRPr="00D92E75">
        <w:rPr>
          <w:rtl/>
        </w:rPr>
        <w:tab/>
      </w:r>
      <w:r w:rsidR="00F94F90">
        <w:rPr>
          <w:rFonts w:hint="cs"/>
          <w:rtl/>
        </w:rPr>
        <w:t>أنه</w:t>
      </w:r>
      <w:r>
        <w:rPr>
          <w:rFonts w:hint="cs"/>
          <w:rtl/>
        </w:rPr>
        <w:t xml:space="preserve"> </w:t>
      </w:r>
      <w:r w:rsidRPr="00D92E75">
        <w:rPr>
          <w:rtl/>
        </w:rPr>
        <w:t xml:space="preserve">من ناحية الوصف التقني والمعلمات التشغيلية والمتطلبات من الطيف، قد لا تتلاءم هذه المشاريع الجديدة مع الوصف التنظيمي الحالي لخدمة </w:t>
      </w:r>
      <w:r w:rsidR="00F94F90">
        <w:rPr>
          <w:rFonts w:hint="cs"/>
          <w:rtl/>
        </w:rPr>
        <w:t>الأرض</w:t>
      </w:r>
      <w:r w:rsidRPr="00D92E75">
        <w:rPr>
          <w:rtl/>
        </w:rPr>
        <w:t xml:space="preserve"> أو الخدمة الفضائية ومع الإجراءات المرتبطة بها من أجل الاعتراف الدولي باستعمال تخصيصات التردد ذات الصلة</w:t>
      </w:r>
      <w:r w:rsidR="00F94F90">
        <w:rPr>
          <w:rFonts w:hint="cs"/>
          <w:rtl/>
        </w:rPr>
        <w:t>،</w:t>
      </w:r>
    </w:p>
    <w:p w:rsidR="00D92E75" w:rsidRDefault="00D92E75" w:rsidP="00D92E75">
      <w:pPr>
        <w:pStyle w:val="Call"/>
        <w:rPr>
          <w:rtl/>
        </w:rPr>
      </w:pPr>
      <w:r>
        <w:rPr>
          <w:rFonts w:hint="cs"/>
          <w:rtl/>
        </w:rPr>
        <w:t>وإذ يلاحظ</w:t>
      </w:r>
    </w:p>
    <w:p w:rsidR="00D92E75" w:rsidRDefault="00FD21FD" w:rsidP="00F94F90">
      <w:pPr>
        <w:rPr>
          <w:rtl/>
          <w:lang w:bidi="ar-EG"/>
        </w:rPr>
      </w:pPr>
      <w:r w:rsidRPr="006D01BF">
        <w:rPr>
          <w:rFonts w:hint="cs"/>
          <w:rtl/>
        </w:rPr>
        <w:t>ال</w:t>
      </w:r>
      <w:r>
        <w:rPr>
          <w:rFonts w:hint="cs"/>
          <w:rtl/>
        </w:rPr>
        <w:t>‍</w:t>
      </w:r>
      <w:r w:rsidRPr="006D01BF">
        <w:rPr>
          <w:rFonts w:hint="cs"/>
          <w:rtl/>
        </w:rPr>
        <w:t>مسألة</w:t>
      </w:r>
      <w:r w:rsidR="00D92E75" w:rsidRPr="006D01BF">
        <w:rPr>
          <w:rFonts w:hint="cs"/>
          <w:rtl/>
        </w:rPr>
        <w:t xml:space="preserve"> </w:t>
      </w:r>
      <w:r w:rsidR="00D92E75" w:rsidRPr="006D01BF">
        <w:rPr>
          <w:rFonts w:hint="eastAsia"/>
          <w:lang w:val="en-GB"/>
        </w:rPr>
        <w:t>ITU-R</w:t>
      </w:r>
      <w:r w:rsidR="00D92E75" w:rsidRPr="006D01BF">
        <w:rPr>
          <w:lang w:val="en-GB"/>
        </w:rPr>
        <w:t xml:space="preserve"> 259/5</w:t>
      </w:r>
      <w:r w:rsidR="00D92E75">
        <w:rPr>
          <w:rFonts w:hint="cs"/>
          <w:rtl/>
          <w:lang w:bidi="ar-EG"/>
        </w:rPr>
        <w:t xml:space="preserve"> </w:t>
      </w:r>
      <w:r w:rsidR="00D92E75" w:rsidRPr="006D01BF">
        <w:rPr>
          <w:rFonts w:hint="cs"/>
          <w:rtl/>
          <w:lang w:bidi="ar-EG"/>
        </w:rPr>
        <w:t xml:space="preserve">الجوانب التشغيلية والجوانب التنظيمية الراديوية للطائرات العاملة في </w:t>
      </w:r>
      <w:r w:rsidR="00F94F90">
        <w:rPr>
          <w:rFonts w:hint="cs"/>
          <w:rtl/>
          <w:lang w:bidi="ar-EG"/>
        </w:rPr>
        <w:t>المستوى ال</w:t>
      </w:r>
      <w:r w:rsidR="00503CEA">
        <w:rPr>
          <w:rFonts w:hint="cs"/>
          <w:rtl/>
          <w:lang w:bidi="ar-EG"/>
        </w:rPr>
        <w:t>أ</w:t>
      </w:r>
      <w:r w:rsidR="00F94F90">
        <w:rPr>
          <w:rFonts w:hint="cs"/>
          <w:rtl/>
          <w:lang w:bidi="ar-EG"/>
        </w:rPr>
        <w:t>على</w:t>
      </w:r>
      <w:r w:rsidR="00D92E75" w:rsidRPr="006D01BF">
        <w:rPr>
          <w:rFonts w:hint="cs"/>
          <w:rtl/>
          <w:lang w:bidi="ar-EG"/>
        </w:rPr>
        <w:t xml:space="preserve"> من</w:t>
      </w:r>
      <w:r w:rsidR="00D92E75" w:rsidRPr="006D01BF">
        <w:rPr>
          <w:rFonts w:hint="eastAsia"/>
          <w:rtl/>
          <w:lang w:bidi="ar-EG"/>
        </w:rPr>
        <w:t> </w:t>
      </w:r>
      <w:r w:rsidR="00D92E75" w:rsidRPr="006D01BF">
        <w:rPr>
          <w:rFonts w:hint="cs"/>
          <w:rtl/>
          <w:lang w:bidi="ar-EG"/>
        </w:rPr>
        <w:t xml:space="preserve">الغلاف </w:t>
      </w:r>
      <w:r w:rsidR="00F94F90">
        <w:rPr>
          <w:rFonts w:hint="cs"/>
          <w:rtl/>
          <w:lang w:bidi="ar-EG"/>
        </w:rPr>
        <w:t>الجوي</w:t>
      </w:r>
      <w:r w:rsidR="008B0F51">
        <w:rPr>
          <w:rFonts w:hint="cs"/>
          <w:rtl/>
          <w:lang w:bidi="ar-EG"/>
        </w:rPr>
        <w:t>،</w:t>
      </w:r>
    </w:p>
    <w:p w:rsidR="00D92E75" w:rsidRDefault="00D92E75" w:rsidP="00D92E75">
      <w:pPr>
        <w:pStyle w:val="Call"/>
        <w:rPr>
          <w:rtl/>
        </w:rPr>
      </w:pPr>
      <w:r w:rsidRPr="00D92E75">
        <w:rPr>
          <w:rtl/>
        </w:rPr>
        <w:t>يقرر أن يدعو قطاع الاتصالات الراديوية</w:t>
      </w:r>
      <w:r w:rsidR="009E1DB4">
        <w:rPr>
          <w:rFonts w:hint="cs"/>
          <w:rtl/>
        </w:rPr>
        <w:t xml:space="preserve"> إلى</w:t>
      </w:r>
    </w:p>
    <w:p w:rsidR="00D92E75" w:rsidRDefault="00D92E75" w:rsidP="00D92E75">
      <w:pPr>
        <w:rPr>
          <w:rtl/>
          <w:lang w:bidi="ar-EG"/>
        </w:rPr>
      </w:pPr>
      <w:r>
        <w:t>1</w:t>
      </w:r>
      <w:r w:rsidR="009E1DB4">
        <w:rPr>
          <w:rtl/>
          <w:lang w:bidi="ar-EG"/>
        </w:rPr>
        <w:tab/>
      </w:r>
      <w:r w:rsidR="009E1DB4">
        <w:rPr>
          <w:rFonts w:hint="cs"/>
          <w:rtl/>
          <w:lang w:bidi="ar-EG"/>
        </w:rPr>
        <w:t>إجراء دراسات لتحديد أي أحكام تقنية وتشغيلية وتنظيمية مطلوبة، بما في ذلك تقاسم الترددات بين خدمات الاتصالات الراديوية المختلفة، فيما يتعلق بالطائرات الفضائية المصممة للقيام برحلات دون مدارية، يمكن أن تساعد على تفادي التداخل الضار بين خدمات الاتصالات الراديوية وعلى الاستغلال الأمثل لموارد الطيف/المدار؛</w:t>
      </w:r>
    </w:p>
    <w:p w:rsidR="00D92E75" w:rsidRPr="009E1DB4" w:rsidRDefault="00D92E75" w:rsidP="009E1DB4">
      <w:pPr>
        <w:rPr>
          <w:rtl/>
          <w:lang w:bidi="ar-EG"/>
        </w:rPr>
      </w:pPr>
      <w:r>
        <w:t>2</w:t>
      </w:r>
      <w:r w:rsidR="009E1DB4">
        <w:rPr>
          <w:rtl/>
        </w:rPr>
        <w:tab/>
      </w:r>
      <w:r w:rsidR="009E1DB4">
        <w:rPr>
          <w:rFonts w:hint="cs"/>
          <w:rtl/>
        </w:rPr>
        <w:t xml:space="preserve">إجراء دراسات لتحديد أي احتياجات إضافية من الطيف من أجل الطائرات الفضائية المصممة للقيام برحلات دون مدارية، مع مراعاة الفقرة </w:t>
      </w:r>
      <w:r w:rsidR="009E1DB4">
        <w:t>1</w:t>
      </w:r>
      <w:r w:rsidR="009E1DB4">
        <w:rPr>
          <w:rFonts w:hint="cs"/>
          <w:rtl/>
          <w:lang w:bidi="ar-EG"/>
        </w:rPr>
        <w:t xml:space="preserve"> من </w:t>
      </w:r>
      <w:r w:rsidR="009E1DB4">
        <w:rPr>
          <w:rFonts w:hint="cs"/>
          <w:i/>
          <w:iCs/>
          <w:rtl/>
          <w:lang w:bidi="ar-EG"/>
        </w:rPr>
        <w:t>يقرر</w:t>
      </w:r>
      <w:r w:rsidR="009E1DB4">
        <w:rPr>
          <w:rFonts w:hint="cs"/>
          <w:rtl/>
        </w:rPr>
        <w:t>؛</w:t>
      </w:r>
    </w:p>
    <w:p w:rsidR="00D92E75" w:rsidRDefault="00D92E75" w:rsidP="00D92E75">
      <w:pPr>
        <w:rPr>
          <w:lang w:bidi="ar-EG"/>
        </w:rPr>
      </w:pPr>
      <w:r>
        <w:rPr>
          <w:lang w:bidi="ar-EG"/>
        </w:rPr>
        <w:t>3</w:t>
      </w:r>
      <w:r w:rsidR="009E1DB4">
        <w:rPr>
          <w:rtl/>
          <w:lang w:bidi="ar-EG"/>
        </w:rPr>
        <w:tab/>
      </w:r>
      <w:r w:rsidR="009E1DB4">
        <w:rPr>
          <w:rFonts w:hint="cs"/>
          <w:rtl/>
          <w:lang w:bidi="ar-EG"/>
        </w:rPr>
        <w:t>الا</w:t>
      </w:r>
      <w:r w:rsidR="005279A7">
        <w:rPr>
          <w:rFonts w:hint="cs"/>
          <w:rtl/>
          <w:lang w:bidi="ar-EG"/>
        </w:rPr>
        <w:t>نتهاء من الدراسات على وجه السرعة</w:t>
      </w:r>
      <w:r w:rsidR="009E1DB4">
        <w:rPr>
          <w:rFonts w:hint="cs"/>
          <w:rtl/>
          <w:lang w:bidi="ar-EG"/>
        </w:rPr>
        <w:t xml:space="preserve"> بغية إعداد توصية أو أكثر من توصيات قطاع الاتصالات الراديوية خلال فترة الدراسة المقبلة للقطاع،</w:t>
      </w:r>
    </w:p>
    <w:p w:rsidR="00D92E75" w:rsidRDefault="00D92E75" w:rsidP="00D92E75">
      <w:pPr>
        <w:pStyle w:val="Call"/>
        <w:rPr>
          <w:rtl/>
        </w:rPr>
      </w:pPr>
      <w:r w:rsidRPr="00D92E75">
        <w:rPr>
          <w:rtl/>
        </w:rPr>
        <w:lastRenderedPageBreak/>
        <w:t>يكلف مدير مكتب الاتصالات الراديوية</w:t>
      </w:r>
    </w:p>
    <w:p w:rsidR="00D92E75" w:rsidRPr="00D92E75" w:rsidRDefault="00D92E75" w:rsidP="00D92E75">
      <w:pPr>
        <w:rPr>
          <w:rtl/>
          <w:lang w:bidi="ar-EG"/>
        </w:rPr>
      </w:pPr>
      <w:r w:rsidRPr="00D92E75">
        <w:t>1</w:t>
      </w:r>
      <w:r w:rsidRPr="00D92E75">
        <w:rPr>
          <w:rtl/>
        </w:rPr>
        <w:tab/>
        <w:t>بإحاطة لجان دراسات الاتصالات الراديوية علماً بهذا القرار</w:t>
      </w:r>
      <w:r>
        <w:rPr>
          <w:rFonts w:hint="cs"/>
          <w:rtl/>
        </w:rPr>
        <w:t>؛</w:t>
      </w:r>
    </w:p>
    <w:p w:rsidR="00D92E75" w:rsidRDefault="00D92E75" w:rsidP="00D92E75">
      <w:pPr>
        <w:rPr>
          <w:rtl/>
        </w:rPr>
      </w:pPr>
      <w:r w:rsidRPr="00D92E75">
        <w:t>2</w:t>
      </w:r>
      <w:r w:rsidRPr="00D92E75">
        <w:rPr>
          <w:rtl/>
        </w:rPr>
        <w:tab/>
        <w:t>بموافاة المؤتمر العالمي المقبل للاتصالات الراديوية بنتائج هذه الدراسات</w:t>
      </w:r>
      <w:r>
        <w:rPr>
          <w:rFonts w:hint="cs"/>
          <w:rtl/>
        </w:rPr>
        <w:t>،</w:t>
      </w:r>
    </w:p>
    <w:p w:rsidR="00D92E75" w:rsidRDefault="00D92E75" w:rsidP="00D92E75">
      <w:pPr>
        <w:pStyle w:val="Call"/>
        <w:rPr>
          <w:rtl/>
        </w:rPr>
      </w:pPr>
      <w:r w:rsidRPr="00D92E75">
        <w:rPr>
          <w:rtl/>
        </w:rPr>
        <w:t>يدعو الإدارات</w:t>
      </w:r>
    </w:p>
    <w:p w:rsidR="00D92E75" w:rsidRPr="00D92E75" w:rsidRDefault="00D92E75" w:rsidP="00D92E75">
      <w:pPr>
        <w:rPr>
          <w:rtl/>
        </w:rPr>
      </w:pPr>
      <w:r w:rsidRPr="00D92E75">
        <w:rPr>
          <w:rtl/>
        </w:rPr>
        <w:t>إلى المشاركة بنشاط في الدراسات بتقديم مساهمات إلى قطاع الاتصالات الراديوية</w:t>
      </w:r>
      <w:r w:rsidR="00C0622A">
        <w:rPr>
          <w:rFonts w:hint="cs"/>
          <w:rtl/>
        </w:rPr>
        <w:t>،</w:t>
      </w:r>
    </w:p>
    <w:p w:rsidR="00D92E75" w:rsidRDefault="00D92E75" w:rsidP="00D92E75">
      <w:pPr>
        <w:pStyle w:val="Call"/>
        <w:rPr>
          <w:rtl/>
        </w:rPr>
      </w:pPr>
      <w:r w:rsidRPr="00D92E75">
        <w:rPr>
          <w:rtl/>
        </w:rPr>
        <w:t>يكلف الأمين العام</w:t>
      </w:r>
    </w:p>
    <w:p w:rsidR="00D92E75" w:rsidRPr="009E1DB4" w:rsidRDefault="009E1DB4" w:rsidP="009E1DB4">
      <w:pPr>
        <w:rPr>
          <w:rtl/>
          <w:lang w:bidi="ar-EG"/>
        </w:rPr>
      </w:pPr>
      <w:r>
        <w:rPr>
          <w:rFonts w:hint="cs"/>
          <w:rtl/>
        </w:rPr>
        <w:t xml:space="preserve">برفع هذه القرار إلى عناية لجنة استخدام الفضاء الخارجي للأغراض السلمية </w:t>
      </w:r>
      <w:r w:rsidRPr="000C2F07">
        <w:t>(COPUOS)</w:t>
      </w:r>
      <w:r>
        <w:rPr>
          <w:rFonts w:hint="cs"/>
          <w:rtl/>
          <w:lang w:bidi="ar-EG"/>
        </w:rPr>
        <w:t xml:space="preserve"> التابع للأمم المتحدة ومنظمة الطيران المدني الدولي </w:t>
      </w:r>
      <w:r w:rsidRPr="000C2F07">
        <w:t>(ICAO)</w:t>
      </w:r>
      <w:r>
        <w:rPr>
          <w:rFonts w:hint="cs"/>
          <w:rtl/>
          <w:lang w:bidi="ar-EG"/>
        </w:rPr>
        <w:t xml:space="preserve"> والمنظمات الدولية والإقليمية المعنية الأخرى.</w:t>
      </w:r>
    </w:p>
    <w:p w:rsidR="00F07E43" w:rsidRDefault="00D92E75" w:rsidP="009E1DB4">
      <w:pPr>
        <w:pStyle w:val="Reasons"/>
        <w:rPr>
          <w:b w:val="0"/>
          <w:bCs w:val="0"/>
          <w:rtl/>
        </w:rPr>
      </w:pPr>
      <w:r>
        <w:rPr>
          <w:rtl/>
        </w:rPr>
        <w:t>الأسباب:</w:t>
      </w:r>
      <w:r>
        <w:tab/>
      </w:r>
      <w:r w:rsidR="009E1DB4">
        <w:rPr>
          <w:rFonts w:hint="cs"/>
          <w:b w:val="0"/>
          <w:bCs w:val="0"/>
          <w:rtl/>
        </w:rPr>
        <w:t>وضع الأحكام التقنية وأساليب تقاسم الترددات والأحكام التنظيمية المناسبة، بما في ذلك تقييم الاحتياجات من الطيف، التي يمكن أن تساعد في التشغيل والاستغلال الأمثل للموارد من الطيف/المدار.</w:t>
      </w:r>
    </w:p>
    <w:p w:rsidR="009E1DB4" w:rsidRDefault="009E1DB4" w:rsidP="009E1DB4">
      <w:pPr>
        <w:pStyle w:val="Reasons"/>
        <w:rPr>
          <w:b w:val="0"/>
          <w:bCs w:val="0"/>
          <w:rtl/>
        </w:rPr>
      </w:pPr>
    </w:p>
    <w:p w:rsidR="009E1DB4" w:rsidRPr="009E1DB4" w:rsidRDefault="00FB6F76" w:rsidP="009E1DB4">
      <w:pPr>
        <w:spacing w:before="600"/>
        <w:jc w:val="center"/>
        <w:rPr>
          <w:rtl/>
          <w:lang w:bidi="ar-EG"/>
        </w:rPr>
      </w:pPr>
      <w:r>
        <w:rPr>
          <w:rFonts w:hint="cs"/>
          <w:rtl/>
        </w:rPr>
        <w:t>___________</w:t>
      </w:r>
    </w:p>
    <w:sectPr w:rsidR="009E1DB4" w:rsidRPr="009E1DB4" w:rsidSect="004D4AE6">
      <w:headerReference w:type="even" r:id="rId13"/>
      <w:headerReference w:type="default" r:id="rId14"/>
      <w:footerReference w:type="default" r:id="rId15"/>
      <w:footerReference w:type="first" r:id="rId16"/>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10A" w:rsidRDefault="00BA610A" w:rsidP="002919E1">
      <w:r>
        <w:separator/>
      </w:r>
    </w:p>
    <w:p w:rsidR="00BA610A" w:rsidRDefault="00BA610A" w:rsidP="002919E1"/>
    <w:p w:rsidR="00BA610A" w:rsidRDefault="00BA610A" w:rsidP="002919E1"/>
    <w:p w:rsidR="00BA610A" w:rsidRDefault="00BA610A"/>
  </w:endnote>
  <w:endnote w:type="continuationSeparator" w:id="0">
    <w:p w:rsidR="00BA610A" w:rsidRDefault="00BA610A" w:rsidP="002919E1">
      <w:r>
        <w:continuationSeparator/>
      </w:r>
    </w:p>
    <w:p w:rsidR="00BA610A" w:rsidRDefault="00BA610A" w:rsidP="002919E1"/>
    <w:p w:rsidR="00BA610A" w:rsidRDefault="00BA610A" w:rsidP="002919E1"/>
    <w:p w:rsidR="00BA610A" w:rsidRDefault="00BA6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altName w:val="Tahom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D92E75">
    <w:pPr>
      <w:pStyle w:val="Footer"/>
      <w:tabs>
        <w:tab w:val="clear" w:pos="5812"/>
        <w:tab w:val="left" w:pos="5670"/>
      </w:tabs>
      <w:rPr>
        <w:lang w:val="es-ES"/>
      </w:rPr>
    </w:pPr>
    <w:r w:rsidRPr="00CB4300">
      <w:fldChar w:fldCharType="begin"/>
    </w:r>
    <w:r w:rsidRPr="00CB4300">
      <w:rPr>
        <w:lang w:val="es-ES"/>
      </w:rPr>
      <w:instrText xml:space="preserve"> FILENAME \p \* MERGEFORMAT </w:instrText>
    </w:r>
    <w:r w:rsidRPr="00CB4300">
      <w:fldChar w:fldCharType="separate"/>
    </w:r>
    <w:r w:rsidR="00D92E75">
      <w:rPr>
        <w:noProof/>
        <w:lang w:val="es-ES"/>
      </w:rPr>
      <w:t>P:\TRAD\A\ITU-R\CONF-R\CMR15\200\264A.docx</w:t>
    </w:r>
    <w:r w:rsidRPr="00CB4300">
      <w:fldChar w:fldCharType="end"/>
    </w:r>
    <w:r w:rsidR="00D92E75">
      <w:rPr>
        <w:lang w:val="es-ES"/>
      </w:rPr>
      <w:t xml:space="preserve"> </w:t>
    </w:r>
    <w:r w:rsidRPr="00CB4300">
      <w:rPr>
        <w:lang w:val="es-ES"/>
      </w:rPr>
      <w:t xml:space="preserve">  (</w:t>
    </w:r>
    <w:r w:rsidR="00D92E75">
      <w:rPr>
        <w:lang w:val="es-ES"/>
      </w:rPr>
      <w:t>390115</w:t>
    </w:r>
    <w:r w:rsidRPr="00CB4300">
      <w:rPr>
        <w:lang w:val="es-ES"/>
      </w:rPr>
      <w:t>)</w:t>
    </w:r>
    <w:r w:rsidRPr="00CB4300">
      <w:rPr>
        <w:lang w:val="es-ES"/>
      </w:rPr>
      <w:tab/>
    </w:r>
    <w:r w:rsidRPr="00CB4300">
      <w:fldChar w:fldCharType="begin"/>
    </w:r>
    <w:r w:rsidRPr="00CB4300">
      <w:instrText xml:space="preserve"> savedate \@ dd.MM.yy </w:instrText>
    </w:r>
    <w:r w:rsidRPr="00CB4300">
      <w:fldChar w:fldCharType="separate"/>
    </w:r>
    <w:r w:rsidR="005E62EE">
      <w:rPr>
        <w:noProof/>
      </w:rPr>
      <w:t>13.11.15</w:t>
    </w:r>
    <w:r w:rsidRPr="00CB4300">
      <w:fldChar w:fldCharType="end"/>
    </w:r>
    <w:r w:rsidRPr="00CB4300">
      <w:rPr>
        <w:lang w:val="es-ES"/>
      </w:rPr>
      <w:tab/>
    </w:r>
    <w:r w:rsidRPr="00CB4300">
      <w:fldChar w:fldCharType="begin"/>
    </w:r>
    <w:r w:rsidRPr="00CB4300">
      <w:instrText xml:space="preserve"> printdate \@ dd.MM.yy </w:instrText>
    </w:r>
    <w:r w:rsidRPr="00CB4300">
      <w:fldChar w:fldCharType="separate"/>
    </w:r>
    <w:r w:rsidR="00D92E75">
      <w:rPr>
        <w:noProof/>
      </w:rPr>
      <w:t>12.11.15</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D92E75">
    <w:pPr>
      <w:pStyle w:val="Footer"/>
      <w:rPr>
        <w:lang w:val="es-ES"/>
      </w:rPr>
    </w:pPr>
    <w:r>
      <w:fldChar w:fldCharType="begin"/>
    </w:r>
    <w:r w:rsidRPr="00CB4300">
      <w:rPr>
        <w:lang w:val="es-ES"/>
      </w:rPr>
      <w:instrText xml:space="preserve"> FILENAME \p \* MERGEFORMAT </w:instrText>
    </w:r>
    <w:r>
      <w:fldChar w:fldCharType="separate"/>
    </w:r>
    <w:r w:rsidR="00D92E75">
      <w:rPr>
        <w:noProof/>
        <w:lang w:val="es-ES"/>
      </w:rPr>
      <w:t>P:\TRAD\A\ITU-R\CONF-R\CMR15\200\264A.docx</w:t>
    </w:r>
    <w:r>
      <w:fldChar w:fldCharType="end"/>
    </w:r>
    <w:r w:rsidRPr="00CB4300">
      <w:rPr>
        <w:lang w:val="es-ES"/>
      </w:rPr>
      <w:t xml:space="preserve">   (</w:t>
    </w:r>
    <w:r w:rsidR="00D92E75">
      <w:rPr>
        <w:lang w:val="es-ES"/>
      </w:rPr>
      <w:t>390115</w:t>
    </w:r>
    <w:r w:rsidRPr="00CB4300">
      <w:rPr>
        <w:lang w:val="es-ES"/>
      </w:rPr>
      <w:t>)</w:t>
    </w:r>
    <w:r w:rsidRPr="00CB4300">
      <w:rPr>
        <w:lang w:val="es-ES"/>
      </w:rPr>
      <w:tab/>
    </w:r>
    <w:r w:rsidRPr="00B12661">
      <w:fldChar w:fldCharType="begin"/>
    </w:r>
    <w:r w:rsidRPr="00B12661">
      <w:instrText xml:space="preserve"> savedate \@ dd.MM.yy </w:instrText>
    </w:r>
    <w:r w:rsidRPr="00B12661">
      <w:fldChar w:fldCharType="separate"/>
    </w:r>
    <w:r w:rsidR="005E62EE">
      <w:rPr>
        <w:noProof/>
      </w:rPr>
      <w:t>13.11.15</w:t>
    </w:r>
    <w:r w:rsidRPr="00B12661">
      <w:fldChar w:fldCharType="end"/>
    </w:r>
    <w:r w:rsidRPr="00CB4300">
      <w:rPr>
        <w:lang w:val="es-ES"/>
      </w:rPr>
      <w:tab/>
    </w:r>
    <w:r w:rsidRPr="00B12661">
      <w:fldChar w:fldCharType="begin"/>
    </w:r>
    <w:r w:rsidRPr="00B12661">
      <w:instrText xml:space="preserve"> printdate \@ dd.MM.yy </w:instrText>
    </w:r>
    <w:r w:rsidRPr="00B12661">
      <w:fldChar w:fldCharType="separate"/>
    </w:r>
    <w:r w:rsidR="00D92E75">
      <w:rPr>
        <w:noProof/>
      </w:rPr>
      <w:t>12.11.15</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10A" w:rsidRDefault="00BA610A" w:rsidP="002919E1">
      <w:r>
        <w:t>___________________</w:t>
      </w:r>
    </w:p>
  </w:footnote>
  <w:footnote w:type="continuationSeparator" w:id="0">
    <w:p w:rsidR="00BA610A" w:rsidRDefault="00BA610A" w:rsidP="002919E1">
      <w:r>
        <w:continuationSeparator/>
      </w:r>
    </w:p>
    <w:p w:rsidR="00BA610A" w:rsidRDefault="00BA610A" w:rsidP="002919E1"/>
    <w:p w:rsidR="00BA610A" w:rsidRDefault="00BA610A" w:rsidP="002919E1"/>
    <w:p w:rsidR="00BA610A" w:rsidRDefault="00BA61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Default="00281F5F" w:rsidP="002919E1"/>
  <w:p w:rsidR="00281F5F" w:rsidRDefault="00281F5F" w:rsidP="002919E1"/>
  <w:p w:rsidR="00281F5F" w:rsidRDefault="00281F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88384B" w:rsidRDefault="00281F5F" w:rsidP="00461FA7">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B14BB7">
      <w:rPr>
        <w:rStyle w:val="PageNumber"/>
        <w:noProof/>
      </w:rPr>
      <w:t>3</w:t>
    </w:r>
    <w:r w:rsidRPr="0088384B">
      <w:rPr>
        <w:rStyle w:val="PageNumber"/>
      </w:rPr>
      <w:fldChar w:fldCharType="end"/>
    </w:r>
    <w:r>
      <w:rPr>
        <w:rStyle w:val="PageNumber"/>
        <w:rtl/>
      </w:rPr>
      <w:br/>
    </w:r>
    <w:r w:rsidRPr="0088384B">
      <w:rPr>
        <w:rStyle w:val="PageNumber"/>
      </w:rPr>
      <w:t>CMR1</w:t>
    </w:r>
    <w:r w:rsidR="00461FA7">
      <w:rPr>
        <w:rStyle w:val="PageNumber"/>
      </w:rPr>
      <w:t>5</w:t>
    </w:r>
    <w:r w:rsidRPr="0088384B">
      <w:rPr>
        <w:rStyle w:val="PageNumber"/>
      </w:rPr>
      <w:t>/</w:t>
    </w:r>
    <w:r w:rsidR="00554AE7">
      <w:rPr>
        <w:rStyle w:val="PageNumber"/>
      </w:rPr>
      <w:t>264-</w:t>
    </w:r>
    <w:r w:rsidR="00613492"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C0F5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A4D3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C"/>
    <w:rsid w:val="00011021"/>
    <w:rsid w:val="000114EC"/>
    <w:rsid w:val="00011F8C"/>
    <w:rsid w:val="00040C94"/>
    <w:rsid w:val="000425FC"/>
    <w:rsid w:val="00044D43"/>
    <w:rsid w:val="00051907"/>
    <w:rsid w:val="00075A3F"/>
    <w:rsid w:val="000A1B16"/>
    <w:rsid w:val="000B5404"/>
    <w:rsid w:val="000D1708"/>
    <w:rsid w:val="000E2AFC"/>
    <w:rsid w:val="000E6D30"/>
    <w:rsid w:val="000F05F5"/>
    <w:rsid w:val="000F28EA"/>
    <w:rsid w:val="000F518F"/>
    <w:rsid w:val="0010081C"/>
    <w:rsid w:val="001013E3"/>
    <w:rsid w:val="0010363F"/>
    <w:rsid w:val="001464F2"/>
    <w:rsid w:val="00153296"/>
    <w:rsid w:val="001629EC"/>
    <w:rsid w:val="00167364"/>
    <w:rsid w:val="001903B2"/>
    <w:rsid w:val="001E190C"/>
    <w:rsid w:val="001E54F6"/>
    <w:rsid w:val="001E5A8C"/>
    <w:rsid w:val="001F602F"/>
    <w:rsid w:val="00201A0A"/>
    <w:rsid w:val="002075D4"/>
    <w:rsid w:val="00211B2A"/>
    <w:rsid w:val="002333A0"/>
    <w:rsid w:val="002543CF"/>
    <w:rsid w:val="00255868"/>
    <w:rsid w:val="0026062E"/>
    <w:rsid w:val="00260F50"/>
    <w:rsid w:val="00261EF7"/>
    <w:rsid w:val="0027069F"/>
    <w:rsid w:val="00277869"/>
    <w:rsid w:val="00280E04"/>
    <w:rsid w:val="00281F5F"/>
    <w:rsid w:val="00282EE9"/>
    <w:rsid w:val="002843E4"/>
    <w:rsid w:val="002919E1"/>
    <w:rsid w:val="00295917"/>
    <w:rsid w:val="00296071"/>
    <w:rsid w:val="002A4572"/>
    <w:rsid w:val="002A7E2E"/>
    <w:rsid w:val="002B16D8"/>
    <w:rsid w:val="002D5F64"/>
    <w:rsid w:val="002D6FBF"/>
    <w:rsid w:val="002E48BF"/>
    <w:rsid w:val="002E61C2"/>
    <w:rsid w:val="0030231F"/>
    <w:rsid w:val="0033737F"/>
    <w:rsid w:val="00353652"/>
    <w:rsid w:val="003569E1"/>
    <w:rsid w:val="003815E2"/>
    <w:rsid w:val="00381FAD"/>
    <w:rsid w:val="00382A66"/>
    <w:rsid w:val="003923B1"/>
    <w:rsid w:val="003965FE"/>
    <w:rsid w:val="003A6AB4"/>
    <w:rsid w:val="003B27AD"/>
    <w:rsid w:val="003B4F23"/>
    <w:rsid w:val="003C12F6"/>
    <w:rsid w:val="003C3A13"/>
    <w:rsid w:val="003E02EF"/>
    <w:rsid w:val="003E1608"/>
    <w:rsid w:val="003E1D90"/>
    <w:rsid w:val="00400CD4"/>
    <w:rsid w:val="004147B9"/>
    <w:rsid w:val="004221F0"/>
    <w:rsid w:val="00422C04"/>
    <w:rsid w:val="00426144"/>
    <w:rsid w:val="00456C3A"/>
    <w:rsid w:val="00461FA7"/>
    <w:rsid w:val="00470CBD"/>
    <w:rsid w:val="0047407D"/>
    <w:rsid w:val="004909DD"/>
    <w:rsid w:val="004A05E6"/>
    <w:rsid w:val="004A6C66"/>
    <w:rsid w:val="004A7AA0"/>
    <w:rsid w:val="004C11BC"/>
    <w:rsid w:val="004D4AE6"/>
    <w:rsid w:val="004E34FA"/>
    <w:rsid w:val="004E6943"/>
    <w:rsid w:val="00503CEA"/>
    <w:rsid w:val="00505FCA"/>
    <w:rsid w:val="00510C2D"/>
    <w:rsid w:val="005169F4"/>
    <w:rsid w:val="005210D1"/>
    <w:rsid w:val="00523146"/>
    <w:rsid w:val="00523275"/>
    <w:rsid w:val="005279A7"/>
    <w:rsid w:val="00531DC7"/>
    <w:rsid w:val="005350B0"/>
    <w:rsid w:val="00546A99"/>
    <w:rsid w:val="00553411"/>
    <w:rsid w:val="00554AE7"/>
    <w:rsid w:val="00564746"/>
    <w:rsid w:val="0056512C"/>
    <w:rsid w:val="00576D0A"/>
    <w:rsid w:val="00576FCC"/>
    <w:rsid w:val="00584333"/>
    <w:rsid w:val="005930D8"/>
    <w:rsid w:val="005953EC"/>
    <w:rsid w:val="005B00A1"/>
    <w:rsid w:val="005C29C8"/>
    <w:rsid w:val="005C5D25"/>
    <w:rsid w:val="005D6D48"/>
    <w:rsid w:val="005D72A4"/>
    <w:rsid w:val="005E62EE"/>
    <w:rsid w:val="005F05CC"/>
    <w:rsid w:val="005F65DE"/>
    <w:rsid w:val="00613492"/>
    <w:rsid w:val="006315B5"/>
    <w:rsid w:val="006315C7"/>
    <w:rsid w:val="00651343"/>
    <w:rsid w:val="0065562F"/>
    <w:rsid w:val="00680A66"/>
    <w:rsid w:val="00681391"/>
    <w:rsid w:val="006A12AC"/>
    <w:rsid w:val="006A2162"/>
    <w:rsid w:val="006B0D94"/>
    <w:rsid w:val="006B4B90"/>
    <w:rsid w:val="006B658C"/>
    <w:rsid w:val="006D2674"/>
    <w:rsid w:val="006E38D0"/>
    <w:rsid w:val="006E465B"/>
    <w:rsid w:val="006F70BF"/>
    <w:rsid w:val="00716B1D"/>
    <w:rsid w:val="007248EC"/>
    <w:rsid w:val="00731150"/>
    <w:rsid w:val="00736DCC"/>
    <w:rsid w:val="00741855"/>
    <w:rsid w:val="00742B73"/>
    <w:rsid w:val="00751251"/>
    <w:rsid w:val="007610E7"/>
    <w:rsid w:val="00764079"/>
    <w:rsid w:val="00770AA0"/>
    <w:rsid w:val="00771F7E"/>
    <w:rsid w:val="00773E9C"/>
    <w:rsid w:val="00776F6B"/>
    <w:rsid w:val="00777694"/>
    <w:rsid w:val="00786A7E"/>
    <w:rsid w:val="007A0802"/>
    <w:rsid w:val="007B1FCA"/>
    <w:rsid w:val="007C2C12"/>
    <w:rsid w:val="007C3CFA"/>
    <w:rsid w:val="007E0E8B"/>
    <w:rsid w:val="007F08CA"/>
    <w:rsid w:val="007F34D5"/>
    <w:rsid w:val="007F7FC3"/>
    <w:rsid w:val="00810482"/>
    <w:rsid w:val="00817568"/>
    <w:rsid w:val="008204AC"/>
    <w:rsid w:val="008261C2"/>
    <w:rsid w:val="00830D96"/>
    <w:rsid w:val="008455BE"/>
    <w:rsid w:val="0085569D"/>
    <w:rsid w:val="00855B59"/>
    <w:rsid w:val="0085774F"/>
    <w:rsid w:val="008657CB"/>
    <w:rsid w:val="00866A15"/>
    <w:rsid w:val="00866E68"/>
    <w:rsid w:val="0088384B"/>
    <w:rsid w:val="008911EC"/>
    <w:rsid w:val="00893E53"/>
    <w:rsid w:val="008A1137"/>
    <w:rsid w:val="008A1788"/>
    <w:rsid w:val="008A4185"/>
    <w:rsid w:val="008A6552"/>
    <w:rsid w:val="008B0F51"/>
    <w:rsid w:val="008B4E93"/>
    <w:rsid w:val="008D4F14"/>
    <w:rsid w:val="008D6ACC"/>
    <w:rsid w:val="008D7AF0"/>
    <w:rsid w:val="008E32DD"/>
    <w:rsid w:val="008F4626"/>
    <w:rsid w:val="009004DF"/>
    <w:rsid w:val="00904AA5"/>
    <w:rsid w:val="00905D21"/>
    <w:rsid w:val="00951718"/>
    <w:rsid w:val="00954CCB"/>
    <w:rsid w:val="00960962"/>
    <w:rsid w:val="00972CE0"/>
    <w:rsid w:val="009A3D30"/>
    <w:rsid w:val="009B0BD8"/>
    <w:rsid w:val="009D6348"/>
    <w:rsid w:val="009E1DB4"/>
    <w:rsid w:val="009E613F"/>
    <w:rsid w:val="009F042B"/>
    <w:rsid w:val="009F7BA0"/>
    <w:rsid w:val="00A03FD6"/>
    <w:rsid w:val="00A116A8"/>
    <w:rsid w:val="00A22AE9"/>
    <w:rsid w:val="00A26758"/>
    <w:rsid w:val="00A26D0E"/>
    <w:rsid w:val="00A278E9"/>
    <w:rsid w:val="00A3451F"/>
    <w:rsid w:val="00A36268"/>
    <w:rsid w:val="00A40B2C"/>
    <w:rsid w:val="00A64A4B"/>
    <w:rsid w:val="00A66D2B"/>
    <w:rsid w:val="00A83981"/>
    <w:rsid w:val="00A870AD"/>
    <w:rsid w:val="00A90843"/>
    <w:rsid w:val="00A9645C"/>
    <w:rsid w:val="00AB2A33"/>
    <w:rsid w:val="00AC1275"/>
    <w:rsid w:val="00AC7395"/>
    <w:rsid w:val="00AD690F"/>
    <w:rsid w:val="00AD69DD"/>
    <w:rsid w:val="00AD706D"/>
    <w:rsid w:val="00AF41D1"/>
    <w:rsid w:val="00B01623"/>
    <w:rsid w:val="00B033DF"/>
    <w:rsid w:val="00B07CEE"/>
    <w:rsid w:val="00B12661"/>
    <w:rsid w:val="00B14BB7"/>
    <w:rsid w:val="00B1714C"/>
    <w:rsid w:val="00B357E9"/>
    <w:rsid w:val="00B4164D"/>
    <w:rsid w:val="00B425C1"/>
    <w:rsid w:val="00B528DF"/>
    <w:rsid w:val="00B606BA"/>
    <w:rsid w:val="00B66817"/>
    <w:rsid w:val="00B71E3B"/>
    <w:rsid w:val="00B721D5"/>
    <w:rsid w:val="00B81CB5"/>
    <w:rsid w:val="00B8351F"/>
    <w:rsid w:val="00B86C44"/>
    <w:rsid w:val="00B9727C"/>
    <w:rsid w:val="00BA610A"/>
    <w:rsid w:val="00BA7D44"/>
    <w:rsid w:val="00BD6EF3"/>
    <w:rsid w:val="00BE69C3"/>
    <w:rsid w:val="00C0622A"/>
    <w:rsid w:val="00C1165E"/>
    <w:rsid w:val="00C22074"/>
    <w:rsid w:val="00C2377B"/>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57D0"/>
    <w:rsid w:val="00CC68C4"/>
    <w:rsid w:val="00CC79A4"/>
    <w:rsid w:val="00CD0FDE"/>
    <w:rsid w:val="00CE0E68"/>
    <w:rsid w:val="00CE5BA4"/>
    <w:rsid w:val="00D25120"/>
    <w:rsid w:val="00D419CB"/>
    <w:rsid w:val="00D43E94"/>
    <w:rsid w:val="00D44350"/>
    <w:rsid w:val="00D44E3F"/>
    <w:rsid w:val="00D525F5"/>
    <w:rsid w:val="00D535D0"/>
    <w:rsid w:val="00D62C78"/>
    <w:rsid w:val="00D81703"/>
    <w:rsid w:val="00D82929"/>
    <w:rsid w:val="00D84214"/>
    <w:rsid w:val="00D92E75"/>
    <w:rsid w:val="00D943E5"/>
    <w:rsid w:val="00D95851"/>
    <w:rsid w:val="00DA1AE0"/>
    <w:rsid w:val="00DC29DD"/>
    <w:rsid w:val="00DC35BA"/>
    <w:rsid w:val="00DC7C0E"/>
    <w:rsid w:val="00DF2A6A"/>
    <w:rsid w:val="00DF3B72"/>
    <w:rsid w:val="00E10821"/>
    <w:rsid w:val="00E165ED"/>
    <w:rsid w:val="00E2489D"/>
    <w:rsid w:val="00E25C06"/>
    <w:rsid w:val="00E26520"/>
    <w:rsid w:val="00E343A3"/>
    <w:rsid w:val="00E51BFA"/>
    <w:rsid w:val="00E621A3"/>
    <w:rsid w:val="00E77D29"/>
    <w:rsid w:val="00E833BC"/>
    <w:rsid w:val="00E8580E"/>
    <w:rsid w:val="00EA1B76"/>
    <w:rsid w:val="00EA77D7"/>
    <w:rsid w:val="00EB07C9"/>
    <w:rsid w:val="00EC09B9"/>
    <w:rsid w:val="00ED048C"/>
    <w:rsid w:val="00ED4B29"/>
    <w:rsid w:val="00EF38AF"/>
    <w:rsid w:val="00F055F8"/>
    <w:rsid w:val="00F07E43"/>
    <w:rsid w:val="00F10CB4"/>
    <w:rsid w:val="00F11B3D"/>
    <w:rsid w:val="00F14763"/>
    <w:rsid w:val="00F16212"/>
    <w:rsid w:val="00F16602"/>
    <w:rsid w:val="00F25B80"/>
    <w:rsid w:val="00F2685F"/>
    <w:rsid w:val="00F350C8"/>
    <w:rsid w:val="00F80764"/>
    <w:rsid w:val="00F8654D"/>
    <w:rsid w:val="00F900C9"/>
    <w:rsid w:val="00F92C96"/>
    <w:rsid w:val="00F94F90"/>
    <w:rsid w:val="00FA0D4E"/>
    <w:rsid w:val="00FB0753"/>
    <w:rsid w:val="00FB5CC8"/>
    <w:rsid w:val="00FB6F76"/>
    <w:rsid w:val="00FC2CD0"/>
    <w:rsid w:val="00FD0594"/>
    <w:rsid w:val="00FD21FD"/>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C741458-3E90-4F8E-92F6-2EF42823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DD"/>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uiPriority w:val="99"/>
    <w:qForma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qFormat/>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qFormat/>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5D6D48"/>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DecisionNo">
    <w:name w:val="Decision_No"/>
    <w:basedOn w:val="Normal"/>
    <w:qFormat/>
    <w:rsid w:val="00A2675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D44E3F"/>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
    <w:rsid w:val="00D44E3F"/>
    <w:rPr>
      <w:rFonts w:ascii="Times New Roman italic" w:hAnsi="Times New Roman italic" w:cs="Traditional Arabic"/>
      <w:i/>
      <w:iCs/>
      <w:sz w:val="22"/>
      <w:szCs w:val="30"/>
      <w:lang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FB5CC8"/>
  </w:style>
  <w:style w:type="paragraph" w:customStyle="1" w:styleId="Volumetitle">
    <w:name w:val="Volume_title"/>
    <w:basedOn w:val="ArtNo"/>
    <w:qFormat/>
    <w:rsid w:val="00531DC7"/>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4A7AA0"/>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353652"/>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 w:val="0"/>
      <w:bCs w:val="0"/>
      <w:i/>
      <w:szCs w:val="20"/>
      <w:lang w:val="en-GB" w:bidi="ar-SA"/>
    </w:rPr>
  </w:style>
  <w:style w:type="paragraph" w:customStyle="1" w:styleId="Committee">
    <w:name w:val="Committee"/>
    <w:basedOn w:val="Normal"/>
    <w:qFormat/>
    <w:rsid w:val="00770AA0"/>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Footnotetexte">
    <w:name w:val="Footnote texte"/>
    <w:basedOn w:val="Normal"/>
    <w:qFormat/>
    <w:rsid w:val="00D92E75"/>
    <w:pPr>
      <w:tabs>
        <w:tab w:val="clear" w:pos="1134"/>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line="168" w:lineRule="auto"/>
    </w:pPr>
    <w:rPr>
      <w:rFonts w:ascii="Calibri" w:eastAsiaTheme="minorEastAsia" w:hAnsi="Calibri"/>
      <w:sz w:val="20"/>
      <w:szCs w:val="26"/>
      <w:lang w:eastAsia="zh-CN" w:bidi="ar-SY"/>
    </w:rPr>
  </w:style>
  <w:style w:type="paragraph" w:customStyle="1" w:styleId="QuestionNo">
    <w:name w:val="Question_No"/>
    <w:basedOn w:val="Normal"/>
    <w:qFormat/>
    <w:rsid w:val="00D92E75"/>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Calibri" w:eastAsiaTheme="minorEastAsia" w:hAnsi="Calibri"/>
      <w:sz w:val="26"/>
      <w:szCs w:val="3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224376">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R15-WRC15-C-0264!!MSW-A</DPM_x0020_File_x0020_name>
    <DPM_x0020_Author xmlns="32a1a8c5-2265-4ebc-b7a0-2071e2c5c9bb" xsi:nil="false">Documents Proposals Manager (DPM)</DPM_x0020_Author>
    <DPM_x0020_Version xmlns="32a1a8c5-2265-4ebc-b7a0-2071e2c5c9bb" xsi:nil="false">DPM_v5.2015.11.120_prod</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2.xml><?xml version="1.0" encoding="utf-8"?>
<ds:datastoreItem xmlns:ds="http://schemas.openxmlformats.org/officeDocument/2006/customXml" ds:itemID="{27E16F9C-9272-4C58-9724-E7103D69425F}">
  <ds:schemaRefs>
    <ds:schemaRef ds:uri="http://purl.org/dc/elements/1.1/"/>
    <ds:schemaRef ds:uri="http://schemas.microsoft.com/office/2006/documentManagement/types"/>
    <ds:schemaRef ds:uri="32a1a8c5-2265-4ebc-b7a0-2071e2c5c9bb"/>
    <ds:schemaRef ds:uri="996b2e75-67fd-4955-a3b0-5ab9934cb50b"/>
    <ds:schemaRef ds:uri="http://purl.org/dc/terms/"/>
    <ds:schemaRef ds:uri="http://schemas.microsoft.com/office/2006/metadata/properties"/>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4.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1BE3A0-D470-4E77-B773-23F15590E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675</Words>
  <Characters>3713</Characters>
  <Application>Microsoft Office Word</Application>
  <DocSecurity>0</DocSecurity>
  <Lines>109</Lines>
  <Paragraphs>64</Paragraphs>
  <ScaleCrop>false</ScaleCrop>
  <HeadingPairs>
    <vt:vector size="2" baseType="variant">
      <vt:variant>
        <vt:lpstr>Title</vt:lpstr>
      </vt:variant>
      <vt:variant>
        <vt:i4>1</vt:i4>
      </vt:variant>
    </vt:vector>
  </HeadingPairs>
  <TitlesOfParts>
    <vt:vector size="1" baseType="lpstr">
      <vt:lpstr>R15-WRC15-C-0264!!MSW-A</vt:lpstr>
    </vt:vector>
  </TitlesOfParts>
  <Manager>General Secretariat - Pool</Manager>
  <Company>International Telecommunication Union (ITU)</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R15-WRC15-C-0264!!MSW-A</dc:title>
  <dc:creator>Documents Proposals Manager (DPM)</dc:creator>
  <cp:keywords>DPM_v5.2015.11.120_prod</cp:keywords>
  <cp:lastModifiedBy>Awad, Samy</cp:lastModifiedBy>
  <cp:revision>20</cp:revision>
  <cp:lastPrinted>2015-11-12T19:26:00Z</cp:lastPrinted>
  <dcterms:created xsi:type="dcterms:W3CDTF">2015-11-12T21:38:00Z</dcterms:created>
  <dcterms:modified xsi:type="dcterms:W3CDTF">2015-11-13T01:12:00Z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