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5" w:type="dxa"/>
        <w:tblLayout w:type="fixed"/>
        <w:tblLook w:val="04A0" w:firstRow="1" w:lastRow="0" w:firstColumn="1" w:lastColumn="0" w:noHBand="0" w:noVBand="1"/>
      </w:tblPr>
      <w:tblGrid>
        <w:gridCol w:w="6914"/>
        <w:gridCol w:w="3121"/>
      </w:tblGrid>
      <w:tr w:rsidR="0020161A" w:rsidTr="0020161A">
        <w:trPr>
          <w:cantSplit/>
        </w:trPr>
        <w:tc>
          <w:tcPr>
            <w:tcW w:w="6914" w:type="dxa"/>
            <w:hideMark/>
          </w:tcPr>
          <w:p w:rsidR="0020161A" w:rsidRDefault="0020161A" w:rsidP="00410F76">
            <w:pPr>
              <w:spacing w:before="400" w:after="48" w:line="240" w:lineRule="atLeast"/>
              <w:rPr>
                <w:rFonts w:ascii="Verdana" w:hAnsi="Verdana"/>
                <w:position w:val="6"/>
                <w:lang w:val="en-US"/>
              </w:rPr>
            </w:pPr>
            <w:bookmarkStart w:id="0" w:name="dbreak"/>
            <w:bookmarkEnd w:id="0"/>
            <w:r>
              <w:rPr>
                <w:rFonts w:ascii="Verdana" w:hAnsi="Verdana" w:cs="Times"/>
                <w:b/>
                <w:position w:val="6"/>
                <w:sz w:val="22"/>
                <w:szCs w:val="22"/>
                <w:lang w:val="en-US"/>
              </w:rPr>
              <w:t xml:space="preserve">World </w:t>
            </w:r>
            <w:proofErr w:type="spellStart"/>
            <w:r>
              <w:rPr>
                <w:rFonts w:ascii="Verdana" w:hAnsi="Verdana" w:cs="Times"/>
                <w:b/>
                <w:position w:val="6"/>
                <w:sz w:val="22"/>
                <w:szCs w:val="22"/>
                <w:lang w:val="en-US"/>
              </w:rPr>
              <w:t>Radiocommunication</w:t>
            </w:r>
            <w:proofErr w:type="spellEnd"/>
            <w:r>
              <w:rPr>
                <w:rFonts w:ascii="Verdana" w:hAnsi="Verdana" w:cs="Times"/>
                <w:b/>
                <w:position w:val="6"/>
                <w:sz w:val="22"/>
                <w:szCs w:val="22"/>
                <w:lang w:val="en-US"/>
              </w:rPr>
              <w:t xml:space="preserve"> Conference (WRC-19)</w:t>
            </w:r>
            <w:r>
              <w:rPr>
                <w:rFonts w:ascii="Verdana" w:hAnsi="Verdana" w:cs="Times"/>
                <w:b/>
                <w:position w:val="6"/>
                <w:sz w:val="26"/>
                <w:szCs w:val="26"/>
                <w:lang w:val="en-US"/>
              </w:rPr>
              <w:br/>
            </w:r>
            <w:proofErr w:type="spellStart"/>
            <w:r>
              <w:rPr>
                <w:rFonts w:ascii="Verdana" w:hAnsi="Verdana"/>
                <w:b/>
                <w:bCs/>
                <w:position w:val="6"/>
                <w:sz w:val="18"/>
                <w:szCs w:val="18"/>
                <w:lang w:val="en-US"/>
              </w:rPr>
              <w:t>Sharm</w:t>
            </w:r>
            <w:proofErr w:type="spellEnd"/>
            <w:r>
              <w:rPr>
                <w:rFonts w:ascii="Verdana" w:hAnsi="Verdana"/>
                <w:b/>
                <w:bCs/>
                <w:position w:val="6"/>
                <w:sz w:val="18"/>
                <w:szCs w:val="18"/>
                <w:lang w:val="en-US"/>
              </w:rPr>
              <w:t xml:space="preserve"> el-Sheikh, Egypt, 28 October – 22 November 2019</w:t>
            </w:r>
          </w:p>
        </w:tc>
        <w:tc>
          <w:tcPr>
            <w:tcW w:w="3121" w:type="dxa"/>
            <w:hideMark/>
          </w:tcPr>
          <w:p w:rsidR="0020161A" w:rsidRDefault="0020161A" w:rsidP="00410F76">
            <w:pPr>
              <w:spacing w:before="0" w:line="240" w:lineRule="atLeast"/>
              <w:jc w:val="right"/>
              <w:rPr>
                <w:lang w:val="en-US"/>
              </w:rPr>
            </w:pPr>
            <w:r>
              <w:rPr>
                <w:noProof/>
                <w:lang w:eastAsia="en-GB"/>
              </w:rPr>
              <w:drawing>
                <wp:inline distT="0" distB="0" distL="0" distR="0" wp14:anchorId="0C9D3DAC" wp14:editId="0753AF2D">
                  <wp:extent cx="1763395" cy="741680"/>
                  <wp:effectExtent l="0" t="0" r="825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3395" cy="741680"/>
                          </a:xfrm>
                          <a:prstGeom prst="rect">
                            <a:avLst/>
                          </a:prstGeom>
                          <a:noFill/>
                          <a:ln>
                            <a:noFill/>
                          </a:ln>
                        </pic:spPr>
                      </pic:pic>
                    </a:graphicData>
                  </a:graphic>
                </wp:inline>
              </w:drawing>
            </w:r>
          </w:p>
        </w:tc>
      </w:tr>
      <w:tr w:rsidR="0020161A" w:rsidTr="0020161A">
        <w:trPr>
          <w:cantSplit/>
        </w:trPr>
        <w:tc>
          <w:tcPr>
            <w:tcW w:w="6914" w:type="dxa"/>
            <w:tcBorders>
              <w:top w:val="nil"/>
              <w:left w:val="nil"/>
              <w:bottom w:val="single" w:sz="12" w:space="0" w:color="auto"/>
              <w:right w:val="nil"/>
            </w:tcBorders>
          </w:tcPr>
          <w:p w:rsidR="0020161A" w:rsidRDefault="0020161A" w:rsidP="00410F76">
            <w:pPr>
              <w:spacing w:before="0" w:after="48" w:line="240" w:lineRule="atLeast"/>
              <w:rPr>
                <w:rFonts w:ascii="Verdana" w:hAnsi="Verdana"/>
                <w:b/>
                <w:smallCaps/>
                <w:sz w:val="20"/>
                <w:lang w:val="en-US"/>
              </w:rPr>
            </w:pPr>
          </w:p>
        </w:tc>
        <w:tc>
          <w:tcPr>
            <w:tcW w:w="3121" w:type="dxa"/>
            <w:tcBorders>
              <w:top w:val="nil"/>
              <w:left w:val="nil"/>
              <w:bottom w:val="single" w:sz="12" w:space="0" w:color="auto"/>
              <w:right w:val="nil"/>
            </w:tcBorders>
          </w:tcPr>
          <w:p w:rsidR="0020161A" w:rsidRDefault="0020161A" w:rsidP="00410F76">
            <w:pPr>
              <w:spacing w:before="0" w:line="240" w:lineRule="atLeast"/>
              <w:rPr>
                <w:rFonts w:ascii="Verdana" w:hAnsi="Verdana"/>
                <w:szCs w:val="24"/>
                <w:lang w:val="en-US"/>
              </w:rPr>
            </w:pPr>
          </w:p>
        </w:tc>
      </w:tr>
      <w:tr w:rsidR="0020161A" w:rsidTr="0020161A">
        <w:trPr>
          <w:cantSplit/>
        </w:trPr>
        <w:tc>
          <w:tcPr>
            <w:tcW w:w="6914" w:type="dxa"/>
            <w:tcBorders>
              <w:top w:val="single" w:sz="12" w:space="0" w:color="auto"/>
              <w:left w:val="nil"/>
              <w:bottom w:val="nil"/>
              <w:right w:val="nil"/>
            </w:tcBorders>
          </w:tcPr>
          <w:p w:rsidR="0020161A" w:rsidRDefault="0020161A" w:rsidP="00410F76">
            <w:pPr>
              <w:spacing w:before="0" w:after="48" w:line="240" w:lineRule="atLeast"/>
              <w:rPr>
                <w:rFonts w:ascii="Verdana" w:hAnsi="Verdana"/>
                <w:b/>
                <w:smallCaps/>
                <w:sz w:val="20"/>
                <w:lang w:val="en-US"/>
              </w:rPr>
            </w:pPr>
          </w:p>
        </w:tc>
        <w:tc>
          <w:tcPr>
            <w:tcW w:w="3121" w:type="dxa"/>
            <w:tcBorders>
              <w:top w:val="single" w:sz="12" w:space="0" w:color="auto"/>
              <w:left w:val="nil"/>
              <w:bottom w:val="nil"/>
              <w:right w:val="nil"/>
            </w:tcBorders>
          </w:tcPr>
          <w:p w:rsidR="0020161A" w:rsidRDefault="0020161A" w:rsidP="00410F76">
            <w:pPr>
              <w:spacing w:before="0" w:line="240" w:lineRule="atLeast"/>
              <w:rPr>
                <w:rFonts w:ascii="Verdana" w:hAnsi="Verdana"/>
                <w:sz w:val="20"/>
                <w:lang w:val="en-US"/>
              </w:rPr>
            </w:pPr>
          </w:p>
        </w:tc>
      </w:tr>
      <w:tr w:rsidR="0020161A" w:rsidTr="0020161A">
        <w:trPr>
          <w:cantSplit/>
          <w:trHeight w:val="23"/>
        </w:trPr>
        <w:tc>
          <w:tcPr>
            <w:tcW w:w="6914" w:type="dxa"/>
            <w:hideMark/>
          </w:tcPr>
          <w:p w:rsidR="0020161A" w:rsidRDefault="0020161A" w:rsidP="00410F76">
            <w:pPr>
              <w:pStyle w:val="Committee"/>
              <w:framePr w:hSpace="0" w:wrap="auto" w:hAnchor="text" w:yAlign="inline"/>
              <w:rPr>
                <w:rFonts w:ascii="Verdana" w:hAnsi="Verdana"/>
                <w:sz w:val="20"/>
                <w:szCs w:val="20"/>
                <w:lang w:val="en-US"/>
              </w:rPr>
            </w:pPr>
            <w:r>
              <w:rPr>
                <w:rFonts w:ascii="Verdana" w:hAnsi="Verdana"/>
                <w:sz w:val="20"/>
                <w:szCs w:val="20"/>
                <w:lang w:val="en-US"/>
              </w:rPr>
              <w:t>PLENARY MEETING</w:t>
            </w:r>
          </w:p>
        </w:tc>
        <w:tc>
          <w:tcPr>
            <w:tcW w:w="3121" w:type="dxa"/>
            <w:hideMark/>
          </w:tcPr>
          <w:p w:rsidR="0020161A" w:rsidRDefault="0020161A" w:rsidP="00240AEF">
            <w:pPr>
              <w:tabs>
                <w:tab w:val="left" w:pos="851"/>
              </w:tabs>
              <w:spacing w:before="0" w:line="240" w:lineRule="atLeast"/>
              <w:rPr>
                <w:rFonts w:ascii="Verdana" w:hAnsi="Verdana"/>
                <w:sz w:val="20"/>
                <w:lang w:val="en-US"/>
              </w:rPr>
            </w:pPr>
            <w:r>
              <w:rPr>
                <w:rFonts w:ascii="Verdana" w:hAnsi="Verdana"/>
                <w:b/>
                <w:sz w:val="20"/>
                <w:lang w:val="en-US"/>
              </w:rPr>
              <w:t xml:space="preserve">Document </w:t>
            </w:r>
            <w:r w:rsidR="00F31941">
              <w:rPr>
                <w:rFonts w:ascii="Verdana" w:hAnsi="Verdana"/>
                <w:b/>
                <w:sz w:val="20"/>
                <w:lang w:val="en-US"/>
              </w:rPr>
              <w:t>8-</w:t>
            </w:r>
            <w:r>
              <w:rPr>
                <w:rFonts w:ascii="Verdana" w:hAnsi="Verdana"/>
                <w:b/>
                <w:sz w:val="20"/>
                <w:lang w:val="en-US"/>
              </w:rPr>
              <w:t>E</w:t>
            </w:r>
          </w:p>
        </w:tc>
      </w:tr>
      <w:tr w:rsidR="0020161A" w:rsidTr="0020161A">
        <w:trPr>
          <w:cantSplit/>
          <w:trHeight w:val="23"/>
        </w:trPr>
        <w:tc>
          <w:tcPr>
            <w:tcW w:w="6914" w:type="dxa"/>
          </w:tcPr>
          <w:p w:rsidR="0020161A" w:rsidRDefault="0020161A" w:rsidP="00410F76">
            <w:pPr>
              <w:tabs>
                <w:tab w:val="left" w:pos="851"/>
              </w:tabs>
              <w:spacing w:before="0" w:line="240" w:lineRule="atLeast"/>
              <w:rPr>
                <w:rFonts w:ascii="Verdana" w:hAnsi="Verdana"/>
                <w:b/>
                <w:sz w:val="20"/>
                <w:lang w:val="en-US"/>
              </w:rPr>
            </w:pPr>
          </w:p>
        </w:tc>
        <w:tc>
          <w:tcPr>
            <w:tcW w:w="3121" w:type="dxa"/>
            <w:hideMark/>
          </w:tcPr>
          <w:p w:rsidR="0020161A" w:rsidRPr="009E0FB9" w:rsidRDefault="009E0FB9" w:rsidP="00240AEF">
            <w:pPr>
              <w:tabs>
                <w:tab w:val="left" w:pos="993"/>
              </w:tabs>
              <w:spacing w:before="0"/>
              <w:rPr>
                <w:rFonts w:ascii="Verdana" w:hAnsi="Verdana"/>
                <w:sz w:val="20"/>
                <w:lang w:val="en-US"/>
              </w:rPr>
            </w:pPr>
            <w:r w:rsidRPr="00240AEF">
              <w:rPr>
                <w:rFonts w:ascii="Verdana" w:hAnsi="Verdana"/>
                <w:b/>
                <w:sz w:val="20"/>
                <w:lang w:val="en-US"/>
              </w:rPr>
              <w:t>1</w:t>
            </w:r>
            <w:r w:rsidR="00240AEF">
              <w:rPr>
                <w:rFonts w:ascii="Verdana" w:hAnsi="Verdana"/>
                <w:b/>
                <w:sz w:val="20"/>
                <w:lang w:val="en-US"/>
              </w:rPr>
              <w:t>6</w:t>
            </w:r>
            <w:r w:rsidR="0020161A" w:rsidRPr="009E0FB9">
              <w:rPr>
                <w:rFonts w:ascii="Verdana" w:hAnsi="Verdana"/>
                <w:b/>
                <w:sz w:val="20"/>
                <w:lang w:val="en-US"/>
              </w:rPr>
              <w:t xml:space="preserve"> </w:t>
            </w:r>
            <w:r w:rsidR="000B2F4B" w:rsidRPr="009E0FB9">
              <w:rPr>
                <w:rFonts w:ascii="Verdana" w:hAnsi="Verdana"/>
                <w:b/>
                <w:sz w:val="20"/>
                <w:lang w:val="en-US"/>
              </w:rPr>
              <w:t>May</w:t>
            </w:r>
            <w:r w:rsidR="0020161A" w:rsidRPr="009E0FB9">
              <w:rPr>
                <w:rFonts w:ascii="Verdana" w:hAnsi="Verdana"/>
                <w:b/>
                <w:sz w:val="20"/>
                <w:lang w:val="en-US"/>
              </w:rPr>
              <w:t xml:space="preserve"> 2019</w:t>
            </w:r>
          </w:p>
        </w:tc>
      </w:tr>
      <w:tr w:rsidR="0020161A" w:rsidTr="0020161A">
        <w:trPr>
          <w:cantSplit/>
          <w:trHeight w:val="23"/>
        </w:trPr>
        <w:tc>
          <w:tcPr>
            <w:tcW w:w="6914" w:type="dxa"/>
          </w:tcPr>
          <w:p w:rsidR="0020161A" w:rsidRDefault="0020161A" w:rsidP="00410F76">
            <w:pPr>
              <w:tabs>
                <w:tab w:val="left" w:pos="851"/>
              </w:tabs>
              <w:spacing w:before="0" w:line="240" w:lineRule="atLeast"/>
              <w:rPr>
                <w:rFonts w:ascii="Verdana" w:hAnsi="Verdana"/>
                <w:sz w:val="20"/>
                <w:lang w:val="en-US"/>
              </w:rPr>
            </w:pPr>
          </w:p>
        </w:tc>
        <w:tc>
          <w:tcPr>
            <w:tcW w:w="3121" w:type="dxa"/>
            <w:hideMark/>
          </w:tcPr>
          <w:p w:rsidR="0020161A" w:rsidRDefault="0020161A" w:rsidP="00240AEF">
            <w:pPr>
              <w:tabs>
                <w:tab w:val="left" w:pos="993"/>
              </w:tabs>
              <w:spacing w:before="0"/>
              <w:rPr>
                <w:rFonts w:ascii="Verdana" w:hAnsi="Verdana"/>
                <w:b/>
                <w:sz w:val="20"/>
                <w:lang w:val="en-US"/>
              </w:rPr>
            </w:pPr>
            <w:r>
              <w:rPr>
                <w:rFonts w:ascii="Verdana" w:hAnsi="Verdana"/>
                <w:b/>
                <w:sz w:val="20"/>
                <w:lang w:val="en-US"/>
              </w:rPr>
              <w:t>Original: English</w:t>
            </w:r>
          </w:p>
        </w:tc>
      </w:tr>
      <w:tr w:rsidR="0020161A" w:rsidTr="0020161A">
        <w:trPr>
          <w:cantSplit/>
          <w:trHeight w:val="23"/>
        </w:trPr>
        <w:tc>
          <w:tcPr>
            <w:tcW w:w="10035" w:type="dxa"/>
            <w:gridSpan w:val="2"/>
          </w:tcPr>
          <w:p w:rsidR="0020161A" w:rsidRDefault="0020161A" w:rsidP="00410F76">
            <w:pPr>
              <w:tabs>
                <w:tab w:val="left" w:pos="993"/>
              </w:tabs>
              <w:spacing w:before="0"/>
              <w:rPr>
                <w:rFonts w:ascii="Verdana" w:hAnsi="Verdana"/>
                <w:b/>
                <w:sz w:val="20"/>
                <w:lang w:val="en-US"/>
              </w:rPr>
            </w:pPr>
          </w:p>
        </w:tc>
      </w:tr>
    </w:tbl>
    <w:p w:rsidR="0020161A" w:rsidRDefault="0020161A" w:rsidP="001018F4">
      <w:pPr>
        <w:pStyle w:val="Source"/>
      </w:pPr>
      <w:r>
        <w:t>Note by the Secretary-General</w:t>
      </w:r>
    </w:p>
    <w:p w:rsidR="0020161A" w:rsidRPr="00410F76" w:rsidRDefault="0020161A" w:rsidP="001018F4">
      <w:pPr>
        <w:pStyle w:val="Title1"/>
        <w:rPr>
          <w:b/>
        </w:rPr>
      </w:pPr>
      <w:r>
        <w:t>FINANCIAL RESPONSIBILITIES OF CONFERENCES</w:t>
      </w:r>
    </w:p>
    <w:p w:rsidR="0020161A" w:rsidRDefault="0020161A">
      <w:pPr>
        <w:tabs>
          <w:tab w:val="clear" w:pos="1134"/>
          <w:tab w:val="clear" w:pos="1871"/>
          <w:tab w:val="clear" w:pos="2268"/>
        </w:tabs>
        <w:overflowPunct/>
        <w:autoSpaceDE/>
        <w:autoSpaceDN/>
        <w:adjustRightInd/>
        <w:spacing w:before="0"/>
        <w:textAlignment w:val="auto"/>
        <w:rPr>
          <w:rFonts w:asciiTheme="minorHAnsi" w:hAnsiTheme="minorHAnsi"/>
        </w:rPr>
      </w:pPr>
    </w:p>
    <w:p w:rsidR="009856FB" w:rsidRPr="00851AF9" w:rsidRDefault="009856FB" w:rsidP="001018F4">
      <w:r w:rsidRPr="00851AF9">
        <w:t xml:space="preserve">The attention of the Conference is drawn to No. 92 </w:t>
      </w:r>
      <w:r w:rsidR="0031407C">
        <w:t>(</w:t>
      </w:r>
      <w:r w:rsidRPr="00851AF9">
        <w:t>Article 13</w:t>
      </w:r>
      <w:r w:rsidR="0031407C">
        <w:t>)</w:t>
      </w:r>
      <w:r w:rsidRPr="00851AF9">
        <w:t xml:space="preserve"> of the Constitution of the International Telecommunication Union, which stipulates that:</w:t>
      </w:r>
    </w:p>
    <w:p w:rsidR="009856FB" w:rsidRPr="00851AF9" w:rsidRDefault="009856FB" w:rsidP="001018F4">
      <w:r w:rsidRPr="00851AF9">
        <w:t xml:space="preserve">“The decisions of a world </w:t>
      </w:r>
      <w:proofErr w:type="spellStart"/>
      <w:r w:rsidRPr="00851AF9">
        <w:t>radiocommunication</w:t>
      </w:r>
      <w:proofErr w:type="spellEnd"/>
      <w:r w:rsidRPr="00851AF9">
        <w:t xml:space="preserve"> c</w:t>
      </w:r>
      <w:bookmarkStart w:id="1" w:name="_GoBack"/>
      <w:bookmarkEnd w:id="1"/>
      <w:r w:rsidRPr="00851AF9">
        <w:t xml:space="preserve">onference, of a </w:t>
      </w:r>
      <w:proofErr w:type="spellStart"/>
      <w:r w:rsidRPr="00851AF9">
        <w:t>radiocommunication</w:t>
      </w:r>
      <w:proofErr w:type="spellEnd"/>
      <w:r w:rsidRPr="00851AF9">
        <w:t xml:space="preserve"> assembly and of a regional </w:t>
      </w:r>
      <w:proofErr w:type="spellStart"/>
      <w:r w:rsidRPr="00851AF9">
        <w:t>radiocommunication</w:t>
      </w:r>
      <w:proofErr w:type="spellEnd"/>
      <w:r w:rsidRPr="00851AF9">
        <w:t xml:space="preserve"> conference shall in all circumstances be in conformity with this Constitution and the Convention. The decisions of a </w:t>
      </w:r>
      <w:proofErr w:type="spellStart"/>
      <w:r w:rsidRPr="00851AF9">
        <w:t>radiocommunication</w:t>
      </w:r>
      <w:proofErr w:type="spellEnd"/>
      <w:r w:rsidRPr="00851AF9">
        <w:t xml:space="preserve"> assembly or of a regional </w:t>
      </w:r>
      <w:proofErr w:type="spellStart"/>
      <w:r w:rsidRPr="00851AF9">
        <w:t>radiocommunication</w:t>
      </w:r>
      <w:proofErr w:type="spellEnd"/>
      <w:r w:rsidRPr="00851AF9">
        <w:t xml:space="preserve"> conference shall also in all circumstances be in conformity with the Radio Regulations. When adopting resolutions and decisions, the conferences shall take into account the foreseeable financial implications and should avoid adopting resolutions and decisions which might give rise to expenditure in excess of the financial limits laid down by the Plenipotentiary Conference.</w:t>
      </w:r>
      <w:proofErr w:type="gramStart"/>
      <w:r w:rsidRPr="00851AF9">
        <w:t>”.</w:t>
      </w:r>
      <w:proofErr w:type="gramEnd"/>
    </w:p>
    <w:p w:rsidR="009856FB" w:rsidRPr="00851AF9" w:rsidRDefault="009856FB" w:rsidP="001018F4">
      <w:r w:rsidRPr="00851AF9">
        <w:t>The attention of the Conference is also drawn to Article 34 of the Convention of the International Telecommunication Union, Nos. 488 and 489 which stipulates that:</w:t>
      </w:r>
    </w:p>
    <w:p w:rsidR="009856FB" w:rsidRPr="00851AF9" w:rsidRDefault="009856FB" w:rsidP="001018F4">
      <w:r w:rsidRPr="00851AF9">
        <w:t>“Before adopting proposals or taking decisions with financial implications, the conferences of the Union shall take account of all the Union’s budgetary provisions with a view to ensuring that they will not result in expenses beyond the credits which the Council is empowered to authorize.</w:t>
      </w:r>
    </w:p>
    <w:p w:rsidR="009856FB" w:rsidRPr="00851AF9" w:rsidRDefault="009856FB" w:rsidP="001018F4">
      <w:r w:rsidRPr="00851AF9">
        <w:t>No decision of a conference shall be put into effect if it will result in a direct or indirect increase in expenses beyond the credits that the Council is empowered to authorize.</w:t>
      </w:r>
      <w:proofErr w:type="gramStart"/>
      <w:r w:rsidRPr="00851AF9">
        <w:t>”.</w:t>
      </w:r>
      <w:proofErr w:type="gramEnd"/>
    </w:p>
    <w:p w:rsidR="009856FB" w:rsidRPr="00851AF9" w:rsidRDefault="009856FB" w:rsidP="001018F4"/>
    <w:p w:rsidR="009856FB" w:rsidRPr="00851AF9" w:rsidRDefault="009856FB" w:rsidP="001018F4"/>
    <w:p w:rsidR="009856FB" w:rsidRPr="00851AF9" w:rsidRDefault="009856FB" w:rsidP="001018F4"/>
    <w:p w:rsidR="009856FB" w:rsidRPr="00851AF9" w:rsidRDefault="009856FB" w:rsidP="001018F4">
      <w:pPr>
        <w:tabs>
          <w:tab w:val="center" w:pos="7655"/>
        </w:tabs>
        <w:rPr>
          <w:lang w:val="es-ES_tradnl"/>
        </w:rPr>
      </w:pPr>
      <w:r w:rsidRPr="00851AF9">
        <w:rPr>
          <w:lang w:val="en-US"/>
        </w:rPr>
        <w:tab/>
      </w:r>
      <w:r w:rsidR="00733084">
        <w:rPr>
          <w:lang w:val="en-US"/>
        </w:rPr>
        <w:tab/>
      </w:r>
      <w:r w:rsidR="00733084">
        <w:rPr>
          <w:lang w:val="en-US"/>
        </w:rPr>
        <w:tab/>
      </w:r>
      <w:r w:rsidR="00733084">
        <w:rPr>
          <w:lang w:val="en-US"/>
        </w:rPr>
        <w:tab/>
      </w:r>
      <w:proofErr w:type="spellStart"/>
      <w:r w:rsidR="00851AF9">
        <w:rPr>
          <w:lang w:val="en-US"/>
        </w:rPr>
        <w:t>Houlin</w:t>
      </w:r>
      <w:proofErr w:type="spellEnd"/>
      <w:r w:rsidR="00851AF9">
        <w:rPr>
          <w:lang w:val="en-US"/>
        </w:rPr>
        <w:t xml:space="preserve"> ZHAO</w:t>
      </w:r>
      <w:r w:rsidRPr="00851AF9">
        <w:rPr>
          <w:lang w:val="es-ES_tradnl"/>
        </w:rPr>
        <w:br/>
      </w:r>
      <w:r w:rsidRPr="00851AF9">
        <w:rPr>
          <w:lang w:val="es-ES_tradnl"/>
        </w:rPr>
        <w:tab/>
      </w:r>
      <w:r w:rsidR="00733084">
        <w:rPr>
          <w:lang w:val="es-ES_tradnl"/>
        </w:rPr>
        <w:tab/>
      </w:r>
      <w:r w:rsidR="00733084">
        <w:rPr>
          <w:lang w:val="es-ES_tradnl"/>
        </w:rPr>
        <w:tab/>
      </w:r>
      <w:r w:rsidR="00733084">
        <w:rPr>
          <w:lang w:val="es-ES_tradnl"/>
        </w:rPr>
        <w:tab/>
      </w:r>
      <w:r w:rsidRPr="00851AF9">
        <w:rPr>
          <w:lang w:val="es-ES_tradnl"/>
        </w:rPr>
        <w:t>Secretary-General</w:t>
      </w:r>
    </w:p>
    <w:sectPr w:rsidR="009856FB" w:rsidRPr="00851AF9">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6FB" w:rsidRDefault="009856FB">
      <w:r>
        <w:separator/>
      </w:r>
    </w:p>
  </w:endnote>
  <w:endnote w:type="continuationSeparator" w:id="0">
    <w:p w:rsidR="009856FB" w:rsidRDefault="00985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D05" w:rsidRDefault="00E45D05">
    <w:pPr>
      <w:framePr w:wrap="around" w:vAnchor="text" w:hAnchor="margin" w:xAlign="right" w:y="1"/>
    </w:pPr>
    <w:r>
      <w:fldChar w:fldCharType="begin"/>
    </w:r>
    <w:r>
      <w:instrText xml:space="preserve">PAGE  </w:instrText>
    </w:r>
    <w:r>
      <w:fldChar w:fldCharType="separate"/>
    </w:r>
    <w:r w:rsidR="004A75A8">
      <w:rPr>
        <w:noProof/>
      </w:rPr>
      <w:t>1</w: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F6500">
      <w:rPr>
        <w:noProof/>
        <w:lang w:val="en-US"/>
      </w:rPr>
      <w:t>P:\ENG\ITU-R\CONF-R\CMR12\000\029E.docx</w:t>
    </w:r>
    <w:r>
      <w:fldChar w:fldCharType="end"/>
    </w:r>
    <w:r w:rsidRPr="0041348E">
      <w:rPr>
        <w:lang w:val="en-US"/>
      </w:rPr>
      <w:tab/>
    </w:r>
    <w:r>
      <w:fldChar w:fldCharType="begin"/>
    </w:r>
    <w:r>
      <w:instrText xml:space="preserve"> SAVEDATE \@ DD.MM.YY </w:instrText>
    </w:r>
    <w:r>
      <w:fldChar w:fldCharType="separate"/>
    </w:r>
    <w:r w:rsidR="001018F4">
      <w:rPr>
        <w:noProof/>
      </w:rPr>
      <w:t>16.05.19</w:t>
    </w:r>
    <w:r>
      <w:fldChar w:fldCharType="end"/>
    </w:r>
    <w:r w:rsidRPr="0041348E">
      <w:rPr>
        <w:lang w:val="en-US"/>
      </w:rPr>
      <w:tab/>
    </w:r>
    <w:r>
      <w:fldChar w:fldCharType="begin"/>
    </w:r>
    <w:r>
      <w:instrText xml:space="preserve"> PRINTDATE \@ DD.MM.YY </w:instrText>
    </w:r>
    <w:r>
      <w:fldChar w:fldCharType="separate"/>
    </w:r>
    <w:r w:rsidR="00FF6500">
      <w:rPr>
        <w:noProof/>
      </w:rPr>
      <w:t>02.11.11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FF6500">
      <w:rPr>
        <w:lang w:val="en-US"/>
      </w:rPr>
      <w:t>P:\ENG\ITU-R\CONF-R\CMR12\000\029E.docx</w:t>
    </w:r>
    <w:r>
      <w:fldChar w:fldCharType="end"/>
    </w:r>
    <w:r w:rsidRPr="0041348E">
      <w:rPr>
        <w:lang w:val="en-US"/>
      </w:rPr>
      <w:tab/>
    </w:r>
    <w:r>
      <w:fldChar w:fldCharType="begin"/>
    </w:r>
    <w:r>
      <w:instrText xml:space="preserve"> SAVEDATE \@ DD.MM.YY </w:instrText>
    </w:r>
    <w:r>
      <w:fldChar w:fldCharType="separate"/>
    </w:r>
    <w:r w:rsidR="001018F4">
      <w:t>16.05.19</w:t>
    </w:r>
    <w:r>
      <w:fldChar w:fldCharType="end"/>
    </w:r>
    <w:r w:rsidRPr="0041348E">
      <w:rPr>
        <w:lang w:val="en-US"/>
      </w:rPr>
      <w:tab/>
    </w:r>
    <w:r>
      <w:fldChar w:fldCharType="begin"/>
    </w:r>
    <w:r>
      <w:instrText xml:space="preserve"> PRINTDATE \@ DD.MM.YY </w:instrText>
    </w:r>
    <w:r>
      <w:fldChar w:fldCharType="separate"/>
    </w:r>
    <w:r w:rsidR="00FF6500">
      <w:t>02.11.11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3B7" w:rsidRDefault="001018F4">
    <w:pPr>
      <w:pStyle w:val="Footer"/>
    </w:pPr>
    <w:r>
      <w:fldChar w:fldCharType="begin"/>
    </w:r>
    <w:r>
      <w:instrText xml:space="preserve"> FILENAME  \p  \* MERGEFORMAT </w:instrText>
    </w:r>
    <w:r>
      <w:fldChar w:fldCharType="separate"/>
    </w:r>
    <w:r w:rsidR="006B13B7">
      <w:t>Y:\APP\BR\POOL\WRC-19\DOC\008E.docx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6FB" w:rsidRDefault="009856FB">
      <w:r>
        <w:rPr>
          <w:b/>
        </w:rPr>
        <w:t>_______________</w:t>
      </w:r>
    </w:p>
  </w:footnote>
  <w:footnote w:type="continuationSeparator" w:id="0">
    <w:p w:rsidR="009856FB" w:rsidRDefault="00985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D05" w:rsidRDefault="00E45D05" w:rsidP="00A30305">
    <w:pPr>
      <w:pStyle w:val="Header"/>
    </w:pPr>
    <w:r>
      <w:fldChar w:fldCharType="begin"/>
    </w:r>
    <w:r>
      <w:instrText xml:space="preserve"> PAGE </w:instrText>
    </w:r>
    <w:r>
      <w:fldChar w:fldCharType="separate"/>
    </w:r>
    <w:r w:rsidR="008A5696">
      <w:rPr>
        <w:noProof/>
      </w:rPr>
      <w:t>2</w:t>
    </w:r>
    <w:r>
      <w:fldChar w:fldCharType="end"/>
    </w:r>
  </w:p>
  <w:p w:rsidR="00E45D05" w:rsidRPr="00800972" w:rsidRDefault="009856FB" w:rsidP="00A30305">
    <w:pPr>
      <w:pStyle w:val="Header"/>
    </w:pPr>
    <w:r>
      <w:t>CMR12/29-E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6FB"/>
    <w:rsid w:val="000041EA"/>
    <w:rsid w:val="00022A29"/>
    <w:rsid w:val="000355FD"/>
    <w:rsid w:val="00051E39"/>
    <w:rsid w:val="00077239"/>
    <w:rsid w:val="00084C57"/>
    <w:rsid w:val="00086491"/>
    <w:rsid w:val="00091346"/>
    <w:rsid w:val="000B2F4B"/>
    <w:rsid w:val="000F73FF"/>
    <w:rsid w:val="001018F4"/>
    <w:rsid w:val="00114CF7"/>
    <w:rsid w:val="00123B68"/>
    <w:rsid w:val="00126F2E"/>
    <w:rsid w:val="001420C6"/>
    <w:rsid w:val="00146F6F"/>
    <w:rsid w:val="00190B55"/>
    <w:rsid w:val="001C3B5F"/>
    <w:rsid w:val="001D058F"/>
    <w:rsid w:val="002009EA"/>
    <w:rsid w:val="0020161A"/>
    <w:rsid w:val="00202CA0"/>
    <w:rsid w:val="00240AEF"/>
    <w:rsid w:val="00271316"/>
    <w:rsid w:val="002D58BE"/>
    <w:rsid w:val="0031407C"/>
    <w:rsid w:val="00377BD3"/>
    <w:rsid w:val="00384088"/>
    <w:rsid w:val="003A7F8C"/>
    <w:rsid w:val="003B532E"/>
    <w:rsid w:val="003D0F8B"/>
    <w:rsid w:val="0041348E"/>
    <w:rsid w:val="00480490"/>
    <w:rsid w:val="00492075"/>
    <w:rsid w:val="004969AD"/>
    <w:rsid w:val="004A75A8"/>
    <w:rsid w:val="004D5D5C"/>
    <w:rsid w:val="0050139F"/>
    <w:rsid w:val="005964AB"/>
    <w:rsid w:val="005C099A"/>
    <w:rsid w:val="005C31A5"/>
    <w:rsid w:val="005E61DD"/>
    <w:rsid w:val="005F4D02"/>
    <w:rsid w:val="006023DF"/>
    <w:rsid w:val="00642A36"/>
    <w:rsid w:val="00657DE0"/>
    <w:rsid w:val="00666ECE"/>
    <w:rsid w:val="00685313"/>
    <w:rsid w:val="00694F9A"/>
    <w:rsid w:val="006A6E9B"/>
    <w:rsid w:val="006B102B"/>
    <w:rsid w:val="006B13B7"/>
    <w:rsid w:val="007149F9"/>
    <w:rsid w:val="00733084"/>
    <w:rsid w:val="00733A30"/>
    <w:rsid w:val="00745AEE"/>
    <w:rsid w:val="007742CA"/>
    <w:rsid w:val="00800972"/>
    <w:rsid w:val="00811633"/>
    <w:rsid w:val="00851AF9"/>
    <w:rsid w:val="00872FC8"/>
    <w:rsid w:val="008845D0"/>
    <w:rsid w:val="008A5696"/>
    <w:rsid w:val="008B43F2"/>
    <w:rsid w:val="008C1AA5"/>
    <w:rsid w:val="009274B4"/>
    <w:rsid w:val="00944A5C"/>
    <w:rsid w:val="00952A66"/>
    <w:rsid w:val="009856FB"/>
    <w:rsid w:val="009A6BA3"/>
    <w:rsid w:val="009C56E5"/>
    <w:rsid w:val="009E0FB9"/>
    <w:rsid w:val="009E5FC8"/>
    <w:rsid w:val="009E687A"/>
    <w:rsid w:val="00A141AF"/>
    <w:rsid w:val="00A16B3D"/>
    <w:rsid w:val="00A16D29"/>
    <w:rsid w:val="00A22597"/>
    <w:rsid w:val="00A30305"/>
    <w:rsid w:val="00A31D2D"/>
    <w:rsid w:val="00A4600A"/>
    <w:rsid w:val="00A54C25"/>
    <w:rsid w:val="00A710E7"/>
    <w:rsid w:val="00A7372E"/>
    <w:rsid w:val="00A93B85"/>
    <w:rsid w:val="00AA0B18"/>
    <w:rsid w:val="00B639E9"/>
    <w:rsid w:val="00B746B1"/>
    <w:rsid w:val="00B817CD"/>
    <w:rsid w:val="00BB3A95"/>
    <w:rsid w:val="00BF345D"/>
    <w:rsid w:val="00C0018F"/>
    <w:rsid w:val="00C20466"/>
    <w:rsid w:val="00C214ED"/>
    <w:rsid w:val="00C234E6"/>
    <w:rsid w:val="00C324A8"/>
    <w:rsid w:val="00C3263C"/>
    <w:rsid w:val="00C54517"/>
    <w:rsid w:val="00C97C68"/>
    <w:rsid w:val="00CA1A47"/>
    <w:rsid w:val="00CC247A"/>
    <w:rsid w:val="00CE5E47"/>
    <w:rsid w:val="00CF020F"/>
    <w:rsid w:val="00CF2B5B"/>
    <w:rsid w:val="00D14CE0"/>
    <w:rsid w:val="00D5651D"/>
    <w:rsid w:val="00D74898"/>
    <w:rsid w:val="00D801ED"/>
    <w:rsid w:val="00D936BC"/>
    <w:rsid w:val="00D962FB"/>
    <w:rsid w:val="00D96530"/>
    <w:rsid w:val="00DB09CD"/>
    <w:rsid w:val="00DD44AF"/>
    <w:rsid w:val="00DE2AC3"/>
    <w:rsid w:val="00DE5692"/>
    <w:rsid w:val="00E03C94"/>
    <w:rsid w:val="00E26226"/>
    <w:rsid w:val="00E45D05"/>
    <w:rsid w:val="00E55AEF"/>
    <w:rsid w:val="00E976C1"/>
    <w:rsid w:val="00EA12E5"/>
    <w:rsid w:val="00F02766"/>
    <w:rsid w:val="00F05BD4"/>
    <w:rsid w:val="00F31941"/>
    <w:rsid w:val="00F65C19"/>
    <w:rsid w:val="00FD2546"/>
    <w:rsid w:val="00FD772E"/>
    <w:rsid w:val="00FE78C7"/>
    <w:rsid w:val="00FF43AC"/>
    <w:rsid w:val="00FF65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8ECCA2B0-79A6-4ABB-8986-A8299C00D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next w:val="AppArttitle"/>
    <w:qFormat/>
    <w:rsid w:val="00D962FB"/>
  </w:style>
  <w:style w:type="paragraph" w:customStyle="1" w:styleId="AppArttitle">
    <w:name w:val="App_Art_title"/>
    <w:basedOn w:val="Arttitle"/>
    <w:next w:val="Normalaftertitle"/>
    <w:qFormat/>
    <w:rsid w:val="00D962FB"/>
  </w:style>
  <w:style w:type="paragraph" w:styleId="BalloonText">
    <w:name w:val="Balloon Text"/>
    <w:basedOn w:val="Normal"/>
    <w:link w:val="BalloonTextChar"/>
    <w:semiHidden/>
    <w:unhideWhenUsed/>
    <w:rsid w:val="005F4D02"/>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5F4D02"/>
    <w:rPr>
      <w:rFonts w:ascii="Tahoma" w:hAnsi="Tahoma" w:cs="Tahoma"/>
      <w:sz w:val="16"/>
      <w:szCs w:val="16"/>
      <w:lang w:val="en-GB" w:eastAsia="en-US"/>
    </w:rPr>
  </w:style>
  <w:style w:type="paragraph" w:customStyle="1" w:styleId="Committee">
    <w:name w:val="Committee"/>
    <w:basedOn w:val="Normal"/>
    <w:qFormat/>
    <w:rsid w:val="0020161A"/>
    <w:pPr>
      <w:framePr w:hSpace="180" w:wrap="around" w:hAnchor="margin" w:y="-675"/>
      <w:tabs>
        <w:tab w:val="left" w:pos="851"/>
      </w:tabs>
      <w:spacing w:before="0" w:line="240" w:lineRule="atLeast"/>
      <w:textAlignment w:val="auto"/>
    </w:pPr>
    <w:rPr>
      <w:rFonts w:cstheme="minorHAnsi"/>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WRC12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9581D-879F-494A-B576-BA5C917C0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PE_WRC121.dotm</Template>
  <TotalTime>0</TotalTime>
  <Pages>1</Pages>
  <Words>252</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1759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- 2012</dc:subject>
  <dc:creator>Currie, Jane</dc:creator>
  <dc:description>PE_WRC12.dotm  For: Document date: Saved by MM-106465 at 12:06:40 on 21/03/11</dc:description>
  <cp:lastModifiedBy>Ferrer, Jacqueline</cp:lastModifiedBy>
  <cp:revision>2</cp:revision>
  <cp:lastPrinted>2011-11-02T15:09:00Z</cp:lastPrinted>
  <dcterms:created xsi:type="dcterms:W3CDTF">2019-10-31T14:30:00Z</dcterms:created>
  <dcterms:modified xsi:type="dcterms:W3CDTF">2019-10-31T14:30:00Z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