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7F6B3A">
        <w:trPr>
          <w:cantSplit/>
          <w:trHeight w:val="20"/>
        </w:trPr>
        <w:tc>
          <w:tcPr>
            <w:tcW w:w="6619" w:type="dxa"/>
          </w:tcPr>
          <w:p w:rsidR="00280E04" w:rsidRPr="00F16602" w:rsidRDefault="00A375BD" w:rsidP="00007A32">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AD162B">
              <w:t>9</w:t>
            </w:r>
            <w:r w:rsidRPr="00584333">
              <w:t>)</w:t>
            </w:r>
            <w:r w:rsidR="00007A32">
              <w:rPr>
                <w:rtl/>
              </w:rPr>
              <w:br/>
            </w:r>
            <w:r w:rsidR="00EE60E9" w:rsidRPr="00831515">
              <w:rPr>
                <w:rFonts w:ascii="Calibri" w:hAnsi="Calibri"/>
                <w:sz w:val="38"/>
                <w:szCs w:val="38"/>
                <w:rtl/>
              </w:rPr>
              <w:t>شرم الشيخ، مصر</w:t>
            </w:r>
            <w:r w:rsidR="00EE60E9" w:rsidRPr="00E526FC">
              <w:rPr>
                <w:rFonts w:ascii="Calibri" w:hAnsi="Calibri" w:hint="cs"/>
                <w:sz w:val="38"/>
                <w:szCs w:val="38"/>
                <w:rtl/>
              </w:rPr>
              <w:t>،</w:t>
            </w:r>
            <w:r w:rsidR="00EE60E9" w:rsidRPr="001040A3">
              <w:rPr>
                <w:rFonts w:ascii="Calibri" w:hAnsi="Calibri" w:hint="cs"/>
                <w:rtl/>
              </w:rPr>
              <w:t xml:space="preserve"> </w:t>
            </w:r>
            <w:r w:rsidR="00EE60E9" w:rsidRPr="00E526FC">
              <w:rPr>
                <w:rFonts w:ascii="Verdana" w:hAnsi="Verdana"/>
                <w:sz w:val="24"/>
                <w:szCs w:val="36"/>
                <w:lang w:bidi="ar-SY"/>
              </w:rPr>
              <w:t>2</w:t>
            </w:r>
            <w:r w:rsidR="00EE60E9">
              <w:rPr>
                <w:rFonts w:ascii="Verdana" w:hAnsi="Verdana"/>
                <w:sz w:val="24"/>
                <w:szCs w:val="36"/>
                <w:lang w:bidi="ar-SY"/>
              </w:rPr>
              <w:t>8</w:t>
            </w:r>
            <w:r w:rsidR="00EE60E9" w:rsidRPr="001040A3">
              <w:rPr>
                <w:rFonts w:ascii="Calibri" w:hAnsi="Calibri" w:hint="cs"/>
                <w:rtl/>
              </w:rPr>
              <w:t xml:space="preserve"> </w:t>
            </w:r>
            <w:r w:rsidR="00EE60E9" w:rsidRPr="00E526FC">
              <w:rPr>
                <w:rFonts w:ascii="Calibri" w:hAnsi="Calibri" w:hint="cs"/>
                <w:sz w:val="38"/>
                <w:szCs w:val="38"/>
                <w:rtl/>
              </w:rPr>
              <w:t>أكتوبر</w:t>
            </w:r>
            <w:r w:rsidR="00D073FE" w:rsidRPr="00D073FE">
              <w:rPr>
                <w:rFonts w:hint="cs"/>
                <w:rtl/>
              </w:rPr>
              <w:t xml:space="preserve"> </w:t>
            </w:r>
            <w:r w:rsidR="00EE60E9" w:rsidRPr="001040A3">
              <w:rPr>
                <w:rFonts w:ascii="Calibri" w:hAnsi="Calibri" w:hint="cs"/>
                <w:rtl/>
              </w:rPr>
              <w:t xml:space="preserve">- </w:t>
            </w:r>
            <w:r w:rsidR="00EE60E9">
              <w:rPr>
                <w:rFonts w:ascii="Verdana" w:hAnsi="Verdana"/>
                <w:sz w:val="24"/>
                <w:szCs w:val="36"/>
              </w:rPr>
              <w:t>22</w:t>
            </w:r>
            <w:r w:rsidR="00EE60E9" w:rsidRPr="001040A3">
              <w:rPr>
                <w:rFonts w:ascii="Calibri" w:hAnsi="Calibri" w:cs="Times New Roman" w:hint="cs"/>
                <w:rtl/>
              </w:rPr>
              <w:t xml:space="preserve"> </w:t>
            </w:r>
            <w:r w:rsidR="00D073FE">
              <w:rPr>
                <w:rFonts w:ascii="Calibri" w:hAnsi="Calibri" w:hint="cs"/>
                <w:rtl/>
              </w:rPr>
              <w:t>نو</w:t>
            </w:r>
            <w:r w:rsidR="00EE60E9" w:rsidRPr="00E526FC">
              <w:rPr>
                <w:rFonts w:ascii="Calibri" w:hAnsi="Calibri" w:hint="cs"/>
                <w:sz w:val="38"/>
                <w:szCs w:val="38"/>
                <w:rtl/>
              </w:rPr>
              <w:t>فمبر</w:t>
            </w:r>
            <w:r w:rsidR="00EE60E9" w:rsidRPr="001040A3">
              <w:rPr>
                <w:rFonts w:ascii="Calibri" w:hAnsi="Calibri" w:hint="cs"/>
                <w:rtl/>
              </w:rPr>
              <w:t xml:space="preserve"> </w:t>
            </w:r>
            <w:r w:rsidR="00EE60E9" w:rsidRPr="00E526FC">
              <w:rPr>
                <w:rFonts w:ascii="Verdana" w:hAnsi="Verdana"/>
                <w:sz w:val="24"/>
                <w:szCs w:val="36"/>
                <w:lang w:bidi="ar-SY"/>
              </w:rPr>
              <w:t>201</w:t>
            </w:r>
            <w:r w:rsidR="00EE60E9">
              <w:rPr>
                <w:rFonts w:ascii="Verdana" w:hAnsi="Verdana"/>
                <w:sz w:val="24"/>
                <w:szCs w:val="36"/>
                <w:lang w:bidi="ar-SY"/>
              </w:rPr>
              <w:t>9</w:t>
            </w:r>
          </w:p>
        </w:tc>
        <w:tc>
          <w:tcPr>
            <w:tcW w:w="3053" w:type="dxa"/>
          </w:tcPr>
          <w:p w:rsidR="00280E04" w:rsidRDefault="00A375BD" w:rsidP="00D44350">
            <w:pPr>
              <w:rPr>
                <w:rtl/>
                <w:lang w:bidi="ar-EG"/>
              </w:rPr>
            </w:pPr>
            <w:bookmarkStart w:id="0" w:name="ditulogo"/>
            <w:bookmarkEnd w:id="0"/>
            <w:r>
              <w:rPr>
                <w:noProof/>
                <w:lang w:val="en-GB" w:eastAsia="zh-CN"/>
              </w:rPr>
              <w:drawing>
                <wp:inline distT="0" distB="0" distL="0" distR="0" wp14:anchorId="3457293C" wp14:editId="0ED5BC4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7F6B3A">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7F6B3A">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A809E8" w:rsidTr="007F6B3A">
        <w:trPr>
          <w:cantSplit/>
        </w:trPr>
        <w:tc>
          <w:tcPr>
            <w:tcW w:w="6619" w:type="dxa"/>
          </w:tcPr>
          <w:p w:rsidR="00A809E8" w:rsidRPr="00B937CC" w:rsidRDefault="00A809E8" w:rsidP="002F7960">
            <w:pPr>
              <w:pStyle w:val="Committee"/>
              <w:framePr w:hSpace="0" w:wrap="auto" w:hAnchor="text" w:yAlign="inline"/>
              <w:bidi/>
              <w:spacing w:line="320" w:lineRule="exact"/>
              <w:rPr>
                <w:rFonts w:ascii="Verdana Bold" w:hAnsi="Verdana Bold"/>
                <w:sz w:val="19"/>
                <w:szCs w:val="30"/>
                <w:rtl/>
              </w:rPr>
            </w:pPr>
            <w:r w:rsidRPr="00B937CC">
              <w:rPr>
                <w:rFonts w:ascii="Verdana Bold" w:hAnsi="Verdana Bold" w:cs="Traditional Arabic"/>
                <w:bCs/>
                <w:sz w:val="19"/>
                <w:szCs w:val="30"/>
                <w:rtl/>
                <w:lang w:val="en-US" w:bidi="ar-EG"/>
              </w:rPr>
              <w:t>الجلسة العامة</w:t>
            </w:r>
          </w:p>
        </w:tc>
        <w:tc>
          <w:tcPr>
            <w:tcW w:w="3053" w:type="dxa"/>
            <w:vAlign w:val="center"/>
          </w:tcPr>
          <w:p w:rsidR="00A809E8" w:rsidRPr="00B937CC" w:rsidRDefault="007F6B3A" w:rsidP="007F6B3A">
            <w:pPr>
              <w:pStyle w:val="Adress"/>
              <w:framePr w:hSpace="0" w:wrap="auto" w:xAlign="left" w:yAlign="inline"/>
              <w:spacing w:before="0" w:line="320" w:lineRule="exact"/>
              <w:rPr>
                <w:rtl/>
              </w:rPr>
            </w:pPr>
            <w:r w:rsidRPr="00B937CC">
              <w:rPr>
                <w:rFonts w:hint="cs"/>
                <w:rtl/>
              </w:rPr>
              <w:t xml:space="preserve">الإضافة </w:t>
            </w:r>
            <w:r w:rsidRPr="00B937CC">
              <w:t>4</w:t>
            </w:r>
            <w:r w:rsidRPr="00B937CC">
              <w:rPr>
                <w:rtl/>
              </w:rPr>
              <w:br/>
            </w:r>
            <w:r w:rsidRPr="00B937CC">
              <w:rPr>
                <w:rFonts w:hint="cs"/>
                <w:rtl/>
              </w:rPr>
              <w:t>ل</w:t>
            </w:r>
            <w:r w:rsidR="00A809E8" w:rsidRPr="00B937CC">
              <w:rPr>
                <w:rFonts w:hint="cs"/>
                <w:rtl/>
              </w:rPr>
              <w:t>ل</w:t>
            </w:r>
            <w:r w:rsidR="00A809E8" w:rsidRPr="00B937CC">
              <w:rPr>
                <w:rtl/>
              </w:rPr>
              <w:t>و</w:t>
            </w:r>
            <w:r w:rsidR="00A809E8" w:rsidRPr="00B937CC">
              <w:rPr>
                <w:rFonts w:hint="cs"/>
                <w:rtl/>
              </w:rPr>
              <w:t xml:space="preserve">ثيقة </w:t>
            </w:r>
            <w:r w:rsidRPr="00B937CC">
              <w:t>10(Add.14)</w:t>
            </w:r>
            <w:r w:rsidR="00A809E8" w:rsidRPr="00B937CC">
              <w:t>-A</w:t>
            </w:r>
          </w:p>
        </w:tc>
      </w:tr>
      <w:tr w:rsidR="00A809E8" w:rsidTr="007F6B3A">
        <w:trPr>
          <w:cantSplit/>
        </w:trPr>
        <w:tc>
          <w:tcPr>
            <w:tcW w:w="6619" w:type="dxa"/>
          </w:tcPr>
          <w:p w:rsidR="00A809E8" w:rsidRPr="00B937CC" w:rsidRDefault="00A809E8" w:rsidP="002F7960">
            <w:pPr>
              <w:pStyle w:val="Adress"/>
              <w:framePr w:hSpace="0" w:wrap="auto" w:xAlign="left" w:yAlign="inline"/>
              <w:spacing w:before="0" w:line="320" w:lineRule="exact"/>
              <w:rPr>
                <w:rtl/>
              </w:rPr>
            </w:pPr>
          </w:p>
        </w:tc>
        <w:tc>
          <w:tcPr>
            <w:tcW w:w="3053" w:type="dxa"/>
            <w:vAlign w:val="center"/>
          </w:tcPr>
          <w:p w:rsidR="00A809E8" w:rsidRPr="00B937CC" w:rsidRDefault="007F6B3A" w:rsidP="007F6B3A">
            <w:pPr>
              <w:pStyle w:val="Adress"/>
              <w:framePr w:hSpace="0" w:wrap="auto" w:xAlign="left" w:yAlign="inline"/>
              <w:spacing w:before="0" w:line="320" w:lineRule="exact"/>
              <w:rPr>
                <w:rtl/>
              </w:rPr>
            </w:pPr>
            <w:r w:rsidRPr="00B937CC">
              <w:t>15</w:t>
            </w:r>
            <w:r w:rsidR="00A809E8" w:rsidRPr="00B937CC">
              <w:rPr>
                <w:rFonts w:hint="cs"/>
                <w:rtl/>
              </w:rPr>
              <w:t xml:space="preserve"> </w:t>
            </w:r>
            <w:r w:rsidRPr="00B937CC">
              <w:rPr>
                <w:rFonts w:hint="cs"/>
                <w:rtl/>
              </w:rPr>
              <w:t xml:space="preserve">مايو </w:t>
            </w:r>
            <w:r w:rsidR="00A809E8" w:rsidRPr="00B937CC">
              <w:t>201</w:t>
            </w:r>
            <w:r w:rsidR="00A375BD" w:rsidRPr="00B937CC">
              <w:t>9</w:t>
            </w:r>
          </w:p>
        </w:tc>
      </w:tr>
      <w:tr w:rsidR="00A809E8" w:rsidTr="007F6B3A">
        <w:trPr>
          <w:cantSplit/>
        </w:trPr>
        <w:tc>
          <w:tcPr>
            <w:tcW w:w="6619" w:type="dxa"/>
          </w:tcPr>
          <w:p w:rsidR="00A809E8" w:rsidRPr="00B937CC" w:rsidRDefault="00A809E8" w:rsidP="002F7960">
            <w:pPr>
              <w:pStyle w:val="Adress"/>
              <w:framePr w:hSpace="0" w:wrap="auto" w:xAlign="left" w:yAlign="inline"/>
              <w:spacing w:before="0" w:line="320" w:lineRule="exact"/>
              <w:rPr>
                <w:rFonts w:eastAsia="SimSun" w:hint="eastAsia"/>
                <w:rtl/>
              </w:rPr>
            </w:pPr>
          </w:p>
        </w:tc>
        <w:tc>
          <w:tcPr>
            <w:tcW w:w="3053" w:type="dxa"/>
            <w:vAlign w:val="center"/>
          </w:tcPr>
          <w:p w:rsidR="00A809E8" w:rsidRPr="00B937CC" w:rsidRDefault="00A809E8" w:rsidP="002F7960">
            <w:pPr>
              <w:pStyle w:val="Adress"/>
              <w:framePr w:hSpace="0" w:wrap="auto" w:xAlign="left" w:yAlign="inline"/>
              <w:spacing w:before="0" w:line="320" w:lineRule="exact"/>
              <w:rPr>
                <w:rFonts w:eastAsia="SimSun" w:hint="eastAsia"/>
              </w:rPr>
            </w:pPr>
            <w:r w:rsidRPr="00B937CC">
              <w:rPr>
                <w:rFonts w:hint="cs"/>
                <w:rtl/>
              </w:rPr>
              <w:t>الأصل: بالإنكليزية</w:t>
            </w:r>
          </w:p>
        </w:tc>
      </w:tr>
      <w:tr w:rsidR="00764079" w:rsidTr="007F6B3A">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7F6B3A">
        <w:trPr>
          <w:cantSplit/>
        </w:trPr>
        <w:tc>
          <w:tcPr>
            <w:tcW w:w="9672" w:type="dxa"/>
            <w:gridSpan w:val="2"/>
          </w:tcPr>
          <w:p w:rsidR="00764079" w:rsidRPr="00E621A3" w:rsidRDefault="007F6B3A" w:rsidP="007F6B3A">
            <w:pPr>
              <w:pStyle w:val="Source"/>
              <w:rPr>
                <w:rtl/>
              </w:rPr>
            </w:pPr>
            <w:r w:rsidRPr="007F6B3A">
              <w:rPr>
                <w:rtl/>
                <w:lang w:bidi="ar-SA"/>
              </w:rPr>
              <w:t>الولايات المتحدة الأمريكية</w:t>
            </w:r>
          </w:p>
        </w:tc>
      </w:tr>
      <w:tr w:rsidR="00764079" w:rsidTr="007F6B3A">
        <w:trPr>
          <w:cantSplit/>
        </w:trPr>
        <w:tc>
          <w:tcPr>
            <w:tcW w:w="9672" w:type="dxa"/>
            <w:gridSpan w:val="2"/>
          </w:tcPr>
          <w:p w:rsidR="00764079" w:rsidRPr="00BD6EF3" w:rsidRDefault="007F6B3A" w:rsidP="007F6B3A">
            <w:pPr>
              <w:pStyle w:val="Title1"/>
              <w:spacing w:before="240"/>
              <w:rPr>
                <w:rtl/>
              </w:rPr>
            </w:pPr>
            <w:r w:rsidRPr="007F6B3A">
              <w:rPr>
                <w:rtl/>
                <w:lang w:bidi="ar-SA"/>
              </w:rPr>
              <w:t>مقترحات بشأن أعمال المؤتمر</w:t>
            </w:r>
          </w:p>
        </w:tc>
      </w:tr>
      <w:tr w:rsidR="00764079" w:rsidTr="007F6B3A">
        <w:trPr>
          <w:cantSplit/>
        </w:trPr>
        <w:tc>
          <w:tcPr>
            <w:tcW w:w="9672" w:type="dxa"/>
            <w:gridSpan w:val="2"/>
          </w:tcPr>
          <w:p w:rsidR="00764079" w:rsidRPr="00BD6EF3" w:rsidRDefault="00764079" w:rsidP="00B937CC">
            <w:pPr>
              <w:rPr>
                <w:rtl/>
              </w:rPr>
            </w:pPr>
          </w:p>
        </w:tc>
      </w:tr>
      <w:tr w:rsidR="00764079" w:rsidTr="007F6B3A">
        <w:trPr>
          <w:cantSplit/>
        </w:trPr>
        <w:tc>
          <w:tcPr>
            <w:tcW w:w="9672" w:type="dxa"/>
            <w:gridSpan w:val="2"/>
          </w:tcPr>
          <w:p w:rsidR="00764079" w:rsidRPr="007F6B3A" w:rsidRDefault="007F6B3A" w:rsidP="007F6B3A">
            <w:pPr>
              <w:pStyle w:val="Agendaitem"/>
              <w:spacing w:before="240" w:line="192" w:lineRule="auto"/>
              <w:rPr>
                <w:lang w:val="en-US"/>
              </w:rPr>
            </w:pPr>
            <w:r w:rsidRPr="007F6B3A">
              <w:rPr>
                <w:rtl/>
                <w:lang w:bidi="ar-SA"/>
              </w:rPr>
              <w:t xml:space="preserve">البند </w:t>
            </w:r>
            <w:r w:rsidRPr="007F6B3A">
              <w:rPr>
                <w:lang w:val="en-US"/>
              </w:rPr>
              <w:t>14.1</w:t>
            </w:r>
            <w:r w:rsidRPr="007F6B3A">
              <w:rPr>
                <w:rtl/>
                <w:lang w:bidi="ar-SA"/>
              </w:rPr>
              <w:t xml:space="preserve"> من جدول الأعمال</w:t>
            </w:r>
          </w:p>
        </w:tc>
      </w:tr>
    </w:tbl>
    <w:p w:rsidR="007F6B3A" w:rsidRDefault="007F6B3A" w:rsidP="007F6B3A">
      <w:pPr>
        <w:pStyle w:val="Normalaftertitle"/>
      </w:pPr>
      <w:r>
        <w:rPr>
          <w:lang w:bidi="ar-EG"/>
        </w:rPr>
        <w:t>14.1</w:t>
      </w:r>
      <w:r>
        <w:rPr>
          <w:rtl/>
        </w:rPr>
        <w:tab/>
      </w:r>
      <w:r>
        <w:rPr>
          <w:color w:val="000000"/>
          <w:rtl/>
        </w:rPr>
        <w:t xml:space="preserve">النظر، على أساس دراسات قطاع الاتصالات الراديوية وفقاً للقرار </w:t>
      </w:r>
      <w:r>
        <w:rPr>
          <w:b/>
          <w:bCs/>
        </w:rPr>
        <w:t>160 (WRC</w:t>
      </w:r>
      <w:r>
        <w:rPr>
          <w:b/>
          <w:bCs/>
        </w:rPr>
        <w:noBreakHyphen/>
        <w:t>15</w:t>
      </w:r>
      <w:proofErr w:type="gramStart"/>
      <w:r>
        <w:rPr>
          <w:b/>
          <w:bCs/>
        </w:rPr>
        <w:t>)</w:t>
      </w:r>
      <w:r w:rsidR="00496B1A" w:rsidRPr="00DB1E62">
        <w:rPr>
          <w:rFonts w:hint="cs"/>
          <w:rtl/>
          <w:lang w:bidi="ar-EG"/>
        </w:rPr>
        <w:t>،</w:t>
      </w:r>
      <w:proofErr w:type="gramEnd"/>
      <w:r>
        <w:rPr>
          <w:color w:val="000000"/>
          <w:rtl/>
        </w:rPr>
        <w:t xml:space="preserve"> في التدابير التنظيمية المناسبة من أجل محطات المنصات عالية الارتفاع </w:t>
      </w:r>
      <w:r>
        <w:rPr>
          <w:color w:val="000000"/>
        </w:rPr>
        <w:t>(HAPS)</w:t>
      </w:r>
      <w:r>
        <w:rPr>
          <w:color w:val="000000"/>
          <w:rtl/>
        </w:rPr>
        <w:t>، ضمن التوزيعات الحالية للخدمة الثابتة؛</w:t>
      </w:r>
    </w:p>
    <w:p w:rsidR="007F6B3A" w:rsidRDefault="007F6B3A" w:rsidP="00E057E5">
      <w:pPr>
        <w:pStyle w:val="Part1"/>
        <w:rPr>
          <w:rtl/>
        </w:rPr>
      </w:pPr>
      <w:r>
        <w:rPr>
          <w:rtl/>
        </w:rPr>
        <w:t xml:space="preserve">الجزء </w:t>
      </w:r>
      <w:r>
        <w:t>4</w:t>
      </w:r>
      <w:r>
        <w:rPr>
          <w:rtl/>
        </w:rPr>
        <w:t xml:space="preserve"> </w:t>
      </w:r>
      <w:r>
        <w:rPr>
          <w:rFonts w:hint="cs"/>
          <w:rtl/>
        </w:rPr>
        <w:t xml:space="preserve">– مدى التردد </w:t>
      </w:r>
      <w:r>
        <w:t>GHz 25,25-24,25</w:t>
      </w:r>
    </w:p>
    <w:p w:rsidR="007F6B3A" w:rsidRDefault="007F6B3A" w:rsidP="00496B1A">
      <w:pPr>
        <w:pStyle w:val="Headingb"/>
        <w:rPr>
          <w:rtl/>
        </w:rPr>
      </w:pPr>
      <w:r>
        <w:rPr>
          <w:rtl/>
        </w:rPr>
        <w:t>مقدمة</w:t>
      </w:r>
    </w:p>
    <w:p w:rsidR="007F6B3A" w:rsidRDefault="007F6B3A" w:rsidP="007F6B3A">
      <w:pPr>
        <w:rPr>
          <w:rtl/>
        </w:rPr>
      </w:pPr>
      <w:r>
        <w:rPr>
          <w:rtl/>
        </w:rPr>
        <w:t xml:space="preserve">تتضمن هذه الوثيقة مقترحاً من الولايات المتحدة بشأن البند </w:t>
      </w:r>
      <w:r>
        <w:t>14.1</w:t>
      </w:r>
      <w:r>
        <w:rPr>
          <w:rtl/>
        </w:rPr>
        <w:t xml:space="preserve"> من جدول أعمال المؤتمر </w:t>
      </w:r>
      <w:r>
        <w:t>WRC-19</w:t>
      </w:r>
      <w:r>
        <w:rPr>
          <w:rtl/>
        </w:rPr>
        <w:t xml:space="preserve"> </w:t>
      </w:r>
      <w:r>
        <w:rPr>
          <w:rFonts w:hint="cs"/>
          <w:rtl/>
        </w:rPr>
        <w:t xml:space="preserve">بخصوص مدى التردد </w:t>
      </w:r>
      <w:r>
        <w:t>GHz 25,25-24,25</w:t>
      </w:r>
      <w:r>
        <w:rPr>
          <w:rtl/>
        </w:rPr>
        <w:t xml:space="preserve"> لكي ينظر فيه المؤتمر.</w:t>
      </w:r>
    </w:p>
    <w:p w:rsidR="007F6B3A" w:rsidRDefault="00496B1A" w:rsidP="00496B1A">
      <w:pPr>
        <w:pStyle w:val="Headingb"/>
        <w:rPr>
          <w:rtl/>
        </w:rPr>
      </w:pPr>
      <w:r>
        <w:rPr>
          <w:rFonts w:hint="cs"/>
          <w:rtl/>
        </w:rPr>
        <w:t>خلفية</w:t>
      </w:r>
    </w:p>
    <w:p w:rsidR="007F6B3A" w:rsidRPr="00496B1A" w:rsidRDefault="007F6B3A" w:rsidP="00DB1E62">
      <w:pPr>
        <w:rPr>
          <w:spacing w:val="-2"/>
          <w:rtl/>
        </w:rPr>
      </w:pPr>
      <w:r w:rsidRPr="00496B1A">
        <w:rPr>
          <w:spacing w:val="-2"/>
          <w:rtl/>
        </w:rPr>
        <w:t xml:space="preserve">يعرّف الرقم </w:t>
      </w:r>
      <w:r w:rsidRPr="00496B1A">
        <w:rPr>
          <w:b/>
          <w:bCs/>
          <w:spacing w:val="-2"/>
        </w:rPr>
        <w:t>66A.1</w:t>
      </w:r>
      <w:r w:rsidRPr="00496B1A">
        <w:rPr>
          <w:spacing w:val="-2"/>
          <w:rtl/>
        </w:rPr>
        <w:t xml:space="preserve"> من لوائح الراديو الصادرة عن الاتحاد محطة منصة عالية الارتفاع </w:t>
      </w:r>
      <w:r w:rsidRPr="00496B1A">
        <w:rPr>
          <w:spacing w:val="-2"/>
        </w:rPr>
        <w:t>(HAPS)</w:t>
      </w:r>
      <w:r w:rsidRPr="00496B1A">
        <w:rPr>
          <w:spacing w:val="-2"/>
          <w:rtl/>
        </w:rPr>
        <w:t xml:space="preserve"> بوصفها "محطة توجد على جسم واقع على ارتفاع يتراوح بين </w:t>
      </w:r>
      <w:r w:rsidRPr="00496B1A">
        <w:rPr>
          <w:spacing w:val="-2"/>
        </w:rPr>
        <w:t>20</w:t>
      </w:r>
      <w:r w:rsidRPr="00496B1A">
        <w:rPr>
          <w:spacing w:val="-2"/>
          <w:rtl/>
        </w:rPr>
        <w:t xml:space="preserve"> و</w:t>
      </w:r>
      <w:r w:rsidRPr="00496B1A">
        <w:rPr>
          <w:spacing w:val="-2"/>
        </w:rPr>
        <w:t>km 50</w:t>
      </w:r>
      <w:r w:rsidRPr="00496B1A">
        <w:rPr>
          <w:spacing w:val="-2"/>
          <w:rtl/>
        </w:rPr>
        <w:t>، عند نقطة اسمية محددة ثابتة بالنسبة إلى الأرض". واعتمد المؤتمر العالمي للاتصالات الراديوية لعام</w:t>
      </w:r>
      <w:r w:rsidR="00496B1A">
        <w:rPr>
          <w:rFonts w:hint="cs"/>
          <w:spacing w:val="-2"/>
          <w:rtl/>
        </w:rPr>
        <w:t> </w:t>
      </w:r>
      <w:r w:rsidRPr="00496B1A">
        <w:rPr>
          <w:spacing w:val="-2"/>
        </w:rPr>
        <w:t>2015</w:t>
      </w:r>
      <w:r w:rsidRPr="00496B1A">
        <w:rPr>
          <w:spacing w:val="-2"/>
          <w:rtl/>
        </w:rPr>
        <w:t xml:space="preserve"> البند </w:t>
      </w:r>
      <w:r w:rsidRPr="00496B1A">
        <w:rPr>
          <w:spacing w:val="-2"/>
        </w:rPr>
        <w:t>14.1</w:t>
      </w:r>
      <w:r w:rsidRPr="00496B1A">
        <w:rPr>
          <w:spacing w:val="-2"/>
          <w:rtl/>
        </w:rPr>
        <w:t xml:space="preserve"> من جدول الأعمال للنظر، وفقاً للقرار </w:t>
      </w:r>
      <w:r w:rsidRPr="000C3B72">
        <w:rPr>
          <w:b/>
          <w:bCs/>
          <w:spacing w:val="-2"/>
        </w:rPr>
        <w:t>160 (WRC-15)</w:t>
      </w:r>
      <w:r w:rsidRPr="00496B1A">
        <w:rPr>
          <w:spacing w:val="-2"/>
          <w:rtl/>
        </w:rPr>
        <w:t xml:space="preserve">، في التدابير التنظيمية التي يمكن أن تسهّل نشر محطات المنصات عالية الارتفاع من أجل التطبيقات عريضة النطاق. </w:t>
      </w:r>
      <w:r w:rsidR="00496B1A" w:rsidRPr="00496B1A">
        <w:rPr>
          <w:rFonts w:hint="cs"/>
          <w:color w:val="000000"/>
          <w:spacing w:val="-2"/>
          <w:rtl/>
        </w:rPr>
        <w:t>وقرر المؤتمر</w:t>
      </w:r>
      <w:r w:rsidRPr="00496B1A">
        <w:rPr>
          <w:color w:val="000000"/>
          <w:spacing w:val="-2"/>
          <w:rtl/>
        </w:rPr>
        <w:t xml:space="preserve"> في </w:t>
      </w:r>
      <w:r w:rsidRPr="00496B1A">
        <w:rPr>
          <w:spacing w:val="-2"/>
          <w:rtl/>
        </w:rPr>
        <w:t xml:space="preserve">القرار </w:t>
      </w:r>
      <w:r w:rsidRPr="00496B1A">
        <w:rPr>
          <w:spacing w:val="-2"/>
        </w:rPr>
        <w:t>160</w:t>
      </w:r>
      <w:r w:rsidRPr="00496B1A">
        <w:rPr>
          <w:color w:val="000000"/>
          <w:spacing w:val="-2"/>
          <w:rtl/>
        </w:rPr>
        <w:t xml:space="preserve"> </w:t>
      </w:r>
      <w:r w:rsidRPr="00496B1A">
        <w:rPr>
          <w:rFonts w:hint="cs"/>
          <w:color w:val="000000"/>
          <w:spacing w:val="-2"/>
          <w:rtl/>
        </w:rPr>
        <w:t>أن يدعو قطاع الاتصالات الراديوية إلى دراسة الاحتياجات الإضافية من الطيف لمحطات</w:t>
      </w:r>
      <w:r w:rsidR="00DB1E62">
        <w:rPr>
          <w:rFonts w:hint="cs"/>
          <w:color w:val="000000"/>
          <w:spacing w:val="-2"/>
          <w:rtl/>
        </w:rPr>
        <w:t xml:space="preserve"> </w:t>
      </w:r>
      <w:r w:rsidRPr="00496B1A">
        <w:rPr>
          <w:color w:val="000000"/>
          <w:spacing w:val="-2"/>
        </w:rPr>
        <w:t>HAPS</w:t>
      </w:r>
      <w:r w:rsidR="00DB1E62">
        <w:rPr>
          <w:rFonts w:hint="cs"/>
          <w:color w:val="000000"/>
          <w:spacing w:val="-2"/>
          <w:rtl/>
        </w:rPr>
        <w:t xml:space="preserve"> </w:t>
      </w:r>
      <w:r w:rsidRPr="00496B1A">
        <w:rPr>
          <w:color w:val="000000"/>
          <w:spacing w:val="-2"/>
          <w:rtl/>
        </w:rPr>
        <w:t>ودراسة مدى ملاءمة استخدام التحديدات الحالية</w:t>
      </w:r>
      <w:r w:rsidRPr="00496B1A">
        <w:rPr>
          <w:spacing w:val="-2"/>
          <w:rtl/>
        </w:rPr>
        <w:t xml:space="preserve"> لمحطات</w:t>
      </w:r>
      <w:r w:rsidR="004355A6">
        <w:rPr>
          <w:rFonts w:hint="cs"/>
          <w:spacing w:val="-2"/>
          <w:rtl/>
        </w:rPr>
        <w:t> </w:t>
      </w:r>
      <w:r w:rsidRPr="00496B1A">
        <w:rPr>
          <w:spacing w:val="-2"/>
        </w:rPr>
        <w:t>HAPS</w:t>
      </w:r>
      <w:r w:rsidRPr="00496B1A">
        <w:rPr>
          <w:spacing w:val="-2"/>
          <w:rtl/>
        </w:rPr>
        <w:t xml:space="preserve"> </w:t>
      </w:r>
      <w:r w:rsidRPr="00496B1A">
        <w:rPr>
          <w:rFonts w:hint="cs"/>
          <w:spacing w:val="-2"/>
          <w:rtl/>
        </w:rPr>
        <w:t xml:space="preserve">وإجراء دراسات التقاسم والتوافق من أجل تحديدات إضافية في التوزيعات الحالية للخدمة الثابتة في النطاق </w:t>
      </w:r>
      <w:r w:rsidRPr="00496B1A">
        <w:rPr>
          <w:spacing w:val="-2"/>
        </w:rPr>
        <w:t>GHz 39,5-38</w:t>
      </w:r>
      <w:r w:rsidRPr="00496B1A">
        <w:rPr>
          <w:spacing w:val="-2"/>
          <w:rtl/>
        </w:rPr>
        <w:t xml:space="preserve">، على أساس عالمي، والنطاقات الموزعة بالفعل للخدمة الثابتة في النطاقين </w:t>
      </w:r>
      <w:r w:rsidRPr="00496B1A">
        <w:rPr>
          <w:spacing w:val="-2"/>
        </w:rPr>
        <w:t>GHz 22-21,4</w:t>
      </w:r>
      <w:r w:rsidRPr="00496B1A">
        <w:rPr>
          <w:spacing w:val="-2"/>
          <w:rtl/>
        </w:rPr>
        <w:t xml:space="preserve"> </w:t>
      </w:r>
      <w:r w:rsidRPr="00496B1A">
        <w:rPr>
          <w:rFonts w:hint="cs"/>
          <w:spacing w:val="-2"/>
          <w:rtl/>
        </w:rPr>
        <w:t>و</w:t>
      </w:r>
      <w:r w:rsidRPr="00496B1A">
        <w:rPr>
          <w:spacing w:val="-2"/>
        </w:rPr>
        <w:t>GHz 27,5-24,25</w:t>
      </w:r>
      <w:r w:rsidRPr="00496B1A">
        <w:rPr>
          <w:spacing w:val="-2"/>
          <w:rtl/>
        </w:rPr>
        <w:t xml:space="preserve"> في الإقليم </w:t>
      </w:r>
      <w:r w:rsidRPr="00496B1A">
        <w:rPr>
          <w:spacing w:val="-2"/>
        </w:rPr>
        <w:t>2</w:t>
      </w:r>
      <w:r w:rsidRPr="00496B1A">
        <w:rPr>
          <w:spacing w:val="-2"/>
          <w:rtl/>
        </w:rPr>
        <w:t xml:space="preserve"> </w:t>
      </w:r>
      <w:r w:rsidRPr="00496B1A">
        <w:rPr>
          <w:rFonts w:hint="cs"/>
          <w:spacing w:val="-2"/>
          <w:rtl/>
        </w:rPr>
        <w:t>حصري</w:t>
      </w:r>
      <w:r w:rsidR="00496B1A" w:rsidRPr="00496B1A">
        <w:rPr>
          <w:rFonts w:hint="cs"/>
          <w:spacing w:val="-2"/>
          <w:rtl/>
        </w:rPr>
        <w:t>اً</w:t>
      </w:r>
      <w:r w:rsidRPr="00496B1A">
        <w:rPr>
          <w:rFonts w:hint="cs"/>
          <w:spacing w:val="-2"/>
          <w:rtl/>
        </w:rPr>
        <w:t>.</w:t>
      </w:r>
    </w:p>
    <w:p w:rsidR="007F6B3A" w:rsidRDefault="007F6B3A" w:rsidP="00496B1A">
      <w:pPr>
        <w:rPr>
          <w:rtl/>
        </w:rPr>
      </w:pPr>
      <w:r>
        <w:rPr>
          <w:rtl/>
        </w:rPr>
        <w:t xml:space="preserve">وقد أدت التطورات في تكنولوجيات الطيران والإرسال إلى تحسين كبير في قدرات المحطات </w:t>
      </w:r>
      <w:r>
        <w:t>HAPS</w:t>
      </w:r>
      <w:r>
        <w:rPr>
          <w:rtl/>
        </w:rPr>
        <w:t xml:space="preserve"> على توفير حلول فعالة للتوصيلية وتلبية الطلب المتزايد على شبكات النطاق العريض عالية السعة </w:t>
      </w:r>
      <w:r w:rsidR="00496B1A">
        <w:rPr>
          <w:rFonts w:hint="cs"/>
          <w:rtl/>
        </w:rPr>
        <w:t>و</w:t>
      </w:r>
      <w:r>
        <w:rPr>
          <w:rtl/>
        </w:rPr>
        <w:t xml:space="preserve">لا سيما في المناطق التي تشح فيها الخدمات حالياً. وقد أظهرت رحلات الطيران الاختباري على نطاق واسع التي أُجريت مؤخراً أن المنصات التي تعمل بالطاقة الشمسية في الغلاف الجوي العلوي يمكن استخدامها الآن لحمل حمولات نافعة تقدم توصيلية موثوقة وفعالة من حيث التكلفة، ويجري تطوير عدد متزايد من التطبيقات المتعلقة بالجيل الجديد من محطات </w:t>
      </w:r>
      <w:r>
        <w:t>HAPS</w:t>
      </w:r>
      <w:r>
        <w:rPr>
          <w:rtl/>
        </w:rPr>
        <w:t>. ويبدو أن التكنولوجيا مناسبة تماماً بوجه خاص لاستكمال شبكات الأرض من خلال توفير التوصيل</w:t>
      </w:r>
      <w:r w:rsidR="00496B1A">
        <w:rPr>
          <w:rFonts w:hint="cs"/>
          <w:rtl/>
        </w:rPr>
        <w:t>ات</w:t>
      </w:r>
      <w:r>
        <w:rPr>
          <w:rtl/>
        </w:rPr>
        <w:t xml:space="preserve">. ومن المتوقع أن يتيح الجيل الجديد من محطات </w:t>
      </w:r>
      <w:r>
        <w:t>HAPS</w:t>
      </w:r>
      <w:r>
        <w:rPr>
          <w:rtl/>
        </w:rPr>
        <w:t xml:space="preserve"> </w:t>
      </w:r>
      <w:r>
        <w:rPr>
          <w:rFonts w:hint="cs"/>
          <w:rtl/>
        </w:rPr>
        <w:t>عدداً من المزايا:</w:t>
      </w:r>
    </w:p>
    <w:p w:rsidR="007F6B3A" w:rsidRDefault="007F6B3A" w:rsidP="004355A6">
      <w:pPr>
        <w:pStyle w:val="enumlev1"/>
        <w:rPr>
          <w:rtl/>
        </w:rPr>
      </w:pPr>
      <w:r>
        <w:lastRenderedPageBreak/>
        <w:sym w:font="Symbol" w:char="F0B7"/>
      </w:r>
      <w:r>
        <w:rPr>
          <w:rtl/>
        </w:rPr>
        <w:tab/>
      </w:r>
      <w:r>
        <w:rPr>
          <w:b/>
          <w:bCs/>
          <w:rtl/>
        </w:rPr>
        <w:t>الوصول:</w:t>
      </w:r>
      <w:r>
        <w:rPr>
          <w:rtl/>
        </w:rPr>
        <w:t xml:space="preserve"> يمكن لمحطات </w:t>
      </w:r>
      <w:r>
        <w:t>HAPS</w:t>
      </w:r>
      <w:r>
        <w:rPr>
          <w:rtl/>
        </w:rPr>
        <w:t xml:space="preserve"> أن تعمل عند ارتفاع يناهز </w:t>
      </w:r>
      <w:r>
        <w:t>20</w:t>
      </w:r>
      <w:r>
        <w:rPr>
          <w:rtl/>
        </w:rPr>
        <w:t xml:space="preserve"> </w:t>
      </w:r>
      <w:r w:rsidR="00496B1A">
        <w:t>k</w:t>
      </w:r>
      <w:r>
        <w:t>m</w:t>
      </w:r>
      <w:r>
        <w:rPr>
          <w:rtl/>
        </w:rPr>
        <w:t xml:space="preserve"> فوق سطح الأرض، مما يقلل من قابليتها للتأثر بالأحوال الجوية التي قد تؤثر على الخدمة، ويوفر مناطق تغطية كبيرة ويساعد على التخفيف من التداخل الناجم عن العقبات المادية.</w:t>
      </w:r>
    </w:p>
    <w:p w:rsidR="007F6B3A" w:rsidRDefault="007F6B3A" w:rsidP="004355A6">
      <w:pPr>
        <w:pStyle w:val="enumlev1"/>
        <w:rPr>
          <w:rtl/>
        </w:rPr>
      </w:pPr>
      <w:r>
        <w:sym w:font="Symbol" w:char="F0B7"/>
      </w:r>
      <w:r>
        <w:rPr>
          <w:rtl/>
        </w:rPr>
        <w:tab/>
      </w:r>
      <w:r>
        <w:rPr>
          <w:b/>
          <w:bCs/>
          <w:rtl/>
        </w:rPr>
        <w:t>المدى الجغرافي:</w:t>
      </w:r>
      <w:r>
        <w:rPr>
          <w:rtl/>
        </w:rPr>
        <w:t xml:space="preserve"> يمكن لمحطات </w:t>
      </w:r>
      <w:r>
        <w:t>HAPS</w:t>
      </w:r>
      <w:r>
        <w:rPr>
          <w:rtl/>
        </w:rPr>
        <w:t xml:space="preserve"> التي تستخدم معمارية المنصات الشمسية أن توفر أيضاً التوصيلية في</w:t>
      </w:r>
      <w:r w:rsidR="004355A6">
        <w:rPr>
          <w:rFonts w:hint="cs"/>
          <w:rtl/>
        </w:rPr>
        <w:t> </w:t>
      </w:r>
      <w:r>
        <w:rPr>
          <w:rtl/>
        </w:rPr>
        <w:t xml:space="preserve">الأماكن التي </w:t>
      </w:r>
      <w:r w:rsidR="00496B1A">
        <w:rPr>
          <w:rFonts w:hint="cs"/>
          <w:rtl/>
        </w:rPr>
        <w:t>يتعذر</w:t>
      </w:r>
      <w:r>
        <w:rPr>
          <w:rtl/>
        </w:rPr>
        <w:t xml:space="preserve"> فيها نشر بنية تحتية أرضية: المواقع النائية في البر أو في البحر.</w:t>
      </w:r>
    </w:p>
    <w:p w:rsidR="007F6B3A" w:rsidRDefault="007F6B3A" w:rsidP="004355A6">
      <w:pPr>
        <w:pStyle w:val="enumlev1"/>
        <w:rPr>
          <w:rtl/>
        </w:rPr>
      </w:pPr>
      <w:r>
        <w:sym w:font="Symbol" w:char="F0B7"/>
      </w:r>
      <w:r>
        <w:rPr>
          <w:rtl/>
        </w:rPr>
        <w:tab/>
      </w:r>
      <w:r>
        <w:rPr>
          <w:b/>
          <w:bCs/>
          <w:rtl/>
        </w:rPr>
        <w:t>تغطية منطقة واسعة:</w:t>
      </w:r>
      <w:r>
        <w:rPr>
          <w:rtl/>
        </w:rPr>
        <w:t xml:space="preserve"> يمكن لمحطة واحدة، </w:t>
      </w:r>
      <w:r w:rsidR="00496B1A">
        <w:rPr>
          <w:rFonts w:hint="cs"/>
          <w:rtl/>
        </w:rPr>
        <w:t xml:space="preserve">تبعاً لسيناريو </w:t>
      </w:r>
      <w:r w:rsidR="00496B1A">
        <w:rPr>
          <w:rtl/>
        </w:rPr>
        <w:t>التشغيل، أن توفر تغطي</w:t>
      </w:r>
      <w:r w:rsidR="00496B1A">
        <w:rPr>
          <w:rFonts w:hint="cs"/>
          <w:rtl/>
        </w:rPr>
        <w:t>ة</w:t>
      </w:r>
      <w:r>
        <w:rPr>
          <w:rtl/>
        </w:rPr>
        <w:t xml:space="preserve"> في حدود </w:t>
      </w:r>
      <w:r w:rsidR="00496B1A">
        <w:rPr>
          <w:rFonts w:hint="cs"/>
          <w:rtl/>
        </w:rPr>
        <w:t xml:space="preserve">منطقة </w:t>
      </w:r>
      <w:r>
        <w:rPr>
          <w:rtl/>
        </w:rPr>
        <w:t xml:space="preserve">يصل </w:t>
      </w:r>
      <w:r>
        <w:rPr>
          <w:color w:val="000000"/>
          <w:rtl/>
        </w:rPr>
        <w:t xml:space="preserve">قطرها إلى </w:t>
      </w:r>
      <w:r w:rsidR="00496B1A">
        <w:t>k</w:t>
      </w:r>
      <w:r>
        <w:t>m 100</w:t>
      </w:r>
      <w:r>
        <w:rPr>
          <w:rtl/>
        </w:rPr>
        <w:t xml:space="preserve">، والتطورات التكنولوجية الأخيرة في مجال تطوير الوصلات البصرية بين محطات المنصات العالية تدعم الآن نشر محطات </w:t>
      </w:r>
      <w:r>
        <w:t>HAPS</w:t>
      </w:r>
      <w:r>
        <w:rPr>
          <w:rtl/>
        </w:rPr>
        <w:t xml:space="preserve"> موصولة متعددة في أساطيل يمكن أن توفر تغطية أوسع داخل بلد</w:t>
      </w:r>
      <w:r w:rsidR="00DB1E62">
        <w:rPr>
          <w:rFonts w:hint="cs"/>
          <w:rtl/>
        </w:rPr>
        <w:t>ٍ</w:t>
      </w:r>
      <w:r>
        <w:rPr>
          <w:rtl/>
        </w:rPr>
        <w:t xml:space="preserve"> ما حسب الحاجة.</w:t>
      </w:r>
    </w:p>
    <w:p w:rsidR="007F6B3A" w:rsidRDefault="007F6B3A" w:rsidP="004355A6">
      <w:pPr>
        <w:pStyle w:val="enumlev1"/>
        <w:rPr>
          <w:rtl/>
        </w:rPr>
      </w:pPr>
      <w:r>
        <w:sym w:font="Symbol" w:char="F0B7"/>
      </w:r>
      <w:r>
        <w:rPr>
          <w:rtl/>
        </w:rPr>
        <w:tab/>
      </w:r>
      <w:r>
        <w:rPr>
          <w:b/>
          <w:bCs/>
          <w:rtl/>
        </w:rPr>
        <w:t>انخفاض التكاليف والجوانب البيئية</w:t>
      </w:r>
      <w:r>
        <w:rPr>
          <w:rtl/>
        </w:rPr>
        <w:t>: من المتوقع أن تكون تكاليف تشغيل المنصات الستراتوسفيرية أقل من تكاليف حلول التوصيلية الأخرى تبعاً للمنطقة الجغرافية، وأن الإنتاج الضخم للطائرات سيقلل بشكل</w:t>
      </w:r>
      <w:r w:rsidR="00DB1E62">
        <w:rPr>
          <w:rFonts w:hint="cs"/>
          <w:rtl/>
        </w:rPr>
        <w:t>ٍ</w:t>
      </w:r>
      <w:r>
        <w:rPr>
          <w:rtl/>
        </w:rPr>
        <w:t xml:space="preserve"> ملحوظ من النفقات الرأسمالية الأولية اللازمة لنشرها. ويمكن لمنصات </w:t>
      </w:r>
      <w:r>
        <w:t>HAPS</w:t>
      </w:r>
      <w:r>
        <w:rPr>
          <w:rtl/>
        </w:rPr>
        <w:t xml:space="preserve"> أن تعمل بشكل حصري </w:t>
      </w:r>
      <w:r w:rsidR="00496B1A">
        <w:rPr>
          <w:rFonts w:hint="cs"/>
          <w:rtl/>
          <w:lang w:bidi="ar-EG"/>
        </w:rPr>
        <w:t>ب</w:t>
      </w:r>
      <w:r>
        <w:rPr>
          <w:rtl/>
        </w:rPr>
        <w:t>الطاقة الشمسية لفترات طويلة، وتوصيل الناس دون أي أثر بيئي تقريباً.</w:t>
      </w:r>
    </w:p>
    <w:p w:rsidR="007F6B3A" w:rsidRDefault="007F6B3A" w:rsidP="004355A6">
      <w:pPr>
        <w:pStyle w:val="enumlev1"/>
        <w:rPr>
          <w:rtl/>
        </w:rPr>
      </w:pPr>
      <w:r>
        <w:sym w:font="Symbol" w:char="F0B7"/>
      </w:r>
      <w:r>
        <w:rPr>
          <w:rtl/>
        </w:rPr>
        <w:tab/>
      </w:r>
      <w:r>
        <w:rPr>
          <w:b/>
          <w:bCs/>
          <w:rtl/>
        </w:rPr>
        <w:t>سرعة النشر والمرونة:</w:t>
      </w:r>
      <w:r>
        <w:rPr>
          <w:rtl/>
        </w:rPr>
        <w:t xml:space="preserve"> قد يكون من الممكن نشر خدمات </w:t>
      </w:r>
      <w:r>
        <w:t>HAPS</w:t>
      </w:r>
      <w:r>
        <w:rPr>
          <w:rtl/>
        </w:rPr>
        <w:t xml:space="preserve"> دون مهل زمنية طويلة ومن السهل نسبياً إعادة المنصات الشمسية إلى الأرض من أجل صيانتها أو إعادة تشكيل الحمولة النافعة.</w:t>
      </w:r>
    </w:p>
    <w:p w:rsidR="007F6B3A" w:rsidRDefault="007F6B3A" w:rsidP="00496B1A">
      <w:pPr>
        <w:rPr>
          <w:rtl/>
        </w:rPr>
      </w:pPr>
      <w:r>
        <w:rPr>
          <w:rtl/>
        </w:rPr>
        <w:t xml:space="preserve">أجرى قطاع الاتصالات الراديوية دراسات التقاسم والتوافق لتقييم التعايش بين محطات </w:t>
      </w:r>
      <w:r>
        <w:t>HAPS</w:t>
      </w:r>
      <w:r>
        <w:rPr>
          <w:rtl/>
        </w:rPr>
        <w:t xml:space="preserve"> والأنظمة والخدمات القائمة والمقترحة (بما في ذلك </w:t>
      </w:r>
      <w:r w:rsidR="00496B1A">
        <w:rPr>
          <w:rFonts w:hint="cs"/>
          <w:rtl/>
        </w:rPr>
        <w:t>ال</w:t>
      </w:r>
      <w:r>
        <w:rPr>
          <w:rtl/>
        </w:rPr>
        <w:t xml:space="preserve">مسائل </w:t>
      </w:r>
      <w:r w:rsidR="00496B1A">
        <w:rPr>
          <w:rFonts w:hint="cs"/>
          <w:rtl/>
        </w:rPr>
        <w:t>المتداخلة</w:t>
      </w:r>
      <w:r>
        <w:rPr>
          <w:rtl/>
        </w:rPr>
        <w:t xml:space="preserve"> مع البندين </w:t>
      </w:r>
      <w:r>
        <w:t>6.1</w:t>
      </w:r>
      <w:r>
        <w:rPr>
          <w:rtl/>
        </w:rPr>
        <w:t xml:space="preserve"> و</w:t>
      </w:r>
      <w:r>
        <w:t>13.1</w:t>
      </w:r>
      <w:r>
        <w:rPr>
          <w:rtl/>
        </w:rPr>
        <w:t xml:space="preserve"> من جدول أعمال المؤتمر </w:t>
      </w:r>
      <w:r>
        <w:t>WRC-19</w:t>
      </w:r>
      <w:r>
        <w:rPr>
          <w:rtl/>
        </w:rPr>
        <w:t>). وتُقترح أدناه أحكام تنظيمية مصاحبة استناداً إلى نتائج دراسات التقاسم.</w:t>
      </w:r>
    </w:p>
    <w:p w:rsidR="007F6B3A" w:rsidRDefault="007F6B3A" w:rsidP="004355A6">
      <w:pPr>
        <w:pStyle w:val="Headingb"/>
        <w:rPr>
          <w:rtl/>
        </w:rPr>
      </w:pPr>
      <w:r>
        <w:rPr>
          <w:rtl/>
        </w:rPr>
        <w:t>المقترح</w:t>
      </w:r>
    </w:p>
    <w:p w:rsidR="007F6B3A" w:rsidRPr="004355A6" w:rsidRDefault="007F6B3A" w:rsidP="004355A6">
      <w:pPr>
        <w:rPr>
          <w:spacing w:val="-4"/>
          <w:rtl/>
        </w:rPr>
      </w:pPr>
      <w:r w:rsidRPr="004355A6">
        <w:rPr>
          <w:spacing w:val="-4"/>
          <w:rtl/>
        </w:rPr>
        <w:t xml:space="preserve">تقترح الولايات المتحدة فيما يتعلق بمدى التردد </w:t>
      </w:r>
      <w:r w:rsidRPr="004355A6">
        <w:rPr>
          <w:spacing w:val="-4"/>
        </w:rPr>
        <w:t>GHz 25,25-24,25</w:t>
      </w:r>
      <w:r w:rsidRPr="004355A6">
        <w:rPr>
          <w:spacing w:val="-4"/>
          <w:rtl/>
        </w:rPr>
        <w:t xml:space="preserve"> "لا تغيير" </w:t>
      </w:r>
      <w:r w:rsidRPr="004355A6">
        <w:rPr>
          <w:spacing w:val="-4"/>
        </w:rPr>
        <w:t>(</w:t>
      </w:r>
      <w:r w:rsidRPr="004355A6">
        <w:rPr>
          <w:spacing w:val="-4"/>
          <w:u w:val="single"/>
        </w:rPr>
        <w:t>NOC)</w:t>
      </w:r>
      <w:r w:rsidRPr="004355A6">
        <w:rPr>
          <w:spacing w:val="-4"/>
          <w:rtl/>
        </w:rPr>
        <w:t xml:space="preserve"> </w:t>
      </w:r>
      <w:r w:rsidR="00496B1A" w:rsidRPr="004355A6">
        <w:rPr>
          <w:rFonts w:hint="cs"/>
          <w:spacing w:val="-4"/>
          <w:rtl/>
        </w:rPr>
        <w:t>ل</w:t>
      </w:r>
      <w:r w:rsidRPr="004355A6">
        <w:rPr>
          <w:spacing w:val="-4"/>
          <w:rtl/>
        </w:rPr>
        <w:t xml:space="preserve">لوائح الراديو نظراً لأن القرار </w:t>
      </w:r>
      <w:r w:rsidRPr="004355A6">
        <w:rPr>
          <w:b/>
          <w:bCs/>
          <w:spacing w:val="-4"/>
        </w:rPr>
        <w:t>160 (WRC-15)</w:t>
      </w:r>
      <w:r w:rsidRPr="004355A6">
        <w:rPr>
          <w:b/>
          <w:bCs/>
          <w:spacing w:val="-4"/>
          <w:rtl/>
        </w:rPr>
        <w:t xml:space="preserve"> </w:t>
      </w:r>
      <w:r w:rsidRPr="004355A6">
        <w:rPr>
          <w:spacing w:val="-4"/>
          <w:rtl/>
        </w:rPr>
        <w:t xml:space="preserve">يدعو إلى تحديدات من أجل محطات </w:t>
      </w:r>
      <w:r w:rsidRPr="004355A6">
        <w:rPr>
          <w:spacing w:val="-4"/>
        </w:rPr>
        <w:t>HAPS</w:t>
      </w:r>
      <w:r w:rsidRPr="004355A6">
        <w:rPr>
          <w:spacing w:val="-4"/>
          <w:rtl/>
        </w:rPr>
        <w:t xml:space="preserve"> في نطاقات التردد الموزعة بالفعل للخدمة الثابتة الساتلية على أساس أولي. وفي الإقليم</w:t>
      </w:r>
      <w:r w:rsidR="004355A6">
        <w:rPr>
          <w:rFonts w:hint="cs"/>
          <w:spacing w:val="-4"/>
          <w:rtl/>
        </w:rPr>
        <w:t> </w:t>
      </w:r>
      <w:r w:rsidRPr="004355A6">
        <w:rPr>
          <w:spacing w:val="-4"/>
        </w:rPr>
        <w:t>2</w:t>
      </w:r>
      <w:r w:rsidRPr="004355A6">
        <w:rPr>
          <w:spacing w:val="-4"/>
          <w:rtl/>
        </w:rPr>
        <w:t xml:space="preserve">، فإن النطاقات في مدى التردد هذا غير موزعة بالفعل للخدمة الثابتة. ولم تجر أي دراسات في قطاع الاتصالات الراديوية لتقييم التقاسم والتوافق لإضافة توزيع جديد للخدمة الثابتة في النطاق </w:t>
      </w:r>
      <w:r w:rsidRPr="004355A6">
        <w:rPr>
          <w:spacing w:val="-4"/>
        </w:rPr>
        <w:t>GHz 25,25-24,25</w:t>
      </w:r>
      <w:r w:rsidRPr="004355A6">
        <w:rPr>
          <w:spacing w:val="-4"/>
          <w:rtl/>
        </w:rPr>
        <w:t xml:space="preserve"> في الإقليم </w:t>
      </w:r>
      <w:r w:rsidRPr="004355A6">
        <w:rPr>
          <w:spacing w:val="-4"/>
        </w:rPr>
        <w:t>2</w:t>
      </w:r>
      <w:r w:rsidRPr="004355A6">
        <w:rPr>
          <w:spacing w:val="-4"/>
          <w:rtl/>
        </w:rPr>
        <w:t>. وبما أنه لا يمكن تحديد نطاق تردد لاستعمال منصات</w:t>
      </w:r>
      <w:r w:rsidR="004355A6">
        <w:rPr>
          <w:rFonts w:hint="cs"/>
          <w:spacing w:val="-4"/>
          <w:rtl/>
        </w:rPr>
        <w:t> </w:t>
      </w:r>
      <w:r w:rsidR="00496B1A" w:rsidRPr="004355A6">
        <w:rPr>
          <w:spacing w:val="-4"/>
        </w:rPr>
        <w:t>HAPS</w:t>
      </w:r>
      <w:r w:rsidR="00496B1A" w:rsidRPr="004355A6">
        <w:rPr>
          <w:spacing w:val="-4"/>
          <w:rtl/>
        </w:rPr>
        <w:t xml:space="preserve"> </w:t>
      </w:r>
      <w:r w:rsidR="00496B1A" w:rsidRPr="004355A6">
        <w:rPr>
          <w:rFonts w:hint="cs"/>
          <w:spacing w:val="-4"/>
          <w:rtl/>
        </w:rPr>
        <w:t xml:space="preserve">في </w:t>
      </w:r>
      <w:r w:rsidRPr="004355A6">
        <w:rPr>
          <w:spacing w:val="-4"/>
          <w:rtl/>
        </w:rPr>
        <w:t xml:space="preserve">الخدمة الثابتة </w:t>
      </w:r>
      <w:r w:rsidRPr="004355A6">
        <w:rPr>
          <w:rFonts w:hint="cs"/>
          <w:spacing w:val="-4"/>
          <w:rtl/>
        </w:rPr>
        <w:t xml:space="preserve">دون توزيع للخدمة الثابتة، لا يُقترح أي تغيير بموجب البند </w:t>
      </w:r>
      <w:r w:rsidRPr="004355A6">
        <w:rPr>
          <w:spacing w:val="-4"/>
        </w:rPr>
        <w:t>14.1</w:t>
      </w:r>
      <w:r w:rsidRPr="004355A6">
        <w:rPr>
          <w:spacing w:val="-4"/>
          <w:rtl/>
        </w:rPr>
        <w:t xml:space="preserve"> من جدول الأعمال. ويتماشى هذا المقترح مع الأسلوب </w:t>
      </w:r>
      <w:r w:rsidRPr="004355A6">
        <w:rPr>
          <w:spacing w:val="-4"/>
        </w:rPr>
        <w:t>4A</w:t>
      </w:r>
      <w:r w:rsidRPr="004355A6">
        <w:rPr>
          <w:spacing w:val="-4"/>
          <w:rtl/>
        </w:rPr>
        <w:t xml:space="preserve"> من تقرير الاجتماع التحضيري </w:t>
      </w:r>
      <w:r w:rsidR="00496B1A" w:rsidRPr="004355A6">
        <w:rPr>
          <w:rFonts w:hint="cs"/>
          <w:spacing w:val="-4"/>
          <w:rtl/>
        </w:rPr>
        <w:t>ل</w:t>
      </w:r>
      <w:r w:rsidRPr="004355A6">
        <w:rPr>
          <w:spacing w:val="-4"/>
          <w:rtl/>
        </w:rPr>
        <w:t xml:space="preserve">لمؤتمر </w:t>
      </w:r>
      <w:r w:rsidRPr="004355A6">
        <w:rPr>
          <w:spacing w:val="-4"/>
        </w:rPr>
        <w:t>WRC-19</w:t>
      </w:r>
      <w:r w:rsidRPr="004355A6">
        <w:rPr>
          <w:spacing w:val="-4"/>
          <w:rtl/>
        </w:rPr>
        <w:t>.</w:t>
      </w:r>
    </w:p>
    <w:p w:rsidR="007F6B3A" w:rsidRDefault="007F6B3A" w:rsidP="004355A6">
      <w:pPr>
        <w:tabs>
          <w:tab w:val="left" w:pos="720"/>
        </w:tabs>
        <w:spacing w:before="0" w:line="240" w:lineRule="auto"/>
        <w:jc w:val="left"/>
        <w:rPr>
          <w:rtl/>
        </w:rPr>
      </w:pPr>
      <w:r>
        <w:rPr>
          <w:rtl/>
        </w:rPr>
        <w:br w:type="page"/>
      </w:r>
    </w:p>
    <w:p w:rsidR="007F6B3A" w:rsidRDefault="007F6B3A" w:rsidP="004355A6">
      <w:pPr>
        <w:pStyle w:val="ArtNo"/>
        <w:rPr>
          <w:rtl/>
        </w:rPr>
      </w:pPr>
      <w:r>
        <w:rPr>
          <w:rtl/>
        </w:rPr>
        <w:lastRenderedPageBreak/>
        <w:t xml:space="preserve">المادة </w:t>
      </w:r>
      <w:r>
        <w:t>5</w:t>
      </w:r>
    </w:p>
    <w:p w:rsidR="007F6B3A" w:rsidRDefault="007F6B3A" w:rsidP="004355A6">
      <w:pPr>
        <w:pStyle w:val="Arttitle"/>
        <w:rPr>
          <w:rtl/>
        </w:rPr>
      </w:pPr>
      <w:r>
        <w:rPr>
          <w:rtl/>
        </w:rPr>
        <w:t>توزيع الترددات</w:t>
      </w:r>
    </w:p>
    <w:p w:rsidR="007F6B3A" w:rsidRDefault="007F6B3A" w:rsidP="004355A6">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4355A6">
        <w:rPr>
          <w:rtl/>
        </w:rPr>
        <w:br/>
      </w:r>
    </w:p>
    <w:p w:rsidR="007F6B3A" w:rsidRDefault="007F6B3A" w:rsidP="004355A6">
      <w:pPr>
        <w:pStyle w:val="Proposal"/>
        <w:rPr>
          <w:u w:val="single"/>
        </w:rPr>
      </w:pPr>
      <w:r>
        <w:rPr>
          <w:u w:val="single"/>
        </w:rPr>
        <w:t>NOC</w:t>
      </w:r>
      <w:r>
        <w:rPr>
          <w:rtl/>
        </w:rPr>
        <w:tab/>
      </w:r>
      <w:r>
        <w:t>USA/10A14A4/1</w:t>
      </w:r>
    </w:p>
    <w:p w:rsidR="007F6B3A" w:rsidRDefault="007F6B3A" w:rsidP="004355A6">
      <w:pPr>
        <w:pStyle w:val="Tabletitle"/>
        <w:spacing w:before="120"/>
        <w:rPr>
          <w:rtl/>
        </w:rPr>
      </w:pPr>
      <w:r>
        <w:t>GHz 24</w:t>
      </w:r>
      <w:proofErr w:type="gramStart"/>
      <w:r>
        <w:t>,75</w:t>
      </w:r>
      <w:proofErr w:type="gramEnd"/>
      <w:r>
        <w:t>-22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7F6B3A" w:rsidTr="007F6B3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7F6B3A" w:rsidRDefault="007F6B3A" w:rsidP="004355A6">
            <w:pPr>
              <w:pStyle w:val="Tablehead"/>
              <w:rPr>
                <w:rtl/>
              </w:rPr>
            </w:pPr>
            <w:r>
              <w:rPr>
                <w:rtl/>
              </w:rPr>
              <w:t>التوزيع على الخدمات</w:t>
            </w:r>
          </w:p>
        </w:tc>
      </w:tr>
      <w:tr w:rsidR="007F6B3A" w:rsidTr="007F6B3A">
        <w:trPr>
          <w:cantSplit/>
          <w:jc w:val="center"/>
        </w:trPr>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pPr>
            <w:r>
              <w:rPr>
                <w:rtl/>
              </w:rPr>
              <w:t xml:space="preserve">الإقليم </w:t>
            </w:r>
            <w:r>
              <w:t>2</w:t>
            </w:r>
          </w:p>
        </w:tc>
        <w:tc>
          <w:tcPr>
            <w:tcW w:w="1666" w:type="pct"/>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pPr>
            <w:r>
              <w:rPr>
                <w:rtl/>
              </w:rPr>
              <w:t xml:space="preserve">الإقليم </w:t>
            </w:r>
            <w:r>
              <w:t>3</w:t>
            </w:r>
          </w:p>
        </w:tc>
      </w:tr>
      <w:tr w:rsidR="007F6B3A" w:rsidTr="007F6B3A">
        <w:trPr>
          <w:cantSplit/>
          <w:jc w:val="center"/>
        </w:trPr>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textS5"/>
              <w:spacing w:line="265" w:lineRule="exact"/>
              <w:rPr>
                <w:rStyle w:val="Tablefreq"/>
              </w:rPr>
            </w:pPr>
            <w:r>
              <w:rPr>
                <w:rStyle w:val="Tablefreq"/>
              </w:rPr>
              <w:t>24,45-24,25</w:t>
            </w:r>
          </w:p>
          <w:p w:rsidR="007F6B3A" w:rsidRDefault="007F6B3A">
            <w:pPr>
              <w:pStyle w:val="TabletextS5"/>
              <w:spacing w:line="265" w:lineRule="exact"/>
              <w:rPr>
                <w:u w:val="double"/>
              </w:rPr>
            </w:pPr>
            <w:r>
              <w:rPr>
                <w:b/>
                <w:bCs/>
                <w:rtl/>
              </w:rPr>
              <w:t>ثابتة</w:t>
            </w:r>
          </w:p>
        </w:tc>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textS5"/>
              <w:spacing w:line="265" w:lineRule="exact"/>
              <w:rPr>
                <w:rStyle w:val="Tablefreq"/>
              </w:rPr>
            </w:pPr>
            <w:r>
              <w:rPr>
                <w:rStyle w:val="Tablefreq"/>
              </w:rPr>
              <w:t>24,45-24,25</w:t>
            </w:r>
          </w:p>
          <w:p w:rsidR="007F6B3A" w:rsidRDefault="007F6B3A">
            <w:pPr>
              <w:pStyle w:val="TabletextS5"/>
              <w:spacing w:line="265" w:lineRule="exact"/>
              <w:rPr>
                <w:u w:val="double"/>
              </w:rPr>
            </w:pPr>
            <w:r>
              <w:rPr>
                <w:b/>
                <w:bCs/>
                <w:rtl/>
              </w:rPr>
              <w:t>ملاحة راديوية</w:t>
            </w:r>
          </w:p>
        </w:tc>
        <w:tc>
          <w:tcPr>
            <w:tcW w:w="1666" w:type="pct"/>
            <w:tcBorders>
              <w:top w:val="single" w:sz="4" w:space="0" w:color="auto"/>
              <w:left w:val="single" w:sz="4" w:space="0" w:color="auto"/>
              <w:bottom w:val="single" w:sz="4" w:space="0" w:color="auto"/>
              <w:right w:val="single" w:sz="4" w:space="0" w:color="auto"/>
            </w:tcBorders>
            <w:hideMark/>
          </w:tcPr>
          <w:p w:rsidR="007F6B3A" w:rsidRDefault="007F6B3A">
            <w:pPr>
              <w:pStyle w:val="TabletextS5"/>
              <w:spacing w:line="265" w:lineRule="exact"/>
              <w:rPr>
                <w:rStyle w:val="Tablefreq"/>
              </w:rPr>
            </w:pPr>
            <w:r>
              <w:rPr>
                <w:rStyle w:val="Tablefreq"/>
              </w:rPr>
              <w:t>24,45-24,25</w:t>
            </w:r>
          </w:p>
          <w:p w:rsidR="007F6B3A" w:rsidRDefault="007F6B3A">
            <w:pPr>
              <w:pStyle w:val="TabletextS5"/>
              <w:spacing w:line="265" w:lineRule="exact"/>
            </w:pPr>
            <w:r>
              <w:rPr>
                <w:b/>
                <w:bCs/>
                <w:rtl/>
              </w:rPr>
              <w:t>ملاحة راديوية</w:t>
            </w:r>
          </w:p>
          <w:p w:rsidR="007F6B3A" w:rsidRDefault="007F6B3A">
            <w:pPr>
              <w:pStyle w:val="TabletextS5"/>
              <w:spacing w:line="265" w:lineRule="exact"/>
            </w:pPr>
            <w:r>
              <w:rPr>
                <w:b/>
                <w:bCs/>
                <w:rtl/>
              </w:rPr>
              <w:t>ثابتة</w:t>
            </w:r>
          </w:p>
          <w:p w:rsidR="007F6B3A" w:rsidRDefault="007F6B3A">
            <w:pPr>
              <w:pStyle w:val="TabletextS5"/>
              <w:spacing w:line="265" w:lineRule="exact"/>
            </w:pPr>
            <w:r>
              <w:rPr>
                <w:b/>
                <w:bCs/>
                <w:rtl/>
              </w:rPr>
              <w:t>متنقلة</w:t>
            </w:r>
          </w:p>
        </w:tc>
      </w:tr>
      <w:tr w:rsidR="007F6B3A" w:rsidTr="007F6B3A">
        <w:trPr>
          <w:cantSplit/>
          <w:jc w:val="center"/>
        </w:trPr>
        <w:tc>
          <w:tcPr>
            <w:tcW w:w="1667" w:type="pct"/>
            <w:tcBorders>
              <w:top w:val="single" w:sz="4" w:space="0" w:color="auto"/>
              <w:left w:val="single" w:sz="4" w:space="0" w:color="auto"/>
              <w:bottom w:val="nil"/>
              <w:right w:val="single" w:sz="4" w:space="0" w:color="auto"/>
            </w:tcBorders>
            <w:hideMark/>
          </w:tcPr>
          <w:p w:rsidR="007F6B3A" w:rsidRDefault="007F6B3A">
            <w:pPr>
              <w:pStyle w:val="TabletextS5"/>
              <w:spacing w:line="265" w:lineRule="exact"/>
              <w:rPr>
                <w:rStyle w:val="Tablefreq"/>
                <w:rFonts w:asciiTheme="minorHAnsi" w:hAnsiTheme="minorHAnsi"/>
              </w:rPr>
            </w:pPr>
            <w:r>
              <w:rPr>
                <w:rStyle w:val="Tablefreq"/>
              </w:rPr>
              <w:t>24,65-24,45</w:t>
            </w:r>
          </w:p>
          <w:p w:rsidR="007F6B3A" w:rsidRDefault="007F6B3A">
            <w:pPr>
              <w:pStyle w:val="TabletextS5"/>
              <w:spacing w:line="265" w:lineRule="exact"/>
            </w:pPr>
            <w:r>
              <w:rPr>
                <w:b/>
                <w:bCs/>
                <w:rtl/>
              </w:rPr>
              <w:t>ثابتة</w:t>
            </w:r>
          </w:p>
          <w:p w:rsidR="007F6B3A" w:rsidRDefault="007F6B3A">
            <w:pPr>
              <w:pStyle w:val="TabletextS5"/>
              <w:spacing w:line="265" w:lineRule="exact"/>
            </w:pPr>
            <w:r>
              <w:rPr>
                <w:b/>
                <w:bCs/>
                <w:rtl/>
              </w:rPr>
              <w:t>بين السواتل</w:t>
            </w:r>
          </w:p>
        </w:tc>
        <w:tc>
          <w:tcPr>
            <w:tcW w:w="1667" w:type="pct"/>
            <w:tcBorders>
              <w:top w:val="single" w:sz="4" w:space="0" w:color="auto"/>
              <w:left w:val="single" w:sz="4" w:space="0" w:color="auto"/>
              <w:bottom w:val="nil"/>
              <w:right w:val="single" w:sz="4" w:space="0" w:color="auto"/>
            </w:tcBorders>
            <w:hideMark/>
          </w:tcPr>
          <w:p w:rsidR="007F6B3A" w:rsidRDefault="007F6B3A">
            <w:pPr>
              <w:pStyle w:val="TabletextS5"/>
              <w:spacing w:line="265" w:lineRule="exact"/>
              <w:rPr>
                <w:rStyle w:val="Tablefreq"/>
              </w:rPr>
            </w:pPr>
            <w:r>
              <w:rPr>
                <w:rStyle w:val="Tablefreq"/>
              </w:rPr>
              <w:t>24,65-24,45</w:t>
            </w:r>
          </w:p>
          <w:p w:rsidR="007F6B3A" w:rsidRDefault="007F6B3A">
            <w:pPr>
              <w:pStyle w:val="TabletextS5"/>
              <w:spacing w:line="265" w:lineRule="exact"/>
            </w:pPr>
            <w:r>
              <w:rPr>
                <w:b/>
                <w:bCs/>
                <w:rtl/>
              </w:rPr>
              <w:t>بين السواتل</w:t>
            </w:r>
          </w:p>
          <w:p w:rsidR="007F6B3A" w:rsidRDefault="007F6B3A">
            <w:pPr>
              <w:pStyle w:val="TabletextS5"/>
              <w:spacing w:line="265" w:lineRule="exact"/>
              <w:rPr>
                <w:u w:val="double"/>
              </w:rPr>
            </w:pPr>
            <w:r>
              <w:rPr>
                <w:b/>
                <w:bCs/>
                <w:rtl/>
              </w:rPr>
              <w:t>ملاحة راديوية</w:t>
            </w:r>
          </w:p>
        </w:tc>
        <w:tc>
          <w:tcPr>
            <w:tcW w:w="1666" w:type="pct"/>
            <w:tcBorders>
              <w:top w:val="single" w:sz="4" w:space="0" w:color="auto"/>
              <w:left w:val="single" w:sz="4" w:space="0" w:color="auto"/>
              <w:bottom w:val="nil"/>
              <w:right w:val="single" w:sz="4" w:space="0" w:color="auto"/>
            </w:tcBorders>
            <w:hideMark/>
          </w:tcPr>
          <w:p w:rsidR="007F6B3A" w:rsidRDefault="007F6B3A">
            <w:pPr>
              <w:pStyle w:val="TabletextS5"/>
              <w:spacing w:line="265" w:lineRule="exact"/>
              <w:rPr>
                <w:rStyle w:val="Tablefreq"/>
              </w:rPr>
            </w:pPr>
            <w:r>
              <w:rPr>
                <w:rStyle w:val="Tablefreq"/>
              </w:rPr>
              <w:t>24,65-24,45</w:t>
            </w:r>
          </w:p>
          <w:p w:rsidR="007F6B3A" w:rsidRDefault="007F6B3A">
            <w:pPr>
              <w:pStyle w:val="TabletextS5"/>
              <w:spacing w:line="265" w:lineRule="exact"/>
            </w:pPr>
            <w:r>
              <w:rPr>
                <w:b/>
                <w:bCs/>
                <w:rtl/>
              </w:rPr>
              <w:t>ثابتة</w:t>
            </w:r>
          </w:p>
          <w:p w:rsidR="007F6B3A" w:rsidRDefault="007F6B3A">
            <w:pPr>
              <w:pStyle w:val="TabletextS5"/>
              <w:spacing w:line="265" w:lineRule="exact"/>
            </w:pPr>
            <w:r>
              <w:rPr>
                <w:b/>
                <w:bCs/>
                <w:rtl/>
              </w:rPr>
              <w:t>بين السواتل</w:t>
            </w:r>
          </w:p>
          <w:p w:rsidR="007F6B3A" w:rsidRDefault="007F6B3A">
            <w:pPr>
              <w:pStyle w:val="TabletextS5"/>
              <w:spacing w:line="265" w:lineRule="exact"/>
            </w:pPr>
            <w:r>
              <w:rPr>
                <w:b/>
                <w:bCs/>
                <w:rtl/>
              </w:rPr>
              <w:t>متنقلة</w:t>
            </w:r>
          </w:p>
          <w:p w:rsidR="007F6B3A" w:rsidRDefault="007F6B3A">
            <w:pPr>
              <w:pStyle w:val="TabletextS5"/>
              <w:spacing w:line="265" w:lineRule="exact"/>
              <w:rPr>
                <w:u w:val="double"/>
              </w:rPr>
            </w:pPr>
            <w:r>
              <w:rPr>
                <w:b/>
                <w:bCs/>
                <w:rtl/>
              </w:rPr>
              <w:t>ملاحة راديوية</w:t>
            </w:r>
          </w:p>
        </w:tc>
      </w:tr>
      <w:tr w:rsidR="007F6B3A" w:rsidTr="007F6B3A">
        <w:trPr>
          <w:cantSplit/>
          <w:jc w:val="center"/>
        </w:trPr>
        <w:tc>
          <w:tcPr>
            <w:tcW w:w="1667" w:type="pct"/>
            <w:tcBorders>
              <w:top w:val="nil"/>
              <w:left w:val="single" w:sz="4" w:space="0" w:color="auto"/>
              <w:bottom w:val="single" w:sz="4" w:space="0" w:color="auto"/>
              <w:right w:val="single" w:sz="4" w:space="0" w:color="auto"/>
            </w:tcBorders>
          </w:tcPr>
          <w:p w:rsidR="007F6B3A" w:rsidRDefault="007F6B3A">
            <w:pPr>
              <w:pStyle w:val="TabletextS5"/>
              <w:tabs>
                <w:tab w:val="left" w:pos="160"/>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rsidR="007F6B3A" w:rsidRDefault="007F6B3A">
            <w:pPr>
              <w:pStyle w:val="TabletextS5"/>
              <w:tabs>
                <w:tab w:val="left" w:pos="160"/>
              </w:tabs>
              <w:spacing w:line="265" w:lineRule="exact"/>
              <w:rPr>
                <w:rStyle w:val="Artref"/>
              </w:rPr>
            </w:pPr>
            <w:r>
              <w:rPr>
                <w:rStyle w:val="Artref"/>
              </w:rPr>
              <w:t>533.5</w:t>
            </w:r>
            <w:r>
              <w:rPr>
                <w:rtl/>
              </w:rPr>
              <w:t xml:space="preserve">  </w:t>
            </w:r>
          </w:p>
        </w:tc>
        <w:tc>
          <w:tcPr>
            <w:tcW w:w="1666" w:type="pct"/>
            <w:tcBorders>
              <w:top w:val="nil"/>
              <w:left w:val="single" w:sz="4" w:space="0" w:color="auto"/>
              <w:bottom w:val="single" w:sz="4" w:space="0" w:color="auto"/>
              <w:right w:val="single" w:sz="4" w:space="0" w:color="auto"/>
            </w:tcBorders>
            <w:hideMark/>
          </w:tcPr>
          <w:p w:rsidR="007F6B3A" w:rsidRDefault="007F6B3A">
            <w:pPr>
              <w:pStyle w:val="TabletextS5"/>
              <w:tabs>
                <w:tab w:val="left" w:pos="160"/>
              </w:tabs>
              <w:spacing w:line="265" w:lineRule="exact"/>
              <w:rPr>
                <w:rStyle w:val="Artref"/>
              </w:rPr>
            </w:pPr>
            <w:r>
              <w:rPr>
                <w:rStyle w:val="Artref"/>
              </w:rPr>
              <w:t>533.5</w:t>
            </w:r>
            <w:r>
              <w:rPr>
                <w:rtl/>
              </w:rPr>
              <w:t xml:space="preserve">  </w:t>
            </w:r>
          </w:p>
        </w:tc>
      </w:tr>
      <w:tr w:rsidR="007F6B3A" w:rsidTr="007F6B3A">
        <w:trPr>
          <w:cantSplit/>
          <w:jc w:val="center"/>
        </w:trPr>
        <w:tc>
          <w:tcPr>
            <w:tcW w:w="1667" w:type="pct"/>
            <w:tcBorders>
              <w:top w:val="single" w:sz="4" w:space="0" w:color="auto"/>
              <w:left w:val="single" w:sz="4" w:space="0" w:color="auto"/>
              <w:bottom w:val="nil"/>
              <w:right w:val="single" w:sz="4" w:space="0" w:color="auto"/>
            </w:tcBorders>
            <w:hideMark/>
          </w:tcPr>
          <w:p w:rsidR="007F6B3A" w:rsidRDefault="007F6B3A">
            <w:pPr>
              <w:pStyle w:val="TabletextS5"/>
              <w:spacing w:line="265" w:lineRule="exact"/>
              <w:rPr>
                <w:rStyle w:val="Tablefreq"/>
              </w:rPr>
            </w:pPr>
            <w:r>
              <w:rPr>
                <w:rStyle w:val="Tablefreq"/>
              </w:rPr>
              <w:t>24,75</w:t>
            </w:r>
            <w:r>
              <w:rPr>
                <w:rStyle w:val="Tablefreq"/>
              </w:rPr>
              <w:noBreakHyphen/>
              <w:t>24,65</w:t>
            </w:r>
          </w:p>
          <w:p w:rsidR="007F6B3A" w:rsidRDefault="007F6B3A">
            <w:pPr>
              <w:pStyle w:val="TabletextS5"/>
              <w:spacing w:line="265" w:lineRule="exact"/>
            </w:pPr>
            <w:r>
              <w:rPr>
                <w:b/>
                <w:bCs/>
                <w:rtl/>
              </w:rPr>
              <w:t>ثابتة</w:t>
            </w:r>
          </w:p>
          <w:p w:rsidR="007F6B3A" w:rsidRDefault="007F6B3A">
            <w:pPr>
              <w:pStyle w:val="TabletextS5"/>
              <w:tabs>
                <w:tab w:val="left" w:pos="160"/>
              </w:tabs>
              <w:spacing w:line="265" w:lineRule="exact"/>
              <w:rPr>
                <w:spacing w:val="-4"/>
                <w:rtl/>
              </w:rPr>
            </w:pPr>
            <w:r>
              <w:rPr>
                <w:b/>
                <w:bCs/>
                <w:spacing w:val="-4"/>
                <w:rtl/>
              </w:rPr>
              <w:t>ثابتة ساتلية</w:t>
            </w:r>
            <w:r>
              <w:rPr>
                <w:spacing w:val="-4"/>
                <w:rtl/>
              </w:rPr>
              <w:br/>
              <w:t xml:space="preserve">(أرض-فضاء)  </w:t>
            </w:r>
            <w:r>
              <w:rPr>
                <w:rStyle w:val="Artref"/>
              </w:rPr>
              <w:t>532B.5</w:t>
            </w:r>
          </w:p>
          <w:p w:rsidR="007F6B3A" w:rsidRDefault="007F6B3A">
            <w:pPr>
              <w:pStyle w:val="TabletextS5"/>
              <w:spacing w:line="265" w:lineRule="exact"/>
              <w:rPr>
                <w:b/>
                <w:bCs/>
                <w:rtl/>
                <w:lang w:bidi="ar-SY"/>
              </w:rPr>
            </w:pPr>
            <w:r>
              <w:rPr>
                <w:b/>
                <w:bCs/>
                <w:rtl/>
              </w:rPr>
              <w:t>بين السواتل</w:t>
            </w:r>
          </w:p>
        </w:tc>
        <w:tc>
          <w:tcPr>
            <w:tcW w:w="1667" w:type="pct"/>
            <w:tcBorders>
              <w:top w:val="single" w:sz="4" w:space="0" w:color="auto"/>
              <w:left w:val="single" w:sz="4" w:space="0" w:color="auto"/>
              <w:bottom w:val="nil"/>
              <w:right w:val="single" w:sz="4" w:space="0" w:color="auto"/>
            </w:tcBorders>
            <w:hideMark/>
          </w:tcPr>
          <w:p w:rsidR="007F6B3A" w:rsidRDefault="007F6B3A">
            <w:pPr>
              <w:pStyle w:val="TabletextS5"/>
              <w:spacing w:line="265" w:lineRule="exact"/>
              <w:rPr>
                <w:rStyle w:val="Tablefreq"/>
                <w:rtl/>
              </w:rPr>
            </w:pPr>
            <w:r>
              <w:rPr>
                <w:rStyle w:val="Tablefreq"/>
              </w:rPr>
              <w:t>24,75</w:t>
            </w:r>
            <w:r>
              <w:rPr>
                <w:rStyle w:val="Tablefreq"/>
              </w:rPr>
              <w:noBreakHyphen/>
              <w:t>24,65</w:t>
            </w:r>
          </w:p>
          <w:p w:rsidR="007F6B3A" w:rsidRDefault="007F6B3A">
            <w:pPr>
              <w:pStyle w:val="TabletextS5"/>
              <w:spacing w:line="265" w:lineRule="exact"/>
            </w:pPr>
            <w:r>
              <w:rPr>
                <w:b/>
                <w:bCs/>
                <w:rtl/>
              </w:rPr>
              <w:t>بين السواتل</w:t>
            </w:r>
          </w:p>
          <w:p w:rsidR="007F6B3A" w:rsidRDefault="007F6B3A">
            <w:pPr>
              <w:pStyle w:val="TabletextS5"/>
              <w:spacing w:line="265" w:lineRule="exact"/>
              <w:rPr>
                <w:rtl/>
              </w:rPr>
            </w:pPr>
            <w:r>
              <w:rPr>
                <w:b/>
                <w:bCs/>
                <w:rtl/>
              </w:rPr>
              <w:t>تحديد راديوي للموقع ساتلية</w:t>
            </w:r>
            <w:r>
              <w:rPr>
                <w:b/>
                <w:bCs/>
                <w:rtl/>
              </w:rPr>
              <w:br/>
            </w:r>
            <w:r>
              <w:rPr>
                <w:rtl/>
              </w:rPr>
              <w:t>(أرض-فضاء)</w:t>
            </w:r>
          </w:p>
        </w:tc>
        <w:tc>
          <w:tcPr>
            <w:tcW w:w="1666" w:type="pct"/>
            <w:tcBorders>
              <w:top w:val="single" w:sz="4" w:space="0" w:color="auto"/>
              <w:left w:val="single" w:sz="4" w:space="0" w:color="auto"/>
              <w:bottom w:val="nil"/>
              <w:right w:val="single" w:sz="4" w:space="0" w:color="auto"/>
            </w:tcBorders>
            <w:hideMark/>
          </w:tcPr>
          <w:p w:rsidR="007F6B3A" w:rsidRDefault="007F6B3A">
            <w:pPr>
              <w:pStyle w:val="TabletextS5"/>
              <w:spacing w:line="265" w:lineRule="exact"/>
              <w:rPr>
                <w:rStyle w:val="Tablefreq"/>
                <w:rtl/>
              </w:rPr>
            </w:pPr>
            <w:r>
              <w:rPr>
                <w:rStyle w:val="Tablefreq"/>
              </w:rPr>
              <w:t>24,75</w:t>
            </w:r>
            <w:r>
              <w:rPr>
                <w:rStyle w:val="Tablefreq"/>
              </w:rPr>
              <w:noBreakHyphen/>
              <w:t>24,65</w:t>
            </w:r>
          </w:p>
          <w:p w:rsidR="007F6B3A" w:rsidRDefault="007F6B3A">
            <w:pPr>
              <w:pStyle w:val="TabletextS5"/>
              <w:spacing w:line="265" w:lineRule="exact"/>
            </w:pPr>
            <w:r>
              <w:rPr>
                <w:b/>
                <w:bCs/>
                <w:rtl/>
              </w:rPr>
              <w:t>ثابتة</w:t>
            </w:r>
          </w:p>
          <w:p w:rsidR="007F6B3A" w:rsidRDefault="007F6B3A">
            <w:pPr>
              <w:pStyle w:val="TabletextS5"/>
              <w:tabs>
                <w:tab w:val="left" w:pos="160"/>
              </w:tabs>
              <w:spacing w:line="265" w:lineRule="exact"/>
              <w:rPr>
                <w:spacing w:val="-4"/>
              </w:rPr>
            </w:pPr>
            <w:r>
              <w:rPr>
                <w:b/>
                <w:bCs/>
                <w:spacing w:val="-4"/>
                <w:rtl/>
              </w:rPr>
              <w:t>ثابتة ساتلية</w:t>
            </w:r>
            <w:r>
              <w:rPr>
                <w:spacing w:val="-4"/>
                <w:rtl/>
              </w:rPr>
              <w:br/>
              <w:t xml:space="preserve">(أرض-فضاء)  </w:t>
            </w:r>
            <w:r>
              <w:rPr>
                <w:rStyle w:val="Artref"/>
              </w:rPr>
              <w:t>532B.5</w:t>
            </w:r>
          </w:p>
          <w:p w:rsidR="007F6B3A" w:rsidRDefault="007F6B3A">
            <w:pPr>
              <w:pStyle w:val="TabletextS5"/>
              <w:spacing w:line="265" w:lineRule="exact"/>
              <w:rPr>
                <w:b/>
                <w:bCs/>
                <w:rtl/>
              </w:rPr>
            </w:pPr>
            <w:r>
              <w:rPr>
                <w:b/>
                <w:bCs/>
                <w:rtl/>
              </w:rPr>
              <w:t>بين السواتل</w:t>
            </w:r>
          </w:p>
          <w:p w:rsidR="007F6B3A" w:rsidRDefault="007F6B3A">
            <w:pPr>
              <w:pStyle w:val="TabletextS5"/>
              <w:spacing w:line="265" w:lineRule="exact"/>
            </w:pPr>
            <w:r>
              <w:rPr>
                <w:b/>
                <w:bCs/>
                <w:rtl/>
              </w:rPr>
              <w:t>متنقلة</w:t>
            </w:r>
          </w:p>
        </w:tc>
      </w:tr>
      <w:tr w:rsidR="007F6B3A" w:rsidTr="007F6B3A">
        <w:trPr>
          <w:cantSplit/>
          <w:jc w:val="center"/>
        </w:trPr>
        <w:tc>
          <w:tcPr>
            <w:tcW w:w="1667" w:type="pct"/>
            <w:tcBorders>
              <w:top w:val="nil"/>
              <w:left w:val="single" w:sz="4" w:space="0" w:color="auto"/>
              <w:bottom w:val="single" w:sz="4" w:space="0" w:color="auto"/>
              <w:right w:val="single" w:sz="4" w:space="0" w:color="auto"/>
            </w:tcBorders>
          </w:tcPr>
          <w:p w:rsidR="007F6B3A" w:rsidRDefault="007F6B3A">
            <w:pPr>
              <w:pStyle w:val="TabletextS5"/>
              <w:spacing w:line="265" w:lineRule="exact"/>
              <w:rPr>
                <w:rtl/>
              </w:rPr>
            </w:pPr>
          </w:p>
        </w:tc>
        <w:tc>
          <w:tcPr>
            <w:tcW w:w="1667" w:type="pct"/>
            <w:tcBorders>
              <w:top w:val="nil"/>
              <w:left w:val="single" w:sz="4" w:space="0" w:color="auto"/>
              <w:bottom w:val="single" w:sz="4" w:space="0" w:color="auto"/>
              <w:right w:val="single" w:sz="4" w:space="0" w:color="auto"/>
            </w:tcBorders>
          </w:tcPr>
          <w:p w:rsidR="007F6B3A" w:rsidRDefault="007F6B3A">
            <w:pPr>
              <w:pStyle w:val="TabletextS5"/>
              <w:spacing w:line="265" w:lineRule="exact"/>
            </w:pPr>
          </w:p>
        </w:tc>
        <w:tc>
          <w:tcPr>
            <w:tcW w:w="1666" w:type="pct"/>
            <w:tcBorders>
              <w:top w:val="nil"/>
              <w:left w:val="single" w:sz="4" w:space="0" w:color="auto"/>
              <w:bottom w:val="single" w:sz="4" w:space="0" w:color="auto"/>
              <w:right w:val="single" w:sz="4" w:space="0" w:color="auto"/>
            </w:tcBorders>
            <w:hideMark/>
          </w:tcPr>
          <w:p w:rsidR="007F6B3A" w:rsidRDefault="007F6B3A">
            <w:pPr>
              <w:pStyle w:val="TabletextS5"/>
              <w:spacing w:line="265" w:lineRule="exact"/>
              <w:rPr>
                <w:rStyle w:val="Artref"/>
              </w:rPr>
            </w:pPr>
            <w:r>
              <w:rPr>
                <w:rStyle w:val="Artref"/>
              </w:rPr>
              <w:t>533.5</w:t>
            </w:r>
            <w:r>
              <w:rPr>
                <w:rtl/>
              </w:rPr>
              <w:t xml:space="preserve">  </w:t>
            </w:r>
          </w:p>
        </w:tc>
      </w:tr>
    </w:tbl>
    <w:p w:rsidR="007F6B3A" w:rsidRDefault="007F6B3A" w:rsidP="002F291D">
      <w:pPr>
        <w:pStyle w:val="Reasons"/>
        <w:rPr>
          <w:b w:val="0"/>
          <w:bCs w:val="0"/>
          <w:rtl/>
        </w:rPr>
      </w:pPr>
      <w:r>
        <w:rPr>
          <w:rtl/>
        </w:rPr>
        <w:t>الأسباب:</w:t>
      </w:r>
      <w:r w:rsidR="002F291D">
        <w:rPr>
          <w:rtl/>
        </w:rPr>
        <w:tab/>
      </w:r>
      <w:r w:rsidRPr="004355A6">
        <w:rPr>
          <w:b w:val="0"/>
          <w:bCs w:val="0"/>
          <w:rtl/>
        </w:rPr>
        <w:t xml:space="preserve">يدعو القرار </w:t>
      </w:r>
      <w:r w:rsidRPr="004355A6">
        <w:t>160 (WRC-15)</w:t>
      </w:r>
      <w:r w:rsidRPr="004355A6">
        <w:rPr>
          <w:b w:val="0"/>
          <w:bCs w:val="0"/>
          <w:rtl/>
        </w:rPr>
        <w:t xml:space="preserve"> إلى تحديدات من أجل محطات </w:t>
      </w:r>
      <w:r w:rsidRPr="004355A6">
        <w:rPr>
          <w:b w:val="0"/>
          <w:bCs w:val="0"/>
        </w:rPr>
        <w:t>HAPS</w:t>
      </w:r>
      <w:r w:rsidRPr="004355A6">
        <w:rPr>
          <w:b w:val="0"/>
          <w:bCs w:val="0"/>
          <w:rtl/>
        </w:rPr>
        <w:t xml:space="preserve"> في نطاقات التردد الموزعة بالفعل للخدمة الثابتة الساتلية على أساس أولي. وفي الإقليم </w:t>
      </w:r>
      <w:r w:rsidRPr="004355A6">
        <w:rPr>
          <w:b w:val="0"/>
          <w:bCs w:val="0"/>
        </w:rPr>
        <w:t>2</w:t>
      </w:r>
      <w:r w:rsidRPr="004355A6">
        <w:rPr>
          <w:b w:val="0"/>
          <w:bCs w:val="0"/>
          <w:rtl/>
        </w:rPr>
        <w:t xml:space="preserve">، بالنسبة إلى مدى التردد </w:t>
      </w:r>
      <w:r w:rsidRPr="004355A6">
        <w:rPr>
          <w:b w:val="0"/>
          <w:bCs w:val="0"/>
        </w:rPr>
        <w:t>GHz 25,25-24,25</w:t>
      </w:r>
      <w:r w:rsidRPr="004355A6">
        <w:rPr>
          <w:b w:val="0"/>
          <w:bCs w:val="0"/>
          <w:rtl/>
        </w:rPr>
        <w:t>، لا توزع النطاقات في مدى التردد هذا للخدمة الثابتة.</w:t>
      </w:r>
    </w:p>
    <w:p w:rsidR="007F6B3A" w:rsidRDefault="007F6B3A" w:rsidP="004355A6">
      <w:pPr>
        <w:pStyle w:val="Proposal"/>
        <w:rPr>
          <w:u w:val="single"/>
          <w:rtl/>
        </w:rPr>
      </w:pPr>
      <w:r>
        <w:rPr>
          <w:u w:val="single"/>
        </w:rPr>
        <w:t>NOC</w:t>
      </w:r>
      <w:r>
        <w:rPr>
          <w:rtl/>
        </w:rPr>
        <w:tab/>
      </w:r>
      <w:r>
        <w:t>USA/10A14A4/2</w:t>
      </w:r>
    </w:p>
    <w:p w:rsidR="007F6B3A" w:rsidRDefault="007F6B3A" w:rsidP="004355A6">
      <w:pPr>
        <w:pStyle w:val="Tabletitle"/>
        <w:spacing w:before="120"/>
        <w:rPr>
          <w:rtl/>
        </w:rPr>
      </w:pPr>
      <w:r>
        <w:t>GHz </w:t>
      </w:r>
      <w:r w:rsidR="00496B1A">
        <w:t>29</w:t>
      </w:r>
      <w:proofErr w:type="gramStart"/>
      <w:r w:rsidR="00496B1A">
        <w:t>,9</w:t>
      </w:r>
      <w:proofErr w:type="gramEnd"/>
      <w:r w:rsidR="00496B1A">
        <w:t>-</w:t>
      </w:r>
      <w:r>
        <w:t>24,75</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7F6B3A" w:rsidTr="007F6B3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rPr>
                <w:rtl/>
              </w:rPr>
            </w:pPr>
            <w:r>
              <w:rPr>
                <w:rtl/>
              </w:rPr>
              <w:t>التوزيع على الخدمات</w:t>
            </w:r>
          </w:p>
        </w:tc>
      </w:tr>
      <w:tr w:rsidR="007F6B3A" w:rsidTr="005C47D3">
        <w:trPr>
          <w:cantSplit/>
          <w:jc w:val="center"/>
        </w:trPr>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pPr>
            <w:r>
              <w:rPr>
                <w:rtl/>
              </w:rPr>
              <w:t xml:space="preserve">الإقليم </w:t>
            </w:r>
            <w:r>
              <w:t>2</w:t>
            </w:r>
          </w:p>
        </w:tc>
        <w:tc>
          <w:tcPr>
            <w:tcW w:w="1666" w:type="pct"/>
            <w:tcBorders>
              <w:top w:val="single" w:sz="4" w:space="0" w:color="auto"/>
              <w:left w:val="single" w:sz="4" w:space="0" w:color="auto"/>
              <w:bottom w:val="single" w:sz="4" w:space="0" w:color="auto"/>
              <w:right w:val="single" w:sz="4" w:space="0" w:color="auto"/>
            </w:tcBorders>
            <w:hideMark/>
          </w:tcPr>
          <w:p w:rsidR="007F6B3A" w:rsidRDefault="007F6B3A">
            <w:pPr>
              <w:pStyle w:val="Tablehead"/>
              <w:spacing w:before="0" w:line="280" w:lineRule="exact"/>
            </w:pPr>
            <w:r>
              <w:rPr>
                <w:rtl/>
              </w:rPr>
              <w:t xml:space="preserve">الإقليم </w:t>
            </w:r>
            <w:r>
              <w:t>3</w:t>
            </w:r>
          </w:p>
        </w:tc>
      </w:tr>
      <w:tr w:rsidR="007F6B3A" w:rsidTr="005C47D3">
        <w:trPr>
          <w:cantSplit/>
          <w:jc w:val="center"/>
        </w:trPr>
        <w:tc>
          <w:tcPr>
            <w:tcW w:w="1667" w:type="pct"/>
            <w:tcBorders>
              <w:top w:val="single" w:sz="4" w:space="0" w:color="auto"/>
              <w:left w:val="single" w:sz="4" w:space="0" w:color="auto"/>
              <w:bottom w:val="single" w:sz="4" w:space="0" w:color="auto"/>
              <w:right w:val="single" w:sz="4" w:space="0" w:color="auto"/>
            </w:tcBorders>
          </w:tcPr>
          <w:p w:rsidR="007F6B3A" w:rsidRDefault="007F6B3A">
            <w:pPr>
              <w:pStyle w:val="TabletextS5"/>
              <w:spacing w:line="265" w:lineRule="exact"/>
              <w:rPr>
                <w:rStyle w:val="Tablefreq"/>
              </w:rPr>
            </w:pPr>
            <w:r>
              <w:rPr>
                <w:rStyle w:val="Tablefreq"/>
              </w:rPr>
              <w:t>25,25</w:t>
            </w:r>
            <w:r>
              <w:rPr>
                <w:rStyle w:val="Tablefreq"/>
              </w:rPr>
              <w:noBreakHyphen/>
              <w:t>24,75</w:t>
            </w:r>
          </w:p>
          <w:p w:rsidR="007F6B3A" w:rsidRDefault="007F6B3A">
            <w:pPr>
              <w:pStyle w:val="TabletextS5"/>
              <w:spacing w:line="265" w:lineRule="exact"/>
            </w:pPr>
            <w:r>
              <w:rPr>
                <w:b/>
                <w:bCs/>
                <w:rtl/>
              </w:rPr>
              <w:t>ثابتة</w:t>
            </w:r>
          </w:p>
          <w:p w:rsidR="007F6B3A" w:rsidRDefault="007F6B3A" w:rsidP="002F291D">
            <w:pPr>
              <w:pStyle w:val="TabletextS5"/>
              <w:tabs>
                <w:tab w:val="left" w:pos="160"/>
              </w:tabs>
              <w:spacing w:line="265" w:lineRule="exact"/>
              <w:rPr>
                <w:b/>
                <w:bCs/>
                <w:rtl/>
                <w:lang w:bidi="ar-SY"/>
              </w:rPr>
            </w:pPr>
            <w:r>
              <w:rPr>
                <w:b/>
                <w:bCs/>
                <w:spacing w:val="-4"/>
                <w:rtl/>
              </w:rPr>
              <w:t>ثابتة ساتلية</w:t>
            </w:r>
            <w:r>
              <w:rPr>
                <w:spacing w:val="-4"/>
                <w:rtl/>
              </w:rPr>
              <w:br/>
              <w:t xml:space="preserve">(أرض-فضاء)  </w:t>
            </w:r>
            <w:r>
              <w:rPr>
                <w:rStyle w:val="Artref"/>
              </w:rPr>
              <w:t>532B.5</w:t>
            </w:r>
          </w:p>
        </w:tc>
        <w:tc>
          <w:tcPr>
            <w:tcW w:w="1667" w:type="pct"/>
            <w:tcBorders>
              <w:top w:val="single" w:sz="4" w:space="0" w:color="auto"/>
              <w:left w:val="single" w:sz="4" w:space="0" w:color="auto"/>
              <w:bottom w:val="single" w:sz="4" w:space="0" w:color="auto"/>
              <w:right w:val="single" w:sz="4" w:space="0" w:color="auto"/>
            </w:tcBorders>
            <w:hideMark/>
          </w:tcPr>
          <w:p w:rsidR="007F6B3A" w:rsidRDefault="007F6B3A">
            <w:pPr>
              <w:pStyle w:val="TabletextS5"/>
              <w:spacing w:line="265" w:lineRule="exact"/>
              <w:rPr>
                <w:rStyle w:val="Tablefreq"/>
                <w:rtl/>
              </w:rPr>
            </w:pPr>
            <w:r>
              <w:rPr>
                <w:rStyle w:val="Tablefreq"/>
              </w:rPr>
              <w:t>25,25</w:t>
            </w:r>
            <w:r>
              <w:rPr>
                <w:rStyle w:val="Tablefreq"/>
              </w:rPr>
              <w:noBreakHyphen/>
              <w:t>24,75</w:t>
            </w:r>
          </w:p>
          <w:p w:rsidR="007F6B3A" w:rsidRDefault="007F6B3A">
            <w:pPr>
              <w:pStyle w:val="TabletextS5"/>
              <w:spacing w:line="265" w:lineRule="exact"/>
            </w:pPr>
            <w:r>
              <w:rPr>
                <w:b/>
                <w:bCs/>
                <w:spacing w:val="-4"/>
                <w:rtl/>
              </w:rPr>
              <w:t>ثابتة ساتلية</w:t>
            </w:r>
            <w:r>
              <w:rPr>
                <w:b/>
                <w:bCs/>
                <w:rtl/>
              </w:rPr>
              <w:br/>
            </w:r>
            <w:r>
              <w:rPr>
                <w:rtl/>
              </w:rPr>
              <w:t xml:space="preserve">(أرض-فضاء) </w:t>
            </w:r>
            <w:r>
              <w:rPr>
                <w:rStyle w:val="Artref"/>
              </w:rPr>
              <w:t>535.5</w:t>
            </w:r>
            <w:r>
              <w:rPr>
                <w:rtl/>
              </w:rPr>
              <w:t xml:space="preserve">  </w:t>
            </w:r>
          </w:p>
        </w:tc>
        <w:tc>
          <w:tcPr>
            <w:tcW w:w="1666" w:type="pct"/>
            <w:tcBorders>
              <w:top w:val="single" w:sz="4" w:space="0" w:color="auto"/>
              <w:left w:val="single" w:sz="4" w:space="0" w:color="auto"/>
              <w:bottom w:val="single" w:sz="4" w:space="0" w:color="auto"/>
              <w:right w:val="single" w:sz="4" w:space="0" w:color="auto"/>
            </w:tcBorders>
          </w:tcPr>
          <w:p w:rsidR="007F6B3A" w:rsidRDefault="007F6B3A">
            <w:pPr>
              <w:pStyle w:val="TabletextS5"/>
              <w:spacing w:line="265" w:lineRule="exact"/>
              <w:rPr>
                <w:rStyle w:val="Tablefreq"/>
                <w:rtl/>
              </w:rPr>
            </w:pPr>
            <w:r>
              <w:rPr>
                <w:rStyle w:val="Tablefreq"/>
              </w:rPr>
              <w:t>25,25</w:t>
            </w:r>
            <w:r>
              <w:rPr>
                <w:rStyle w:val="Tablefreq"/>
              </w:rPr>
              <w:noBreakHyphen/>
              <w:t>24,75</w:t>
            </w:r>
          </w:p>
          <w:p w:rsidR="007F6B3A" w:rsidRDefault="007F6B3A">
            <w:pPr>
              <w:pStyle w:val="TabletextS5"/>
              <w:spacing w:line="265" w:lineRule="exact"/>
            </w:pPr>
            <w:r>
              <w:rPr>
                <w:b/>
                <w:bCs/>
                <w:rtl/>
              </w:rPr>
              <w:t>ثابتة</w:t>
            </w:r>
          </w:p>
          <w:p w:rsidR="007F6B3A" w:rsidRDefault="007F6B3A">
            <w:pPr>
              <w:pStyle w:val="TabletextS5"/>
              <w:tabs>
                <w:tab w:val="left" w:pos="160"/>
              </w:tabs>
              <w:spacing w:line="265" w:lineRule="exact"/>
              <w:rPr>
                <w:spacing w:val="-4"/>
              </w:rPr>
            </w:pPr>
            <w:r>
              <w:rPr>
                <w:b/>
                <w:bCs/>
                <w:spacing w:val="-4"/>
                <w:rtl/>
              </w:rPr>
              <w:t>ثابتة ساتلية</w:t>
            </w:r>
            <w:r>
              <w:rPr>
                <w:spacing w:val="-4"/>
                <w:rtl/>
              </w:rPr>
              <w:br/>
              <w:t xml:space="preserve">(أرض-فضاء)  </w:t>
            </w:r>
            <w:r>
              <w:rPr>
                <w:rStyle w:val="Artref"/>
              </w:rPr>
              <w:t>535.5</w:t>
            </w:r>
          </w:p>
          <w:p w:rsidR="007F6B3A" w:rsidRDefault="007F6B3A">
            <w:pPr>
              <w:pStyle w:val="TabletextS5"/>
              <w:spacing w:line="265" w:lineRule="exact"/>
            </w:pPr>
            <w:r>
              <w:rPr>
                <w:b/>
                <w:bCs/>
                <w:rtl/>
              </w:rPr>
              <w:t>متنقلة</w:t>
            </w:r>
          </w:p>
        </w:tc>
      </w:tr>
    </w:tbl>
    <w:p w:rsidR="007F6B3A" w:rsidRPr="004355A6" w:rsidRDefault="007F6B3A" w:rsidP="002F291D">
      <w:pPr>
        <w:pStyle w:val="Reasons"/>
        <w:rPr>
          <w:b w:val="0"/>
          <w:bCs w:val="0"/>
          <w:rtl/>
        </w:rPr>
      </w:pPr>
      <w:r>
        <w:rPr>
          <w:rtl/>
        </w:rPr>
        <w:t>الأسباب:</w:t>
      </w:r>
      <w:r w:rsidR="002F291D">
        <w:rPr>
          <w:rtl/>
        </w:rPr>
        <w:tab/>
      </w:r>
      <w:r w:rsidRPr="004355A6">
        <w:rPr>
          <w:b w:val="0"/>
          <w:bCs w:val="0"/>
          <w:rtl/>
        </w:rPr>
        <w:t xml:space="preserve">يدعو القرار </w:t>
      </w:r>
      <w:r w:rsidRPr="004355A6">
        <w:t>160 (WRC-15)</w:t>
      </w:r>
      <w:r w:rsidRPr="004355A6">
        <w:rPr>
          <w:b w:val="0"/>
          <w:bCs w:val="0"/>
          <w:rtl/>
        </w:rPr>
        <w:t xml:space="preserve"> إلى تحديدات من أجل محطات </w:t>
      </w:r>
      <w:r w:rsidRPr="004355A6">
        <w:rPr>
          <w:b w:val="0"/>
          <w:bCs w:val="0"/>
        </w:rPr>
        <w:t>HAPS</w:t>
      </w:r>
      <w:r w:rsidRPr="004355A6">
        <w:rPr>
          <w:b w:val="0"/>
          <w:bCs w:val="0"/>
          <w:rtl/>
        </w:rPr>
        <w:t xml:space="preserve"> في نطاقات التردد الموزعة بالفعل للخدمة الثابتة الساتلية على أساس أولي. وفي الإقليم </w:t>
      </w:r>
      <w:r w:rsidRPr="004355A6">
        <w:rPr>
          <w:b w:val="0"/>
          <w:bCs w:val="0"/>
        </w:rPr>
        <w:t>2</w:t>
      </w:r>
      <w:r w:rsidRPr="004355A6">
        <w:rPr>
          <w:b w:val="0"/>
          <w:bCs w:val="0"/>
          <w:rtl/>
        </w:rPr>
        <w:t xml:space="preserve">، بالنسبة إلى مدى التردد </w:t>
      </w:r>
      <w:r w:rsidRPr="004355A6">
        <w:rPr>
          <w:b w:val="0"/>
          <w:bCs w:val="0"/>
        </w:rPr>
        <w:t>GHz 25,25-24,25</w:t>
      </w:r>
      <w:r w:rsidRPr="004355A6">
        <w:rPr>
          <w:b w:val="0"/>
          <w:bCs w:val="0"/>
          <w:rtl/>
        </w:rPr>
        <w:t>، لا توزع النطاقات في مدى التردد هذا للخدمة الثابتة.</w:t>
      </w:r>
    </w:p>
    <w:p w:rsidR="007F6B3A" w:rsidRPr="002F291D" w:rsidRDefault="007F6B3A" w:rsidP="002F291D">
      <w:pPr>
        <w:pStyle w:val="Proposal"/>
        <w:rPr>
          <w:szCs w:val="22"/>
          <w:rtl/>
        </w:rPr>
      </w:pPr>
      <w:r w:rsidRPr="002F291D">
        <w:lastRenderedPageBreak/>
        <w:t>SUP</w:t>
      </w:r>
      <w:r w:rsidRPr="002F291D">
        <w:rPr>
          <w:szCs w:val="22"/>
          <w:rtl/>
        </w:rPr>
        <w:tab/>
      </w:r>
      <w:r w:rsidRPr="002F291D">
        <w:t>USA/10A14A4/3</w:t>
      </w:r>
    </w:p>
    <w:p w:rsidR="007F6B3A" w:rsidRDefault="007F6B3A" w:rsidP="004355A6">
      <w:pPr>
        <w:pStyle w:val="ResNo"/>
        <w:rPr>
          <w:rtl/>
        </w:rPr>
      </w:pPr>
      <w:r>
        <w:rPr>
          <w:rtl/>
        </w:rPr>
        <w:t xml:space="preserve">القرار </w:t>
      </w:r>
      <w:r>
        <w:t>160 (WRC-15)</w:t>
      </w:r>
    </w:p>
    <w:p w:rsidR="007F6B3A" w:rsidRDefault="007F6B3A" w:rsidP="004355A6">
      <w:pPr>
        <w:pStyle w:val="Restitle"/>
        <w:rPr>
          <w:rtl/>
        </w:rPr>
      </w:pPr>
      <w:r>
        <w:rPr>
          <w:rtl/>
        </w:rPr>
        <w:t xml:space="preserve">تسهيل النفاذ إلى تطبيقات النطاق العريض المقدَّمة بواسطة محطات </w:t>
      </w:r>
      <w:r w:rsidR="004355A6">
        <w:rPr>
          <w:rtl/>
        </w:rPr>
        <w:br/>
      </w:r>
      <w:r>
        <w:rPr>
          <w:rtl/>
        </w:rPr>
        <w:t>منصات عالية الارتفاع</w:t>
      </w:r>
    </w:p>
    <w:p w:rsidR="007F6B3A" w:rsidRPr="004355A6" w:rsidRDefault="007F6B3A" w:rsidP="004355A6">
      <w:pPr>
        <w:pStyle w:val="Reasons"/>
        <w:rPr>
          <w:b w:val="0"/>
          <w:bCs w:val="0"/>
          <w:rtl/>
        </w:rPr>
      </w:pPr>
      <w:r>
        <w:rPr>
          <w:rtl/>
        </w:rPr>
        <w:t>الأسباب:</w:t>
      </w:r>
      <w:r w:rsidRPr="004355A6">
        <w:rPr>
          <w:b w:val="0"/>
          <w:bCs w:val="0"/>
          <w:rtl/>
        </w:rPr>
        <w:t xml:space="preserve"> استُكمل العمل المرتبط بالقرار </w:t>
      </w:r>
      <w:r w:rsidR="007826AF">
        <w:t>160 (WRC-15</w:t>
      </w:r>
      <w:bookmarkStart w:id="1" w:name="_GoBack"/>
      <w:bookmarkEnd w:id="1"/>
      <w:r w:rsidRPr="004355A6">
        <w:t>)</w:t>
      </w:r>
      <w:r w:rsidRPr="004355A6">
        <w:rPr>
          <w:b w:val="0"/>
          <w:bCs w:val="0"/>
          <w:rtl/>
        </w:rPr>
        <w:t>.</w:t>
      </w:r>
    </w:p>
    <w:p w:rsidR="007F6B3A" w:rsidRDefault="007F6B3A" w:rsidP="004355A6">
      <w:pPr>
        <w:spacing w:before="600"/>
        <w:jc w:val="center"/>
      </w:pPr>
      <w:r>
        <w:rPr>
          <w:rtl/>
        </w:rPr>
        <w:t>__________</w:t>
      </w:r>
    </w:p>
    <w:sectPr w:rsidR="007F6B3A"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B3A" w:rsidRDefault="007F6B3A" w:rsidP="002919E1">
      <w:r>
        <w:separator/>
      </w:r>
    </w:p>
    <w:p w:rsidR="007F6B3A" w:rsidRDefault="007F6B3A" w:rsidP="002919E1"/>
    <w:p w:rsidR="007F6B3A" w:rsidRDefault="007F6B3A" w:rsidP="002919E1"/>
    <w:p w:rsidR="007F6B3A" w:rsidRDefault="007F6B3A"/>
  </w:endnote>
  <w:endnote w:type="continuationSeparator" w:id="0">
    <w:p w:rsidR="007F6B3A" w:rsidRDefault="007F6B3A" w:rsidP="002919E1">
      <w:r>
        <w:continuationSeparator/>
      </w:r>
    </w:p>
    <w:p w:rsidR="007F6B3A" w:rsidRDefault="007F6B3A" w:rsidP="002919E1"/>
    <w:p w:rsidR="007F6B3A" w:rsidRDefault="007F6B3A" w:rsidP="002919E1"/>
    <w:p w:rsidR="007F6B3A" w:rsidRDefault="007F6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809E8" w:rsidRDefault="00281F5F" w:rsidP="00496B1A">
    <w:pPr>
      <w:pStyle w:val="Footer"/>
      <w:tabs>
        <w:tab w:val="clear" w:pos="5812"/>
        <w:tab w:val="left" w:pos="5670"/>
      </w:tabs>
    </w:pPr>
    <w:r w:rsidRPr="00CB4300">
      <w:fldChar w:fldCharType="begin"/>
    </w:r>
    <w:r w:rsidRPr="00A809E8">
      <w:instrText xml:space="preserve"> FILENAME \p \* MERGEFORMAT </w:instrText>
    </w:r>
    <w:r w:rsidRPr="00CB4300">
      <w:fldChar w:fldCharType="separate"/>
    </w:r>
    <w:r w:rsidR="005C47D3">
      <w:rPr>
        <w:noProof/>
      </w:rPr>
      <w:t>P:\ARA\ITU-R\CONF-R\CMR19\000\010ADD14ADD04A.docx</w:t>
    </w:r>
    <w:r w:rsidRPr="00CB4300">
      <w:fldChar w:fldCharType="end"/>
    </w:r>
    <w:r w:rsidRPr="00A809E8">
      <w:t xml:space="preserve">  (</w:t>
    </w:r>
    <w:r w:rsidR="00496B1A">
      <w:t>455275</w:t>
    </w:r>
    <w:r w:rsidRPr="00A809E8">
      <w:t>)</w:t>
    </w:r>
    <w:r w:rsidRPr="00A809E8">
      <w:tab/>
    </w:r>
    <w:r w:rsidRPr="00CB4300">
      <w:fldChar w:fldCharType="begin"/>
    </w:r>
    <w:r w:rsidRPr="00CB4300">
      <w:instrText xml:space="preserve"> savedate \@ dd.MM.yy </w:instrText>
    </w:r>
    <w:r w:rsidRPr="00CB4300">
      <w:fldChar w:fldCharType="separate"/>
    </w:r>
    <w:r w:rsidR="007826AF">
      <w:rPr>
        <w:noProof/>
      </w:rPr>
      <w:t>05.06.19</w:t>
    </w:r>
    <w:r w:rsidRPr="00CB4300">
      <w:fldChar w:fldCharType="end"/>
    </w:r>
    <w:r w:rsidRPr="00A809E8">
      <w:tab/>
    </w:r>
    <w:r w:rsidRPr="00CB4300">
      <w:fldChar w:fldCharType="begin"/>
    </w:r>
    <w:r w:rsidRPr="00CB4300">
      <w:instrText xml:space="preserve"> printdate \@ dd.MM.yy </w:instrText>
    </w:r>
    <w:r w:rsidRPr="00CB4300">
      <w:fldChar w:fldCharType="separate"/>
    </w:r>
    <w:r w:rsidR="005C47D3">
      <w:rPr>
        <w:noProof/>
      </w:rPr>
      <w:t>05.06.19</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809E8" w:rsidRDefault="00281F5F" w:rsidP="00874993">
    <w:pPr>
      <w:pStyle w:val="Footer"/>
    </w:pPr>
    <w:r>
      <w:fldChar w:fldCharType="begin"/>
    </w:r>
    <w:r w:rsidRPr="00A809E8">
      <w:instrText xml:space="preserve"> FILENAME \p \* MERGEFORMAT </w:instrText>
    </w:r>
    <w:r>
      <w:fldChar w:fldCharType="separate"/>
    </w:r>
    <w:r w:rsidR="005C47D3">
      <w:rPr>
        <w:noProof/>
      </w:rPr>
      <w:t>P:\ARA\ITU-R\CONF-R\CMR19\000\010ADD14ADD04A.docx</w:t>
    </w:r>
    <w:r>
      <w:fldChar w:fldCharType="end"/>
    </w:r>
    <w:r w:rsidRPr="00A809E8">
      <w:t xml:space="preserve">   (</w:t>
    </w:r>
    <w:r w:rsidR="00874993">
      <w:t>455275</w:t>
    </w:r>
    <w:r w:rsidRPr="00A809E8">
      <w:t>)</w:t>
    </w:r>
    <w:r w:rsidRPr="00A809E8">
      <w:tab/>
    </w:r>
    <w:r w:rsidRPr="00B12661">
      <w:fldChar w:fldCharType="begin"/>
    </w:r>
    <w:r w:rsidRPr="00B12661">
      <w:instrText xml:space="preserve"> savedate \@ dd.MM.yy </w:instrText>
    </w:r>
    <w:r w:rsidRPr="00B12661">
      <w:fldChar w:fldCharType="separate"/>
    </w:r>
    <w:r w:rsidR="007826AF">
      <w:rPr>
        <w:noProof/>
      </w:rPr>
      <w:t>05.06.19</w:t>
    </w:r>
    <w:r w:rsidRPr="00B12661">
      <w:fldChar w:fldCharType="end"/>
    </w:r>
    <w:r w:rsidRPr="00A809E8">
      <w:tab/>
    </w:r>
    <w:r w:rsidRPr="00B12661">
      <w:fldChar w:fldCharType="begin"/>
    </w:r>
    <w:r w:rsidRPr="00B12661">
      <w:instrText xml:space="preserve"> printdate \@ dd.MM.yy </w:instrText>
    </w:r>
    <w:r w:rsidRPr="00B12661">
      <w:fldChar w:fldCharType="separate"/>
    </w:r>
    <w:r w:rsidR="005C47D3">
      <w:rPr>
        <w:noProof/>
      </w:rPr>
      <w:t>05.06.19</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B3A" w:rsidRDefault="007F6B3A" w:rsidP="002919E1">
      <w:r>
        <w:t>___________________</w:t>
      </w:r>
    </w:p>
  </w:footnote>
  <w:footnote w:type="continuationSeparator" w:id="0">
    <w:p w:rsidR="007F6B3A" w:rsidRDefault="007F6B3A" w:rsidP="002919E1">
      <w:r>
        <w:continuationSeparator/>
      </w:r>
    </w:p>
    <w:p w:rsidR="007F6B3A" w:rsidRDefault="007F6B3A" w:rsidP="002919E1"/>
    <w:p w:rsidR="007F6B3A" w:rsidRDefault="007F6B3A" w:rsidP="002919E1"/>
    <w:p w:rsidR="007F6B3A" w:rsidRDefault="007F6B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96B1A">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826AF">
      <w:rPr>
        <w:rStyle w:val="PageNumber"/>
        <w:noProof/>
      </w:rPr>
      <w:t>4</w:t>
    </w:r>
    <w:r w:rsidRPr="0088384B">
      <w:rPr>
        <w:rStyle w:val="PageNumber"/>
      </w:rPr>
      <w:fldChar w:fldCharType="end"/>
    </w:r>
    <w:r>
      <w:rPr>
        <w:rStyle w:val="PageNumber"/>
        <w:rtl/>
      </w:rPr>
      <w:br/>
    </w:r>
    <w:r w:rsidR="00EE60E9">
      <w:rPr>
        <w:rStyle w:val="PageNumber"/>
      </w:rPr>
      <w:t>CMR</w:t>
    </w:r>
    <w:r w:rsidR="00A809E8">
      <w:rPr>
        <w:rStyle w:val="PageNumber"/>
      </w:rPr>
      <w:t>1</w:t>
    </w:r>
    <w:r w:rsidR="00A375BD">
      <w:rPr>
        <w:rStyle w:val="PageNumber"/>
      </w:rPr>
      <w:t>9</w:t>
    </w:r>
    <w:r w:rsidR="00A809E8">
      <w:rPr>
        <w:rStyle w:val="PageNumber"/>
      </w:rPr>
      <w:t>/</w:t>
    </w:r>
    <w:r w:rsidR="00496B1A">
      <w:rPr>
        <w:rStyle w:val="PageNumber"/>
      </w:rPr>
      <w:t>10(Add.14</w:t>
    </w:r>
    <w:proofErr w:type="gramStart"/>
    <w:r w:rsidR="00496B1A">
      <w:rPr>
        <w:rStyle w:val="PageNumber"/>
      </w:rPr>
      <w:t>)(</w:t>
    </w:r>
    <w:proofErr w:type="gramEnd"/>
    <w:r w:rsidR="00496B1A">
      <w:rPr>
        <w:rStyle w:val="PageNumber"/>
      </w:rPr>
      <w:t>Add.4)</w:t>
    </w:r>
    <w:r w:rsidR="00A809E8">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A"/>
    <w:rsid w:val="00007A32"/>
    <w:rsid w:val="00011021"/>
    <w:rsid w:val="000114EC"/>
    <w:rsid w:val="00011F8C"/>
    <w:rsid w:val="0002327C"/>
    <w:rsid w:val="00040C94"/>
    <w:rsid w:val="000425FC"/>
    <w:rsid w:val="00044D43"/>
    <w:rsid w:val="00051907"/>
    <w:rsid w:val="00073B10"/>
    <w:rsid w:val="00075A3F"/>
    <w:rsid w:val="000A1B16"/>
    <w:rsid w:val="000B3896"/>
    <w:rsid w:val="000B5404"/>
    <w:rsid w:val="000C3B72"/>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F291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355A6"/>
    <w:rsid w:val="004636E2"/>
    <w:rsid w:val="00470CBD"/>
    <w:rsid w:val="0047407D"/>
    <w:rsid w:val="004909DD"/>
    <w:rsid w:val="00496B1A"/>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47D3"/>
    <w:rsid w:val="005C5D25"/>
    <w:rsid w:val="005D6D48"/>
    <w:rsid w:val="005D72A4"/>
    <w:rsid w:val="005F05CC"/>
    <w:rsid w:val="005F65DE"/>
    <w:rsid w:val="00613492"/>
    <w:rsid w:val="006315B5"/>
    <w:rsid w:val="0065562F"/>
    <w:rsid w:val="00680A66"/>
    <w:rsid w:val="00681391"/>
    <w:rsid w:val="006A12AC"/>
    <w:rsid w:val="006A2162"/>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26AF"/>
    <w:rsid w:val="00786A7E"/>
    <w:rsid w:val="007A0802"/>
    <w:rsid w:val="007B1FCA"/>
    <w:rsid w:val="007C2C12"/>
    <w:rsid w:val="007C3CFA"/>
    <w:rsid w:val="007E0E8B"/>
    <w:rsid w:val="007E6B0A"/>
    <w:rsid w:val="007F08CA"/>
    <w:rsid w:val="007F6B3A"/>
    <w:rsid w:val="007F7FC3"/>
    <w:rsid w:val="00810482"/>
    <w:rsid w:val="00817568"/>
    <w:rsid w:val="008204AC"/>
    <w:rsid w:val="008261C2"/>
    <w:rsid w:val="00830D96"/>
    <w:rsid w:val="0085569D"/>
    <w:rsid w:val="00855B59"/>
    <w:rsid w:val="0085774F"/>
    <w:rsid w:val="008657CB"/>
    <w:rsid w:val="00874993"/>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937CC"/>
    <w:rsid w:val="00B9727C"/>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B1E62"/>
    <w:rsid w:val="00DC29DD"/>
    <w:rsid w:val="00DC7C0E"/>
    <w:rsid w:val="00DF2A6A"/>
    <w:rsid w:val="00DF3B72"/>
    <w:rsid w:val="00E057E5"/>
    <w:rsid w:val="00E10821"/>
    <w:rsid w:val="00E2489D"/>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22FB36-8E41-4527-8C63-6AA1FE28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64651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7FDE714-3778-4F8C-9681-F5FC7D3F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PA_WRC19.dotx</Template>
  <TotalTime>50</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Hiba</dc:creator>
  <cp:keywords>WRC-12</cp:keywords>
  <cp:lastModifiedBy>Bonnici, Adrienne</cp:lastModifiedBy>
  <cp:revision>9</cp:revision>
  <cp:lastPrinted>2019-06-05T09:10:00Z</cp:lastPrinted>
  <dcterms:created xsi:type="dcterms:W3CDTF">2019-06-05T08:35:00Z</dcterms:created>
  <dcterms:modified xsi:type="dcterms:W3CDTF">2019-06-06T07:01:00Z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