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A11A0D" w:rsidTr="0050008E">
        <w:trPr>
          <w:cantSplit/>
        </w:trPr>
        <w:tc>
          <w:tcPr>
            <w:tcW w:w="6911" w:type="dxa"/>
          </w:tcPr>
          <w:p w:rsidR="0090121B" w:rsidRPr="00A11A0D" w:rsidRDefault="005D46FB" w:rsidP="00C44E9E">
            <w:pPr>
              <w:spacing w:before="400" w:after="48" w:line="240" w:lineRule="atLeast"/>
              <w:rPr>
                <w:rFonts w:ascii="Verdana" w:hAnsi="Verdana"/>
                <w:position w:val="6"/>
              </w:rPr>
            </w:pPr>
            <w:r w:rsidRPr="00A11A0D">
              <w:rPr>
                <w:rFonts w:ascii="Verdana" w:hAnsi="Verdana" w:cs="Times"/>
                <w:b/>
                <w:position w:val="6"/>
                <w:sz w:val="20"/>
              </w:rPr>
              <w:t>Conferencia Mundial de Radiocomunicaciones (CMR-1</w:t>
            </w:r>
            <w:r w:rsidR="00C44E9E" w:rsidRPr="00A11A0D">
              <w:rPr>
                <w:rFonts w:ascii="Verdana" w:hAnsi="Verdana" w:cs="Times"/>
                <w:b/>
                <w:position w:val="6"/>
                <w:sz w:val="20"/>
              </w:rPr>
              <w:t>9</w:t>
            </w:r>
            <w:r w:rsidRPr="00A11A0D">
              <w:rPr>
                <w:rFonts w:ascii="Verdana" w:hAnsi="Verdana" w:cs="Times"/>
                <w:b/>
                <w:position w:val="6"/>
                <w:sz w:val="20"/>
              </w:rPr>
              <w:t>)</w:t>
            </w:r>
            <w:r w:rsidRPr="00A11A0D">
              <w:rPr>
                <w:rFonts w:ascii="Verdana" w:hAnsi="Verdana" w:cs="Times"/>
                <w:b/>
                <w:position w:val="6"/>
                <w:sz w:val="20"/>
              </w:rPr>
              <w:br/>
            </w:r>
            <w:r w:rsidR="006124AD" w:rsidRPr="00A11A0D">
              <w:rPr>
                <w:rFonts w:ascii="Verdana" w:hAnsi="Verdana"/>
                <w:b/>
                <w:bCs/>
                <w:position w:val="6"/>
                <w:sz w:val="17"/>
                <w:szCs w:val="17"/>
              </w:rPr>
              <w:t>Sharm el-</w:t>
            </w:r>
            <w:proofErr w:type="spellStart"/>
            <w:r w:rsidR="006124AD" w:rsidRPr="00A11A0D">
              <w:rPr>
                <w:rFonts w:ascii="Verdana" w:hAnsi="Verdana"/>
                <w:b/>
                <w:bCs/>
                <w:position w:val="6"/>
                <w:sz w:val="17"/>
                <w:szCs w:val="17"/>
              </w:rPr>
              <w:t>Sheikh</w:t>
            </w:r>
            <w:proofErr w:type="spellEnd"/>
            <w:r w:rsidR="006124AD" w:rsidRPr="00A11A0D">
              <w:rPr>
                <w:rFonts w:ascii="Verdana" w:hAnsi="Verdana"/>
                <w:b/>
                <w:bCs/>
                <w:position w:val="6"/>
                <w:sz w:val="17"/>
                <w:szCs w:val="17"/>
              </w:rPr>
              <w:t xml:space="preserve"> (Egipto)</w:t>
            </w:r>
            <w:r w:rsidRPr="00A11A0D">
              <w:rPr>
                <w:rFonts w:ascii="Verdana" w:hAnsi="Verdana"/>
                <w:b/>
                <w:bCs/>
                <w:position w:val="6"/>
                <w:sz w:val="17"/>
                <w:szCs w:val="17"/>
              </w:rPr>
              <w:t>, 2</w:t>
            </w:r>
            <w:r w:rsidR="00C44E9E" w:rsidRPr="00A11A0D">
              <w:rPr>
                <w:rFonts w:ascii="Verdana" w:hAnsi="Verdana"/>
                <w:b/>
                <w:bCs/>
                <w:position w:val="6"/>
                <w:sz w:val="17"/>
                <w:szCs w:val="17"/>
              </w:rPr>
              <w:t xml:space="preserve">8 de octubre </w:t>
            </w:r>
            <w:r w:rsidRPr="00A11A0D">
              <w:rPr>
                <w:rFonts w:ascii="Verdana" w:hAnsi="Verdana"/>
                <w:b/>
                <w:bCs/>
                <w:position w:val="6"/>
                <w:sz w:val="17"/>
                <w:szCs w:val="17"/>
              </w:rPr>
              <w:t>-</w:t>
            </w:r>
            <w:r w:rsidR="00C44E9E" w:rsidRPr="00A11A0D">
              <w:rPr>
                <w:rFonts w:ascii="Verdana" w:hAnsi="Verdana"/>
                <w:b/>
                <w:bCs/>
                <w:position w:val="6"/>
                <w:sz w:val="17"/>
                <w:szCs w:val="17"/>
              </w:rPr>
              <w:t xml:space="preserve"> </w:t>
            </w:r>
            <w:r w:rsidRPr="00A11A0D">
              <w:rPr>
                <w:rFonts w:ascii="Verdana" w:hAnsi="Verdana"/>
                <w:b/>
                <w:bCs/>
                <w:position w:val="6"/>
                <w:sz w:val="17"/>
                <w:szCs w:val="17"/>
              </w:rPr>
              <w:t>2</w:t>
            </w:r>
            <w:r w:rsidR="00C44E9E" w:rsidRPr="00A11A0D">
              <w:rPr>
                <w:rFonts w:ascii="Verdana" w:hAnsi="Verdana"/>
                <w:b/>
                <w:bCs/>
                <w:position w:val="6"/>
                <w:sz w:val="17"/>
                <w:szCs w:val="17"/>
              </w:rPr>
              <w:t>2</w:t>
            </w:r>
            <w:r w:rsidRPr="00A11A0D">
              <w:rPr>
                <w:rFonts w:ascii="Verdana" w:hAnsi="Verdana"/>
                <w:b/>
                <w:bCs/>
                <w:position w:val="6"/>
                <w:sz w:val="17"/>
                <w:szCs w:val="17"/>
              </w:rPr>
              <w:t xml:space="preserve"> de noviembre de 201</w:t>
            </w:r>
            <w:r w:rsidR="00C44E9E" w:rsidRPr="00A11A0D">
              <w:rPr>
                <w:rFonts w:ascii="Verdana" w:hAnsi="Verdana"/>
                <w:b/>
                <w:bCs/>
                <w:position w:val="6"/>
                <w:sz w:val="17"/>
                <w:szCs w:val="17"/>
              </w:rPr>
              <w:t>9</w:t>
            </w:r>
          </w:p>
        </w:tc>
        <w:tc>
          <w:tcPr>
            <w:tcW w:w="3120" w:type="dxa"/>
          </w:tcPr>
          <w:p w:rsidR="0090121B" w:rsidRPr="00A11A0D" w:rsidRDefault="00DA71A3" w:rsidP="00CE7431">
            <w:pPr>
              <w:spacing w:before="0" w:line="240" w:lineRule="atLeast"/>
              <w:jc w:val="right"/>
            </w:pPr>
            <w:bookmarkStart w:id="0" w:name="ditulogo"/>
            <w:bookmarkEnd w:id="0"/>
            <w:r w:rsidRPr="00A11A0D">
              <w:rPr>
                <w:rFonts w:ascii="Verdana" w:hAnsi="Verdana"/>
                <w:b/>
                <w:bCs/>
                <w:noProof/>
                <w:szCs w:val="24"/>
                <w:lang w:val="en-GB" w:eastAsia="zh-CN"/>
              </w:rPr>
              <w:drawing>
                <wp:inline distT="0" distB="0" distL="0" distR="0">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A11A0D" w:rsidTr="0050008E">
        <w:trPr>
          <w:cantSplit/>
        </w:trPr>
        <w:tc>
          <w:tcPr>
            <w:tcW w:w="6911" w:type="dxa"/>
            <w:tcBorders>
              <w:bottom w:val="single" w:sz="12" w:space="0" w:color="auto"/>
            </w:tcBorders>
          </w:tcPr>
          <w:p w:rsidR="0090121B" w:rsidRPr="00A11A0D" w:rsidRDefault="0090121B" w:rsidP="0090121B">
            <w:pPr>
              <w:spacing w:before="0" w:after="48" w:line="240" w:lineRule="atLeast"/>
              <w:rPr>
                <w:b/>
                <w:smallCaps/>
                <w:szCs w:val="24"/>
              </w:rPr>
            </w:pPr>
            <w:bookmarkStart w:id="1" w:name="dhead"/>
          </w:p>
        </w:tc>
        <w:tc>
          <w:tcPr>
            <w:tcW w:w="3120" w:type="dxa"/>
            <w:tcBorders>
              <w:bottom w:val="single" w:sz="12" w:space="0" w:color="auto"/>
            </w:tcBorders>
          </w:tcPr>
          <w:p w:rsidR="0090121B" w:rsidRPr="00A11A0D" w:rsidRDefault="0090121B" w:rsidP="0090121B">
            <w:pPr>
              <w:spacing w:before="0" w:line="240" w:lineRule="atLeast"/>
              <w:rPr>
                <w:rFonts w:ascii="Verdana" w:hAnsi="Verdana"/>
                <w:szCs w:val="24"/>
              </w:rPr>
            </w:pPr>
          </w:p>
        </w:tc>
      </w:tr>
      <w:tr w:rsidR="0090121B" w:rsidRPr="00A11A0D" w:rsidTr="0090121B">
        <w:trPr>
          <w:cantSplit/>
        </w:trPr>
        <w:tc>
          <w:tcPr>
            <w:tcW w:w="6911" w:type="dxa"/>
            <w:tcBorders>
              <w:top w:val="single" w:sz="12" w:space="0" w:color="auto"/>
            </w:tcBorders>
          </w:tcPr>
          <w:p w:rsidR="0090121B" w:rsidRPr="00A11A0D"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rsidR="0090121B" w:rsidRPr="00A11A0D" w:rsidRDefault="0090121B" w:rsidP="0090121B">
            <w:pPr>
              <w:spacing w:before="0" w:line="240" w:lineRule="atLeast"/>
              <w:rPr>
                <w:rFonts w:ascii="Verdana" w:hAnsi="Verdana"/>
                <w:sz w:val="20"/>
              </w:rPr>
            </w:pPr>
          </w:p>
        </w:tc>
      </w:tr>
      <w:tr w:rsidR="0090121B" w:rsidRPr="00A11A0D" w:rsidTr="0090121B">
        <w:trPr>
          <w:cantSplit/>
        </w:trPr>
        <w:tc>
          <w:tcPr>
            <w:tcW w:w="6911" w:type="dxa"/>
          </w:tcPr>
          <w:p w:rsidR="0090121B" w:rsidRPr="00A11A0D" w:rsidRDefault="001E7D42" w:rsidP="00EA77F0">
            <w:pPr>
              <w:pStyle w:val="Committee"/>
              <w:framePr w:hSpace="0" w:wrap="auto" w:hAnchor="text" w:yAlign="inline"/>
              <w:rPr>
                <w:lang w:val="es-ES_tradnl"/>
              </w:rPr>
            </w:pPr>
            <w:r w:rsidRPr="00A11A0D">
              <w:rPr>
                <w:lang w:val="es-ES_tradnl"/>
              </w:rPr>
              <w:t>SESIÓN PLENARIA</w:t>
            </w:r>
          </w:p>
        </w:tc>
        <w:tc>
          <w:tcPr>
            <w:tcW w:w="3120" w:type="dxa"/>
          </w:tcPr>
          <w:p w:rsidR="0090121B" w:rsidRPr="00A11A0D" w:rsidRDefault="00AE658F" w:rsidP="0045384C">
            <w:pPr>
              <w:spacing w:before="0"/>
              <w:rPr>
                <w:rFonts w:ascii="Verdana" w:hAnsi="Verdana"/>
                <w:sz w:val="20"/>
              </w:rPr>
            </w:pPr>
            <w:proofErr w:type="spellStart"/>
            <w:r w:rsidRPr="00A11A0D">
              <w:rPr>
                <w:rFonts w:ascii="Verdana" w:hAnsi="Verdana"/>
                <w:b/>
                <w:sz w:val="20"/>
              </w:rPr>
              <w:t>Addéndum</w:t>
            </w:r>
            <w:proofErr w:type="spellEnd"/>
            <w:r w:rsidRPr="00A11A0D">
              <w:rPr>
                <w:rFonts w:ascii="Verdana" w:hAnsi="Verdana"/>
                <w:b/>
                <w:sz w:val="20"/>
              </w:rPr>
              <w:t xml:space="preserve"> 4 al</w:t>
            </w:r>
            <w:r w:rsidRPr="00A11A0D">
              <w:rPr>
                <w:rFonts w:ascii="Verdana" w:hAnsi="Verdana"/>
                <w:b/>
                <w:sz w:val="20"/>
              </w:rPr>
              <w:br/>
              <w:t>Documento 10(Add.14)</w:t>
            </w:r>
            <w:r w:rsidR="0090121B" w:rsidRPr="00A11A0D">
              <w:rPr>
                <w:rFonts w:ascii="Verdana" w:hAnsi="Verdana"/>
                <w:b/>
                <w:sz w:val="20"/>
              </w:rPr>
              <w:t>-</w:t>
            </w:r>
            <w:r w:rsidRPr="00A11A0D">
              <w:rPr>
                <w:rFonts w:ascii="Verdana" w:hAnsi="Verdana"/>
                <w:b/>
                <w:sz w:val="20"/>
              </w:rPr>
              <w:t>S</w:t>
            </w:r>
          </w:p>
        </w:tc>
      </w:tr>
      <w:bookmarkEnd w:id="1"/>
      <w:tr w:rsidR="000A5B9A" w:rsidRPr="00A11A0D" w:rsidTr="0090121B">
        <w:trPr>
          <w:cantSplit/>
        </w:trPr>
        <w:tc>
          <w:tcPr>
            <w:tcW w:w="6911" w:type="dxa"/>
          </w:tcPr>
          <w:p w:rsidR="000A5B9A" w:rsidRPr="00A11A0D" w:rsidRDefault="000A5B9A" w:rsidP="0045384C">
            <w:pPr>
              <w:spacing w:before="0" w:after="48"/>
              <w:rPr>
                <w:rFonts w:ascii="Verdana" w:hAnsi="Verdana"/>
                <w:b/>
                <w:smallCaps/>
                <w:sz w:val="20"/>
              </w:rPr>
            </w:pPr>
          </w:p>
        </w:tc>
        <w:tc>
          <w:tcPr>
            <w:tcW w:w="3120" w:type="dxa"/>
          </w:tcPr>
          <w:p w:rsidR="000A5B9A" w:rsidRPr="00A11A0D" w:rsidRDefault="000A5B9A" w:rsidP="0045384C">
            <w:pPr>
              <w:spacing w:before="0"/>
              <w:rPr>
                <w:rFonts w:ascii="Verdana" w:hAnsi="Verdana"/>
                <w:b/>
                <w:sz w:val="20"/>
              </w:rPr>
            </w:pPr>
            <w:r w:rsidRPr="00A11A0D">
              <w:rPr>
                <w:rFonts w:ascii="Verdana" w:hAnsi="Verdana"/>
                <w:b/>
                <w:sz w:val="20"/>
              </w:rPr>
              <w:t>15 de mayo de 2019</w:t>
            </w:r>
          </w:p>
        </w:tc>
      </w:tr>
      <w:tr w:rsidR="000A5B9A" w:rsidRPr="00A11A0D" w:rsidTr="0090121B">
        <w:trPr>
          <w:cantSplit/>
        </w:trPr>
        <w:tc>
          <w:tcPr>
            <w:tcW w:w="6911" w:type="dxa"/>
          </w:tcPr>
          <w:p w:rsidR="000A5B9A" w:rsidRPr="00A11A0D" w:rsidRDefault="000A5B9A" w:rsidP="0045384C">
            <w:pPr>
              <w:spacing w:before="0" w:after="48"/>
              <w:rPr>
                <w:rFonts w:ascii="Verdana" w:hAnsi="Verdana"/>
                <w:b/>
                <w:smallCaps/>
                <w:sz w:val="20"/>
              </w:rPr>
            </w:pPr>
          </w:p>
        </w:tc>
        <w:tc>
          <w:tcPr>
            <w:tcW w:w="3120" w:type="dxa"/>
          </w:tcPr>
          <w:p w:rsidR="000A5B9A" w:rsidRPr="00A11A0D" w:rsidRDefault="000A5B9A" w:rsidP="0045384C">
            <w:pPr>
              <w:spacing w:before="0"/>
              <w:rPr>
                <w:rFonts w:ascii="Verdana" w:hAnsi="Verdana"/>
                <w:b/>
                <w:sz w:val="20"/>
              </w:rPr>
            </w:pPr>
            <w:r w:rsidRPr="00A11A0D">
              <w:rPr>
                <w:rFonts w:ascii="Verdana" w:hAnsi="Verdana"/>
                <w:b/>
                <w:sz w:val="20"/>
              </w:rPr>
              <w:t>Original: inglés</w:t>
            </w:r>
          </w:p>
        </w:tc>
      </w:tr>
      <w:tr w:rsidR="000A5B9A" w:rsidRPr="00A11A0D" w:rsidTr="006744FC">
        <w:trPr>
          <w:cantSplit/>
        </w:trPr>
        <w:tc>
          <w:tcPr>
            <w:tcW w:w="10031" w:type="dxa"/>
            <w:gridSpan w:val="2"/>
          </w:tcPr>
          <w:p w:rsidR="000A5B9A" w:rsidRPr="00A11A0D" w:rsidRDefault="000A5B9A" w:rsidP="0045384C">
            <w:pPr>
              <w:spacing w:before="0"/>
              <w:rPr>
                <w:rFonts w:ascii="Verdana" w:hAnsi="Verdana"/>
                <w:b/>
                <w:sz w:val="20"/>
              </w:rPr>
            </w:pPr>
          </w:p>
        </w:tc>
      </w:tr>
      <w:tr w:rsidR="000A5B9A" w:rsidRPr="00A11A0D" w:rsidTr="0050008E">
        <w:trPr>
          <w:cantSplit/>
        </w:trPr>
        <w:tc>
          <w:tcPr>
            <w:tcW w:w="10031" w:type="dxa"/>
            <w:gridSpan w:val="2"/>
          </w:tcPr>
          <w:p w:rsidR="000A5B9A" w:rsidRPr="00A11A0D" w:rsidRDefault="000A5B9A" w:rsidP="000A5B9A">
            <w:pPr>
              <w:pStyle w:val="Source"/>
            </w:pPr>
            <w:bookmarkStart w:id="2" w:name="dsource" w:colFirst="0" w:colLast="0"/>
            <w:r w:rsidRPr="00A11A0D">
              <w:t>Estados Unidos de América</w:t>
            </w:r>
          </w:p>
        </w:tc>
      </w:tr>
      <w:tr w:rsidR="000A5B9A" w:rsidRPr="00A11A0D" w:rsidTr="0050008E">
        <w:trPr>
          <w:cantSplit/>
        </w:trPr>
        <w:tc>
          <w:tcPr>
            <w:tcW w:w="10031" w:type="dxa"/>
            <w:gridSpan w:val="2"/>
          </w:tcPr>
          <w:p w:rsidR="000A5B9A" w:rsidRPr="00A11A0D" w:rsidRDefault="00030D27" w:rsidP="000A5B9A">
            <w:pPr>
              <w:pStyle w:val="Title1"/>
            </w:pPr>
            <w:bookmarkStart w:id="3" w:name="dtitle1" w:colFirst="0" w:colLast="0"/>
            <w:bookmarkEnd w:id="2"/>
            <w:r w:rsidRPr="00A11A0D">
              <w:t>PROPUESTAS PARA LOS TRABAJOS DE LA CONFERENCIA</w:t>
            </w:r>
          </w:p>
        </w:tc>
      </w:tr>
      <w:tr w:rsidR="000A5B9A" w:rsidRPr="00A11A0D" w:rsidTr="0050008E">
        <w:trPr>
          <w:cantSplit/>
        </w:trPr>
        <w:tc>
          <w:tcPr>
            <w:tcW w:w="10031" w:type="dxa"/>
            <w:gridSpan w:val="2"/>
          </w:tcPr>
          <w:p w:rsidR="000A5B9A" w:rsidRPr="00A11A0D" w:rsidRDefault="000A5B9A" w:rsidP="000A5B9A">
            <w:pPr>
              <w:pStyle w:val="Title2"/>
            </w:pPr>
            <w:bookmarkStart w:id="4" w:name="dtitle2" w:colFirst="0" w:colLast="0"/>
            <w:bookmarkEnd w:id="3"/>
          </w:p>
        </w:tc>
      </w:tr>
      <w:tr w:rsidR="000A5B9A" w:rsidRPr="00A11A0D" w:rsidTr="0050008E">
        <w:trPr>
          <w:cantSplit/>
        </w:trPr>
        <w:tc>
          <w:tcPr>
            <w:tcW w:w="10031" w:type="dxa"/>
            <w:gridSpan w:val="2"/>
          </w:tcPr>
          <w:p w:rsidR="000A5B9A" w:rsidRPr="00A11A0D" w:rsidRDefault="000A5B9A" w:rsidP="000A5B9A">
            <w:pPr>
              <w:pStyle w:val="Agendaitem"/>
            </w:pPr>
            <w:bookmarkStart w:id="5" w:name="dtitle3" w:colFirst="0" w:colLast="0"/>
            <w:bookmarkEnd w:id="4"/>
            <w:r w:rsidRPr="00A11A0D">
              <w:t>Punto 1.14 del orden del día</w:t>
            </w:r>
          </w:p>
        </w:tc>
      </w:tr>
    </w:tbl>
    <w:bookmarkEnd w:id="5"/>
    <w:p w:rsidR="001C0E40" w:rsidRPr="00A11A0D" w:rsidRDefault="00F85C90" w:rsidP="003A37B0">
      <w:r w:rsidRPr="00A11A0D">
        <w:t>1.14</w:t>
      </w:r>
      <w:r w:rsidRPr="00A11A0D">
        <w:tab/>
        <w:t>considerar, basándose en los estudios del UIT</w:t>
      </w:r>
      <w:r w:rsidRPr="00A11A0D">
        <w:noBreakHyphen/>
        <w:t>R, de conformidad con la Resolución </w:t>
      </w:r>
      <w:r w:rsidRPr="00A11A0D">
        <w:rPr>
          <w:b/>
          <w:bCs/>
        </w:rPr>
        <w:t>160 (CMR-15),</w:t>
      </w:r>
      <w:r w:rsidRPr="00A11A0D">
        <w:t xml:space="preserve"> medidas reglamentarias apropiadas para las estaciones en plataformas a gran altitud (HAPS), dentro de las atribuciones del servicio fijo existentes;</w:t>
      </w:r>
    </w:p>
    <w:p w:rsidR="00030D27" w:rsidRPr="00A11A0D" w:rsidRDefault="00030D27" w:rsidP="00030D27">
      <w:pPr>
        <w:pStyle w:val="Parttitle"/>
      </w:pPr>
      <w:r w:rsidRPr="00A11A0D">
        <w:rPr>
          <w:shd w:val="clear" w:color="auto" w:fill="FFFFFF"/>
        </w:rPr>
        <w:t>Parte 4 - Gama de frecuencias de 24,25-25,25 GHz</w:t>
      </w:r>
    </w:p>
    <w:p w:rsidR="00030D27" w:rsidRPr="00A11A0D" w:rsidRDefault="00030D27" w:rsidP="00ED12C4">
      <w:pPr>
        <w:pStyle w:val="Headingb"/>
      </w:pPr>
      <w:bookmarkStart w:id="6" w:name="_Hlk515974450"/>
      <w:r w:rsidRPr="00A11A0D">
        <w:t>Introducción</w:t>
      </w:r>
    </w:p>
    <w:p w:rsidR="00030D27" w:rsidRPr="00A11A0D" w:rsidRDefault="00030D27" w:rsidP="00030D27">
      <w:r w:rsidRPr="00A11A0D">
        <w:t>En el presente documento se proporciona una propuesta de Estados Unidos sobre el punto 1.14 del orden del día de la CMR-19 en relación con la gama de frecuencias 24,25 – 25,25 GHz, con objeto de que se someta al examen de la Conferencia.</w:t>
      </w:r>
    </w:p>
    <w:bookmarkEnd w:id="6"/>
    <w:p w:rsidR="00030D27" w:rsidRPr="00A11A0D" w:rsidRDefault="00030D27" w:rsidP="00ED12C4">
      <w:pPr>
        <w:pStyle w:val="Headingb"/>
      </w:pPr>
      <w:r w:rsidRPr="00A11A0D">
        <w:t>Antecedentes</w:t>
      </w:r>
    </w:p>
    <w:p w:rsidR="00030D27" w:rsidRPr="00A11A0D" w:rsidRDefault="00030D27" w:rsidP="00114841">
      <w:r w:rsidRPr="00A11A0D">
        <w:t xml:space="preserve">Con arreglo a la definición que figura en el número </w:t>
      </w:r>
      <w:r w:rsidRPr="00A11A0D">
        <w:rPr>
          <w:b/>
          <w:bCs/>
        </w:rPr>
        <w:t>1.66A</w:t>
      </w:r>
      <w:r w:rsidRPr="00A11A0D">
        <w:t xml:space="preserve"> del Reglamento de Radiocomunicaciones de la UIT, una estación en plataforma a gran altitud (HAPS) es </w:t>
      </w:r>
      <w:r w:rsidR="00114841" w:rsidRPr="00A11A0D">
        <w:t>«</w:t>
      </w:r>
      <w:r w:rsidRPr="00A11A0D">
        <w:t>una estación situada sobre un objeto a una altitud de 20 a 50 km y en un punto nominal, fijo y especificado con respecto a la Tierra</w:t>
      </w:r>
      <w:r w:rsidR="00114841" w:rsidRPr="00A11A0D">
        <w:t>»</w:t>
      </w:r>
      <w:r w:rsidRPr="00A11A0D">
        <w:t xml:space="preserve">. El punto 1.14 del orden del día se aprobó en la CMR-15 para examinar, de conformidad con la Resolución </w:t>
      </w:r>
      <w:r w:rsidRPr="00A11A0D">
        <w:rPr>
          <w:b/>
          <w:bCs/>
        </w:rPr>
        <w:t>160 (CMR-15)</w:t>
      </w:r>
      <w:r w:rsidRPr="00A11A0D">
        <w:t xml:space="preserve">, medidas reglamentarias que pudieran facilitar el despliegue de HAPS para aplicaciones de banda ancha. En virtud </w:t>
      </w:r>
      <w:r w:rsidR="00114841" w:rsidRPr="00A11A0D">
        <w:t xml:space="preserve">de </w:t>
      </w:r>
      <w:r w:rsidRPr="00A11A0D">
        <w:t xml:space="preserve">la Resolución 160, se resuelve invitar al UIT-R a examinar las necesidades de espectro adicional de las HAPS, a estudiar si conviene utilizar las identificaciones existentes de las HAPS, y a realizar estudios de compartición y compatibilidad sobre nuevas identificaciones en las atribuciones del servicio fijo existentes en la banda </w:t>
      </w:r>
      <w:r w:rsidR="00114841" w:rsidRPr="00A11A0D">
        <w:br/>
      </w:r>
      <w:r w:rsidRPr="00A11A0D">
        <w:t>38-39,5 GHz, a escala mundial, y en las bandas atribuidas al s</w:t>
      </w:r>
      <w:r w:rsidR="00114841" w:rsidRPr="00A11A0D">
        <w:t xml:space="preserve">ervicio fijo en las bandas </w:t>
      </w:r>
      <w:r w:rsidR="00114841" w:rsidRPr="00A11A0D">
        <w:br/>
        <w:t>21,4-</w:t>
      </w:r>
      <w:r w:rsidRPr="00A11A0D">
        <w:t>22 GHz y 24,25-27,5 GHz exclusivamente en la Región 2.</w:t>
      </w:r>
    </w:p>
    <w:p w:rsidR="00030D27" w:rsidRPr="00A11A0D" w:rsidRDefault="00030D27" w:rsidP="00ED12C4">
      <w:pPr>
        <w:rPr>
          <w:b/>
        </w:rPr>
      </w:pPr>
      <w:r w:rsidRPr="00A11A0D">
        <w:t xml:space="preserve">Los avances en las tecnologías aeronáutica y de transmisión han mejorado sustancialmente las capacidades de las HAPS para ofrecer soluciones de conectividad eficaces y satisfacer la demanda, cada vez mayor, de redes de banda ancha de gran capacidad, en particular en zonas insuficientemente atendidas. Varios vuelos de prueba a gran escala efectuados recientemente han puesto de manifiesto que las plataformas con suministro energético solar situadas en la parte superior de la atmósfera pueden utilizarse actualmente para transportar cargas útiles que ofrecen </w:t>
      </w:r>
      <w:r w:rsidRPr="00A11A0D">
        <w:lastRenderedPageBreak/>
        <w:t>conectividad de forma fiable y rentable, y se está desarrollando una cantidad cada vez mayor de aplicaciones para la nueva generación de HAPS. Esa tecnología puede ser adecuada, en particular, como complemento de las redes terrestres para proporcionar enlaces de comunicación de retroceso. Entre las ventajas que cabe esperar de la nueva generación de HAPS cabe destacar las siguientes:</w:t>
      </w:r>
    </w:p>
    <w:p w:rsidR="00030D27" w:rsidRPr="00A11A0D" w:rsidRDefault="00ED12C4" w:rsidP="00ED12C4">
      <w:pPr>
        <w:pStyle w:val="enumlev1"/>
      </w:pPr>
      <w:r w:rsidRPr="00A11A0D">
        <w:rPr>
          <w:b/>
          <w:bCs/>
        </w:rPr>
        <w:t>•</w:t>
      </w:r>
      <w:r w:rsidRPr="00A11A0D">
        <w:rPr>
          <w:b/>
          <w:bCs/>
        </w:rPr>
        <w:tab/>
      </w:r>
      <w:r w:rsidR="00030D27" w:rsidRPr="00A11A0D">
        <w:rPr>
          <w:b/>
          <w:bCs/>
        </w:rPr>
        <w:t>Alcance:</w:t>
      </w:r>
      <w:r w:rsidR="00030D27" w:rsidRPr="00A11A0D">
        <w:t xml:space="preserve"> Las plataformas HAPS pueden funcionar aproximadamente a 20 km sobre el nivel del suelo, lo que disminuye su vulnerabilidad frente a condiciones meteorológicas adversas para el servicio que prestan, proporciona amplias zonas de cobertura y contribuye a mitigar la interferencia provocada por obstáculos físicos.</w:t>
      </w:r>
    </w:p>
    <w:p w:rsidR="00030D27" w:rsidRPr="00A11A0D" w:rsidRDefault="00ED12C4" w:rsidP="00ED12C4">
      <w:pPr>
        <w:pStyle w:val="enumlev1"/>
      </w:pPr>
      <w:r w:rsidRPr="00A11A0D">
        <w:rPr>
          <w:b/>
          <w:bCs/>
        </w:rPr>
        <w:t>•</w:t>
      </w:r>
      <w:r w:rsidRPr="00A11A0D">
        <w:rPr>
          <w:b/>
          <w:bCs/>
        </w:rPr>
        <w:tab/>
      </w:r>
      <w:r w:rsidR="00030D27" w:rsidRPr="00A11A0D">
        <w:rPr>
          <w:b/>
          <w:bCs/>
        </w:rPr>
        <w:t>Alcance geográfico:</w:t>
      </w:r>
      <w:r w:rsidR="00030D27" w:rsidRPr="00A11A0D">
        <w:t xml:space="preserve"> Las HAPS que utilizan la arquitectura de plataformas solares también pueden proporcionar conectividad en los casos en los que no sea posible el despliegue</w:t>
      </w:r>
      <w:r w:rsidR="00114841" w:rsidRPr="00A11A0D">
        <w:t xml:space="preserve"> </w:t>
      </w:r>
      <w:r w:rsidR="00030D27" w:rsidRPr="00A11A0D">
        <w:t>de infraestructura terrestre, en particular en emplazamientos terrestres o marítimos aislados.</w:t>
      </w:r>
    </w:p>
    <w:p w:rsidR="00030D27" w:rsidRPr="00A11A0D" w:rsidRDefault="00ED12C4" w:rsidP="00ED12C4">
      <w:pPr>
        <w:pStyle w:val="enumlev1"/>
      </w:pPr>
      <w:r w:rsidRPr="00A11A0D">
        <w:rPr>
          <w:b/>
          <w:bCs/>
        </w:rPr>
        <w:t>•</w:t>
      </w:r>
      <w:r w:rsidRPr="00A11A0D">
        <w:rPr>
          <w:b/>
          <w:bCs/>
        </w:rPr>
        <w:tab/>
      </w:r>
      <w:r w:rsidR="00030D27" w:rsidRPr="00A11A0D">
        <w:rPr>
          <w:b/>
          <w:bCs/>
        </w:rPr>
        <w:t>Cobertura de área extensa:</w:t>
      </w:r>
      <w:r w:rsidR="00030D27" w:rsidRPr="00A11A0D">
        <w:t xml:space="preserve"> En función del caso operacional de que se trate, una sola plataforma puede proporcionar huellas de hasta 100 km de diámetro, y recientes avances tecnológicos en el desarrollo de enlaces ópticos entre HAPS permiten el despliegue de varias HAPS conectadas entre sí, en agrupaciones que pueden proporcionar mayor cobertura en un país determinado, de ser necesario</w:t>
      </w:r>
      <w:r w:rsidR="00A93B5D" w:rsidRPr="00A11A0D">
        <w:t>.</w:t>
      </w:r>
    </w:p>
    <w:p w:rsidR="00030D27" w:rsidRPr="00A11A0D" w:rsidRDefault="00ED12C4" w:rsidP="00ED12C4">
      <w:pPr>
        <w:pStyle w:val="enumlev1"/>
      </w:pPr>
      <w:r w:rsidRPr="00A11A0D">
        <w:rPr>
          <w:b/>
          <w:bCs/>
        </w:rPr>
        <w:t>•</w:t>
      </w:r>
      <w:r w:rsidRPr="00A11A0D">
        <w:rPr>
          <w:b/>
          <w:bCs/>
        </w:rPr>
        <w:tab/>
      </w:r>
      <w:r w:rsidR="00030D27" w:rsidRPr="00A11A0D">
        <w:rPr>
          <w:b/>
          <w:bCs/>
        </w:rPr>
        <w:t>Bajo costo y aspectos medioambientales:</w:t>
      </w:r>
      <w:r w:rsidR="00030D27" w:rsidRPr="00A11A0D">
        <w:t xml:space="preserve"> Se prevé que el costo de explotación de plataformas estratosféricas sea menor que el de otras soluciones de conectividad, en función de la zona geográfica de que se trate, y que la producción masiva en el plano aeronáutico reduzca sustancialmente la financiación inicial necesaria para su despliegue. Las HAPS pueden funcionar exclusivamente con energía solar durante periodos de tiempo prolongados, con objeto de ofrecer conexión a la población casi sin ningún impacto medioambiental</w:t>
      </w:r>
      <w:r w:rsidR="00A93B5D" w:rsidRPr="00A11A0D">
        <w:t>.</w:t>
      </w:r>
    </w:p>
    <w:p w:rsidR="00030D27" w:rsidRPr="00A11A0D" w:rsidRDefault="00ED12C4" w:rsidP="00ED12C4">
      <w:pPr>
        <w:pStyle w:val="enumlev1"/>
      </w:pPr>
      <w:r w:rsidRPr="00A11A0D">
        <w:rPr>
          <w:b/>
          <w:bCs/>
        </w:rPr>
        <w:t>•</w:t>
      </w:r>
      <w:r w:rsidRPr="00A11A0D">
        <w:rPr>
          <w:b/>
          <w:bCs/>
        </w:rPr>
        <w:tab/>
      </w:r>
      <w:r w:rsidR="00030D27" w:rsidRPr="00A11A0D">
        <w:rPr>
          <w:b/>
          <w:bCs/>
        </w:rPr>
        <w:t xml:space="preserve">Rápido despliegue y flexibilidad: </w:t>
      </w:r>
      <w:r w:rsidR="00030D27" w:rsidRPr="00A11A0D">
        <w:t>Los servicios de HAPS pueden desplegarse sin largos plazos de entrega y es relativamente sencillo volver a situar las plataformas solares en tierra para su mantenimiento o reconfigurar la carga útil.</w:t>
      </w:r>
    </w:p>
    <w:p w:rsidR="00030D27" w:rsidRPr="00A11A0D" w:rsidRDefault="00030D27" w:rsidP="00ED12C4">
      <w:pPr>
        <w:rPr>
          <w:shd w:val="clear" w:color="auto" w:fill="FFFFFF"/>
          <w:lang w:eastAsia="pt-BR"/>
        </w:rPr>
      </w:pPr>
      <w:r w:rsidRPr="00A11A0D">
        <w:rPr>
          <w:shd w:val="clear" w:color="auto" w:fill="FFFFFF"/>
          <w:lang w:eastAsia="pt-BR"/>
        </w:rPr>
        <w:t xml:space="preserve">El UIT-R llevó a cabo varios estudios de compartición y compatibilidad para evaluar la coexistencia entre las HAPS y los sistemas y servicios implantados, así como los propuestos (incluidas las cuestiones sobre superposición con el alcance de los puntos 1.6 y 1.13 del orden del día de la </w:t>
      </w:r>
      <w:r w:rsidR="00A93B5D" w:rsidRPr="00A11A0D">
        <w:rPr>
          <w:shd w:val="clear" w:color="auto" w:fill="FFFFFF"/>
          <w:lang w:eastAsia="pt-BR"/>
        </w:rPr>
        <w:br/>
      </w:r>
      <w:r w:rsidRPr="00A11A0D">
        <w:rPr>
          <w:shd w:val="clear" w:color="auto" w:fill="FFFFFF"/>
          <w:lang w:eastAsia="pt-BR"/>
        </w:rPr>
        <w:t>CMR-19). A continuación se proponen las disposiciones reglamentarias correspondientes sobre la base de los resultados de dichos estudios de compartición.</w:t>
      </w:r>
    </w:p>
    <w:p w:rsidR="00030D27" w:rsidRPr="00A11A0D" w:rsidRDefault="00030D27" w:rsidP="00ED12C4">
      <w:pPr>
        <w:pStyle w:val="Headingb"/>
      </w:pPr>
      <w:r w:rsidRPr="00A11A0D">
        <w:t>Propuesta</w:t>
      </w:r>
    </w:p>
    <w:p w:rsidR="00363A65" w:rsidRPr="00A11A0D" w:rsidRDefault="00030D27" w:rsidP="00114841">
      <w:r w:rsidRPr="00A11A0D">
        <w:t xml:space="preserve">Con respecto a la gama de frecuencias 24,25 - 25,25 GHz en la Región 2, Estados Unidos propone que </w:t>
      </w:r>
      <w:r w:rsidR="00114841" w:rsidRPr="00A11A0D">
        <w:t>«</w:t>
      </w:r>
      <w:r w:rsidRPr="00A11A0D">
        <w:t>no se modifique</w:t>
      </w:r>
      <w:r w:rsidR="00114841" w:rsidRPr="00A11A0D">
        <w:t>»</w:t>
      </w:r>
      <w:r w:rsidRPr="00A11A0D">
        <w:t xml:space="preserve"> (</w:t>
      </w:r>
      <w:r w:rsidRPr="00A11A0D">
        <w:rPr>
          <w:u w:val="single"/>
        </w:rPr>
        <w:t>NOC</w:t>
      </w:r>
      <w:r w:rsidRPr="00A11A0D">
        <w:t xml:space="preserve">) el Reglamento de Radiocomunicaciones, puesto que en virtud de la Resolución </w:t>
      </w:r>
      <w:r w:rsidRPr="00A11A0D">
        <w:rPr>
          <w:b/>
          <w:bCs/>
        </w:rPr>
        <w:t>160 (CMR-15)</w:t>
      </w:r>
      <w:r w:rsidRPr="00A11A0D">
        <w:t xml:space="preserve">, es necesario identificar HAPS en bandas de frecuencias ya atribuidas al servicio fijo a título primario. En la Región 2, las bandas de esta gama de frecuencias no están atribuidas al servicio fijo. No se ha realizado ningún estudio en el UIT-R para evaluar la compartición y compatibilidad a los efectos de una nueva atribución al servicio fijo </w:t>
      </w:r>
      <w:r w:rsidR="00A93B5D" w:rsidRPr="00A11A0D">
        <w:t>en la banda </w:t>
      </w:r>
      <w:r w:rsidRPr="00A11A0D">
        <w:t>24,25</w:t>
      </w:r>
      <w:r w:rsidR="00114841" w:rsidRPr="00A11A0D">
        <w:t>-</w:t>
      </w:r>
      <w:r w:rsidRPr="00A11A0D">
        <w:t>25,25 GHz en la Región 2. Puesto que no puede identificarse una banda de frecuencias para la utilización de HAPS del servicio fijo sin una atribución al servicio fijo, no se propone ninguna modificación en el marco del punto 1.14 del orden del día. Esa propuesta está en consonancia con el Método 4A del Informe de la RPC a la CMR-19.</w:t>
      </w:r>
    </w:p>
    <w:p w:rsidR="008750A8" w:rsidRPr="00A11A0D" w:rsidRDefault="008750A8" w:rsidP="008750A8">
      <w:pPr>
        <w:tabs>
          <w:tab w:val="clear" w:pos="1134"/>
          <w:tab w:val="clear" w:pos="1871"/>
          <w:tab w:val="clear" w:pos="2268"/>
        </w:tabs>
        <w:overflowPunct/>
        <w:autoSpaceDE/>
        <w:autoSpaceDN/>
        <w:adjustRightInd/>
        <w:spacing w:before="0"/>
        <w:textAlignment w:val="auto"/>
      </w:pPr>
      <w:r w:rsidRPr="00A11A0D">
        <w:br w:type="page"/>
      </w:r>
    </w:p>
    <w:p w:rsidR="006537F1" w:rsidRPr="00A11A0D" w:rsidRDefault="00F85C90" w:rsidP="00ED12C4">
      <w:pPr>
        <w:pStyle w:val="ArtNo"/>
      </w:pPr>
      <w:r w:rsidRPr="00A11A0D">
        <w:lastRenderedPageBreak/>
        <w:t xml:space="preserve">ARTÍCULO </w:t>
      </w:r>
      <w:r w:rsidRPr="00A11A0D">
        <w:rPr>
          <w:rStyle w:val="href"/>
        </w:rPr>
        <w:t>5</w:t>
      </w:r>
    </w:p>
    <w:p w:rsidR="006537F1" w:rsidRPr="00A11A0D" w:rsidRDefault="00F85C90" w:rsidP="00ED12C4">
      <w:pPr>
        <w:pStyle w:val="Arttitle"/>
      </w:pPr>
      <w:r w:rsidRPr="00A11A0D">
        <w:t>Atribuciones de frecuencia</w:t>
      </w:r>
    </w:p>
    <w:p w:rsidR="006537F1" w:rsidRPr="00A11A0D" w:rsidRDefault="00F85C90" w:rsidP="00ED12C4">
      <w:pPr>
        <w:pStyle w:val="Section1"/>
      </w:pPr>
      <w:r w:rsidRPr="00A11A0D">
        <w:t>Sección IV – Cuadro de atribución de bandas de frecuencias</w:t>
      </w:r>
      <w:r w:rsidRPr="00A11A0D">
        <w:br/>
        <w:t>(</w:t>
      </w:r>
      <w:r w:rsidRPr="00A11A0D">
        <w:rPr>
          <w:b w:val="0"/>
          <w:bCs/>
        </w:rPr>
        <w:t xml:space="preserve">Véase el número </w:t>
      </w:r>
      <w:r w:rsidRPr="00A11A0D">
        <w:rPr>
          <w:rStyle w:val="Artref"/>
        </w:rPr>
        <w:t>2.1</w:t>
      </w:r>
      <w:r w:rsidRPr="00A11A0D">
        <w:t>)</w:t>
      </w:r>
      <w:r w:rsidRPr="00A11A0D">
        <w:br/>
      </w:r>
    </w:p>
    <w:p w:rsidR="00734695" w:rsidRPr="00A11A0D" w:rsidRDefault="00F85C90" w:rsidP="00ED12C4">
      <w:pPr>
        <w:pStyle w:val="Proposal"/>
      </w:pPr>
      <w:r w:rsidRPr="00A11A0D">
        <w:rPr>
          <w:u w:val="single"/>
        </w:rPr>
        <w:t>NOC</w:t>
      </w:r>
      <w:r w:rsidRPr="00A11A0D">
        <w:tab/>
        <w:t>USA/10A14A4/1</w:t>
      </w:r>
    </w:p>
    <w:p w:rsidR="006537F1" w:rsidRPr="00A11A0D" w:rsidRDefault="00F85C90" w:rsidP="006537F1">
      <w:pPr>
        <w:pStyle w:val="Tabletitle"/>
      </w:pPr>
      <w:r w:rsidRPr="00A11A0D">
        <w:t>22-24,75 GHz</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01"/>
        <w:gridCol w:w="3101"/>
        <w:gridCol w:w="3101"/>
      </w:tblGrid>
      <w:tr w:rsidR="006537F1" w:rsidRPr="00A11A0D" w:rsidTr="005B6066">
        <w:trPr>
          <w:cantSplit/>
        </w:trPr>
        <w:tc>
          <w:tcPr>
            <w:tcW w:w="9303" w:type="dxa"/>
            <w:gridSpan w:val="3"/>
          </w:tcPr>
          <w:p w:rsidR="006537F1" w:rsidRPr="00A11A0D" w:rsidRDefault="00F85C90" w:rsidP="00ED12C4">
            <w:pPr>
              <w:pStyle w:val="Tablehead"/>
            </w:pPr>
            <w:r w:rsidRPr="00A11A0D">
              <w:t>Atribución a los servicios</w:t>
            </w:r>
          </w:p>
        </w:tc>
      </w:tr>
      <w:tr w:rsidR="006537F1" w:rsidRPr="00A11A0D" w:rsidTr="005B6066">
        <w:trPr>
          <w:cantSplit/>
        </w:trPr>
        <w:tc>
          <w:tcPr>
            <w:tcW w:w="3101" w:type="dxa"/>
          </w:tcPr>
          <w:p w:rsidR="006537F1" w:rsidRPr="00A11A0D" w:rsidRDefault="00F85C90" w:rsidP="00ED12C4">
            <w:pPr>
              <w:pStyle w:val="Tablehead"/>
            </w:pPr>
            <w:r w:rsidRPr="00A11A0D">
              <w:t>Región 1</w:t>
            </w:r>
          </w:p>
        </w:tc>
        <w:tc>
          <w:tcPr>
            <w:tcW w:w="3101" w:type="dxa"/>
          </w:tcPr>
          <w:p w:rsidR="006537F1" w:rsidRPr="00A11A0D" w:rsidRDefault="00F85C90" w:rsidP="00ED12C4">
            <w:pPr>
              <w:pStyle w:val="Tablehead"/>
            </w:pPr>
            <w:r w:rsidRPr="00A11A0D">
              <w:t>Región 2</w:t>
            </w:r>
          </w:p>
        </w:tc>
        <w:tc>
          <w:tcPr>
            <w:tcW w:w="3101" w:type="dxa"/>
          </w:tcPr>
          <w:p w:rsidR="006537F1" w:rsidRPr="00A11A0D" w:rsidRDefault="00F85C90" w:rsidP="00ED12C4">
            <w:pPr>
              <w:pStyle w:val="Tablehead"/>
            </w:pPr>
            <w:r w:rsidRPr="00A11A0D">
              <w:t>Región 3</w:t>
            </w:r>
          </w:p>
        </w:tc>
      </w:tr>
      <w:tr w:rsidR="006537F1" w:rsidRPr="00A11A0D" w:rsidTr="005B6066">
        <w:trPr>
          <w:cantSplit/>
        </w:trPr>
        <w:tc>
          <w:tcPr>
            <w:tcW w:w="3101" w:type="dxa"/>
          </w:tcPr>
          <w:p w:rsidR="006537F1" w:rsidRPr="00A11A0D" w:rsidRDefault="00F85C90" w:rsidP="005B6066">
            <w:pPr>
              <w:pStyle w:val="TableTextS5"/>
              <w:spacing w:before="30" w:after="20"/>
              <w:rPr>
                <w:rStyle w:val="Tablefreq"/>
              </w:rPr>
            </w:pPr>
            <w:r w:rsidRPr="00A11A0D">
              <w:rPr>
                <w:rStyle w:val="Tablefreq"/>
              </w:rPr>
              <w:t>24,25-24,45</w:t>
            </w:r>
          </w:p>
          <w:p w:rsidR="006537F1" w:rsidRPr="00A11A0D" w:rsidRDefault="00F85C90" w:rsidP="005B6066">
            <w:pPr>
              <w:pStyle w:val="TableTextS5"/>
              <w:spacing w:before="30" w:after="20"/>
              <w:rPr>
                <w:color w:val="000000"/>
              </w:rPr>
            </w:pPr>
            <w:r w:rsidRPr="00A11A0D">
              <w:rPr>
                <w:color w:val="000000"/>
              </w:rPr>
              <w:t>FIJO</w:t>
            </w:r>
          </w:p>
        </w:tc>
        <w:tc>
          <w:tcPr>
            <w:tcW w:w="3101" w:type="dxa"/>
          </w:tcPr>
          <w:p w:rsidR="006537F1" w:rsidRPr="00A11A0D" w:rsidRDefault="00F85C90" w:rsidP="005B6066">
            <w:pPr>
              <w:pStyle w:val="TableTextS5"/>
              <w:spacing w:before="30" w:after="20"/>
              <w:rPr>
                <w:color w:val="000000"/>
              </w:rPr>
            </w:pPr>
            <w:r w:rsidRPr="00A11A0D">
              <w:rPr>
                <w:rStyle w:val="Tablefreq"/>
                <w:color w:val="000000"/>
              </w:rPr>
              <w:t>24,25-24,45</w:t>
            </w:r>
          </w:p>
          <w:p w:rsidR="006537F1" w:rsidRPr="00A11A0D" w:rsidRDefault="00F85C90" w:rsidP="005B6066">
            <w:pPr>
              <w:pStyle w:val="TableTextS5"/>
              <w:spacing w:before="30" w:after="20"/>
              <w:rPr>
                <w:color w:val="000000"/>
              </w:rPr>
            </w:pPr>
            <w:r w:rsidRPr="00A11A0D">
              <w:rPr>
                <w:color w:val="000000"/>
              </w:rPr>
              <w:t>RADIONAVEGACIÓN</w:t>
            </w:r>
          </w:p>
        </w:tc>
        <w:tc>
          <w:tcPr>
            <w:tcW w:w="3101" w:type="dxa"/>
          </w:tcPr>
          <w:p w:rsidR="006537F1" w:rsidRPr="00A11A0D" w:rsidRDefault="00F85C90" w:rsidP="005B6066">
            <w:pPr>
              <w:pStyle w:val="TableTextS5"/>
              <w:spacing w:before="30" w:after="20"/>
              <w:rPr>
                <w:color w:val="000000"/>
              </w:rPr>
            </w:pPr>
            <w:r w:rsidRPr="00A11A0D">
              <w:rPr>
                <w:rStyle w:val="Tablefreq"/>
                <w:color w:val="000000"/>
              </w:rPr>
              <w:t>24,25-24,45</w:t>
            </w:r>
          </w:p>
          <w:p w:rsidR="006537F1" w:rsidRPr="00A11A0D" w:rsidRDefault="00F85C90" w:rsidP="005B6066">
            <w:pPr>
              <w:pStyle w:val="TableTextS5"/>
              <w:spacing w:before="30" w:after="20"/>
              <w:rPr>
                <w:color w:val="000000"/>
              </w:rPr>
            </w:pPr>
            <w:r w:rsidRPr="00A11A0D">
              <w:rPr>
                <w:color w:val="000000"/>
              </w:rPr>
              <w:t>RADIONAVEGACIÓN</w:t>
            </w:r>
          </w:p>
          <w:p w:rsidR="006537F1" w:rsidRPr="00A11A0D" w:rsidRDefault="00F85C90" w:rsidP="005B6066">
            <w:pPr>
              <w:pStyle w:val="TableTextS5"/>
              <w:spacing w:before="30" w:after="20"/>
              <w:rPr>
                <w:color w:val="000000"/>
              </w:rPr>
            </w:pPr>
            <w:r w:rsidRPr="00A11A0D">
              <w:rPr>
                <w:color w:val="000000"/>
              </w:rPr>
              <w:t>FIJO</w:t>
            </w:r>
          </w:p>
          <w:p w:rsidR="006537F1" w:rsidRPr="00A11A0D" w:rsidRDefault="00F85C90" w:rsidP="005B6066">
            <w:pPr>
              <w:pStyle w:val="TableTextS5"/>
              <w:spacing w:before="30" w:after="20"/>
              <w:rPr>
                <w:color w:val="000000"/>
              </w:rPr>
            </w:pPr>
            <w:r w:rsidRPr="00A11A0D">
              <w:rPr>
                <w:color w:val="000000"/>
              </w:rPr>
              <w:t>MÓVIL</w:t>
            </w:r>
          </w:p>
        </w:tc>
      </w:tr>
      <w:tr w:rsidR="006537F1" w:rsidRPr="00A11A0D" w:rsidTr="005B6066">
        <w:trPr>
          <w:cantSplit/>
        </w:trPr>
        <w:tc>
          <w:tcPr>
            <w:tcW w:w="3101" w:type="dxa"/>
            <w:tcBorders>
              <w:bottom w:val="nil"/>
            </w:tcBorders>
          </w:tcPr>
          <w:p w:rsidR="006537F1" w:rsidRPr="00A11A0D" w:rsidRDefault="00F85C90" w:rsidP="005B6066">
            <w:pPr>
              <w:pStyle w:val="TableTextS5"/>
              <w:spacing w:before="30" w:after="20"/>
              <w:rPr>
                <w:color w:val="000000"/>
              </w:rPr>
            </w:pPr>
            <w:r w:rsidRPr="00A11A0D">
              <w:rPr>
                <w:rStyle w:val="Tablefreq"/>
                <w:color w:val="000000"/>
              </w:rPr>
              <w:t>24,45-24,65</w:t>
            </w:r>
          </w:p>
          <w:p w:rsidR="006537F1" w:rsidRPr="00A11A0D" w:rsidRDefault="00F85C90" w:rsidP="005B6066">
            <w:pPr>
              <w:pStyle w:val="TableTextS5"/>
              <w:spacing w:before="30" w:after="20"/>
              <w:rPr>
                <w:color w:val="000000"/>
              </w:rPr>
            </w:pPr>
            <w:r w:rsidRPr="00A11A0D">
              <w:rPr>
                <w:color w:val="000000"/>
              </w:rPr>
              <w:t>FIJO</w:t>
            </w:r>
          </w:p>
          <w:p w:rsidR="006537F1" w:rsidRPr="00A11A0D" w:rsidRDefault="00F85C90" w:rsidP="005B6066">
            <w:pPr>
              <w:pStyle w:val="TableTextS5"/>
              <w:spacing w:before="30" w:after="20"/>
              <w:rPr>
                <w:color w:val="000000"/>
              </w:rPr>
            </w:pPr>
            <w:r w:rsidRPr="00A11A0D">
              <w:rPr>
                <w:color w:val="000000"/>
              </w:rPr>
              <w:t>ENTRE SATÉLITES</w:t>
            </w:r>
          </w:p>
        </w:tc>
        <w:tc>
          <w:tcPr>
            <w:tcW w:w="3101" w:type="dxa"/>
            <w:tcBorders>
              <w:bottom w:val="nil"/>
            </w:tcBorders>
          </w:tcPr>
          <w:p w:rsidR="006537F1" w:rsidRPr="00A11A0D" w:rsidRDefault="00F85C90" w:rsidP="005B6066">
            <w:pPr>
              <w:pStyle w:val="TableTextS5"/>
              <w:spacing w:before="30" w:after="20"/>
              <w:rPr>
                <w:color w:val="000000"/>
              </w:rPr>
            </w:pPr>
            <w:r w:rsidRPr="00A11A0D">
              <w:rPr>
                <w:rStyle w:val="Tablefreq"/>
                <w:color w:val="000000"/>
              </w:rPr>
              <w:t>24,45-24,65</w:t>
            </w:r>
          </w:p>
          <w:p w:rsidR="006537F1" w:rsidRPr="00A11A0D" w:rsidRDefault="00F85C90" w:rsidP="005B6066">
            <w:pPr>
              <w:pStyle w:val="TableTextS5"/>
              <w:spacing w:before="30" w:after="20"/>
              <w:rPr>
                <w:color w:val="000000"/>
              </w:rPr>
            </w:pPr>
            <w:r w:rsidRPr="00A11A0D">
              <w:rPr>
                <w:color w:val="000000"/>
              </w:rPr>
              <w:t>ENTRE SATÉLITES</w:t>
            </w:r>
          </w:p>
          <w:p w:rsidR="006537F1" w:rsidRPr="00A11A0D" w:rsidRDefault="00F85C90" w:rsidP="005B6066">
            <w:pPr>
              <w:pStyle w:val="TableTextS5"/>
              <w:spacing w:before="30" w:after="20"/>
              <w:rPr>
                <w:color w:val="000000"/>
              </w:rPr>
            </w:pPr>
            <w:r w:rsidRPr="00A11A0D">
              <w:rPr>
                <w:color w:val="000000"/>
              </w:rPr>
              <w:t>RADIONAVEGACIÓN</w:t>
            </w:r>
          </w:p>
        </w:tc>
        <w:tc>
          <w:tcPr>
            <w:tcW w:w="3101" w:type="dxa"/>
            <w:tcBorders>
              <w:bottom w:val="nil"/>
            </w:tcBorders>
          </w:tcPr>
          <w:p w:rsidR="006537F1" w:rsidRPr="00A11A0D" w:rsidRDefault="00F85C90" w:rsidP="005B6066">
            <w:pPr>
              <w:pStyle w:val="TableTextS5"/>
              <w:spacing w:before="30" w:after="20"/>
              <w:rPr>
                <w:color w:val="000000"/>
              </w:rPr>
            </w:pPr>
            <w:r w:rsidRPr="00A11A0D">
              <w:rPr>
                <w:rStyle w:val="Tablefreq"/>
                <w:color w:val="000000"/>
              </w:rPr>
              <w:t>24,45-24,65</w:t>
            </w:r>
          </w:p>
          <w:p w:rsidR="006537F1" w:rsidRPr="00A11A0D" w:rsidRDefault="00F85C90" w:rsidP="005B6066">
            <w:pPr>
              <w:pStyle w:val="TableTextS5"/>
              <w:spacing w:before="30" w:after="20"/>
              <w:rPr>
                <w:color w:val="000000"/>
              </w:rPr>
            </w:pPr>
            <w:r w:rsidRPr="00A11A0D">
              <w:rPr>
                <w:color w:val="000000"/>
              </w:rPr>
              <w:t>FIJO</w:t>
            </w:r>
          </w:p>
          <w:p w:rsidR="006537F1" w:rsidRPr="00A11A0D" w:rsidRDefault="00F85C90" w:rsidP="005B6066">
            <w:pPr>
              <w:pStyle w:val="TableTextS5"/>
              <w:spacing w:before="30" w:after="20"/>
              <w:rPr>
                <w:color w:val="000000"/>
              </w:rPr>
            </w:pPr>
            <w:r w:rsidRPr="00A11A0D">
              <w:rPr>
                <w:color w:val="000000"/>
              </w:rPr>
              <w:t>ENTRE SATÉLITES</w:t>
            </w:r>
          </w:p>
          <w:p w:rsidR="006537F1" w:rsidRPr="00A11A0D" w:rsidRDefault="00F85C90" w:rsidP="005B6066">
            <w:pPr>
              <w:pStyle w:val="TableTextS5"/>
              <w:spacing w:before="30" w:after="20"/>
              <w:rPr>
                <w:color w:val="000000"/>
              </w:rPr>
            </w:pPr>
            <w:r w:rsidRPr="00A11A0D">
              <w:rPr>
                <w:color w:val="000000"/>
              </w:rPr>
              <w:t>MÓVIL</w:t>
            </w:r>
          </w:p>
          <w:p w:rsidR="006537F1" w:rsidRPr="00A11A0D" w:rsidRDefault="00F85C90" w:rsidP="005B6066">
            <w:pPr>
              <w:pStyle w:val="TableTextS5"/>
              <w:spacing w:before="30" w:after="20"/>
              <w:rPr>
                <w:color w:val="000000"/>
              </w:rPr>
            </w:pPr>
            <w:r w:rsidRPr="00A11A0D">
              <w:rPr>
                <w:color w:val="000000"/>
              </w:rPr>
              <w:t>RADIONAVEGACIÓN</w:t>
            </w:r>
          </w:p>
        </w:tc>
      </w:tr>
      <w:tr w:rsidR="006537F1" w:rsidRPr="00A11A0D" w:rsidTr="005B6066">
        <w:trPr>
          <w:cantSplit/>
        </w:trPr>
        <w:tc>
          <w:tcPr>
            <w:tcW w:w="3101" w:type="dxa"/>
            <w:tcBorders>
              <w:top w:val="nil"/>
            </w:tcBorders>
          </w:tcPr>
          <w:p w:rsidR="006537F1" w:rsidRPr="00A11A0D" w:rsidRDefault="00373E7F" w:rsidP="005B6066">
            <w:pPr>
              <w:pStyle w:val="TableTextS5"/>
              <w:spacing w:before="30" w:after="20"/>
              <w:rPr>
                <w:color w:val="000000"/>
              </w:rPr>
            </w:pPr>
          </w:p>
        </w:tc>
        <w:tc>
          <w:tcPr>
            <w:tcW w:w="3101" w:type="dxa"/>
            <w:tcBorders>
              <w:top w:val="nil"/>
            </w:tcBorders>
          </w:tcPr>
          <w:p w:rsidR="006537F1" w:rsidRPr="00A11A0D" w:rsidRDefault="00F85C90" w:rsidP="005B6066">
            <w:pPr>
              <w:pStyle w:val="TableTextS5"/>
              <w:spacing w:before="30" w:after="20"/>
              <w:rPr>
                <w:color w:val="000000"/>
              </w:rPr>
            </w:pPr>
            <w:r w:rsidRPr="00A11A0D">
              <w:rPr>
                <w:rStyle w:val="Artref"/>
                <w:color w:val="000000"/>
              </w:rPr>
              <w:t>5.533</w:t>
            </w:r>
          </w:p>
        </w:tc>
        <w:tc>
          <w:tcPr>
            <w:tcW w:w="3101" w:type="dxa"/>
            <w:tcBorders>
              <w:top w:val="nil"/>
            </w:tcBorders>
          </w:tcPr>
          <w:p w:rsidR="006537F1" w:rsidRPr="00A11A0D" w:rsidRDefault="00F85C90" w:rsidP="005B6066">
            <w:pPr>
              <w:pStyle w:val="TableTextS5"/>
              <w:spacing w:before="30" w:after="20"/>
              <w:rPr>
                <w:color w:val="000000"/>
              </w:rPr>
            </w:pPr>
            <w:r w:rsidRPr="00A11A0D">
              <w:rPr>
                <w:rStyle w:val="Artref"/>
                <w:color w:val="000000"/>
              </w:rPr>
              <w:t>5.533</w:t>
            </w:r>
          </w:p>
        </w:tc>
      </w:tr>
      <w:tr w:rsidR="006537F1" w:rsidRPr="00A11A0D" w:rsidTr="005B6066">
        <w:trPr>
          <w:cantSplit/>
        </w:trPr>
        <w:tc>
          <w:tcPr>
            <w:tcW w:w="3101" w:type="dxa"/>
            <w:tcBorders>
              <w:bottom w:val="nil"/>
            </w:tcBorders>
          </w:tcPr>
          <w:p w:rsidR="006537F1" w:rsidRPr="00A11A0D" w:rsidRDefault="00F85C90" w:rsidP="005B6066">
            <w:pPr>
              <w:pStyle w:val="TableTextS5"/>
              <w:spacing w:before="30" w:after="20"/>
              <w:rPr>
                <w:rStyle w:val="Tablefreq"/>
                <w:color w:val="000000"/>
              </w:rPr>
            </w:pPr>
            <w:r w:rsidRPr="00A11A0D">
              <w:rPr>
                <w:rStyle w:val="Tablefreq"/>
                <w:color w:val="000000"/>
              </w:rPr>
              <w:t>24,65-24,75</w:t>
            </w:r>
          </w:p>
          <w:p w:rsidR="006537F1" w:rsidRPr="00A11A0D" w:rsidRDefault="00F85C90" w:rsidP="005B6066">
            <w:pPr>
              <w:pStyle w:val="TableTextS5"/>
              <w:spacing w:before="30" w:after="20"/>
              <w:rPr>
                <w:color w:val="000000"/>
              </w:rPr>
            </w:pPr>
            <w:r w:rsidRPr="00A11A0D">
              <w:rPr>
                <w:color w:val="000000"/>
              </w:rPr>
              <w:t>FIJO</w:t>
            </w:r>
          </w:p>
          <w:p w:rsidR="006537F1" w:rsidRPr="00A11A0D" w:rsidRDefault="00F85C90" w:rsidP="005B6066">
            <w:pPr>
              <w:pStyle w:val="TableTextS5"/>
              <w:spacing w:before="30" w:after="20"/>
              <w:ind w:left="151" w:hanging="151"/>
              <w:rPr>
                <w:color w:val="000000"/>
              </w:rPr>
            </w:pPr>
            <w:r w:rsidRPr="00A11A0D">
              <w:rPr>
                <w:color w:val="000000"/>
              </w:rPr>
              <w:t xml:space="preserve">FIJO POR SATÉLITE </w:t>
            </w:r>
            <w:r w:rsidRPr="00A11A0D">
              <w:rPr>
                <w:color w:val="000000"/>
              </w:rPr>
              <w:br/>
              <w:t xml:space="preserve">(Tierra-espacio) </w:t>
            </w:r>
            <w:r w:rsidRPr="00A11A0D">
              <w:t>5.532B</w:t>
            </w:r>
          </w:p>
          <w:p w:rsidR="006537F1" w:rsidRPr="00A11A0D" w:rsidRDefault="00F85C90" w:rsidP="005B6066">
            <w:pPr>
              <w:pStyle w:val="TableTextS5"/>
              <w:spacing w:before="30" w:after="20"/>
              <w:rPr>
                <w:color w:val="000000"/>
              </w:rPr>
            </w:pPr>
            <w:r w:rsidRPr="00A11A0D">
              <w:rPr>
                <w:color w:val="000000"/>
              </w:rPr>
              <w:t>ENTRE SATÉLITES</w:t>
            </w:r>
          </w:p>
        </w:tc>
        <w:tc>
          <w:tcPr>
            <w:tcW w:w="3101" w:type="dxa"/>
            <w:tcBorders>
              <w:bottom w:val="nil"/>
            </w:tcBorders>
          </w:tcPr>
          <w:p w:rsidR="006537F1" w:rsidRPr="00A11A0D" w:rsidRDefault="00F85C90" w:rsidP="005B6066">
            <w:pPr>
              <w:pStyle w:val="TableTextS5"/>
              <w:spacing w:before="30" w:after="20"/>
              <w:rPr>
                <w:rStyle w:val="Tablefreq"/>
                <w:color w:val="000000"/>
              </w:rPr>
            </w:pPr>
            <w:r w:rsidRPr="00A11A0D">
              <w:rPr>
                <w:rStyle w:val="Tablefreq"/>
                <w:color w:val="000000"/>
              </w:rPr>
              <w:t>24,65-24,75</w:t>
            </w:r>
          </w:p>
          <w:p w:rsidR="006537F1" w:rsidRPr="00A11A0D" w:rsidRDefault="00F85C90" w:rsidP="005B6066">
            <w:pPr>
              <w:pStyle w:val="TableTextS5"/>
              <w:spacing w:before="30" w:after="20"/>
              <w:rPr>
                <w:color w:val="000000"/>
              </w:rPr>
            </w:pPr>
            <w:r w:rsidRPr="00A11A0D">
              <w:rPr>
                <w:color w:val="000000"/>
              </w:rPr>
              <w:t>ENTRE SATÉLITES</w:t>
            </w:r>
          </w:p>
          <w:p w:rsidR="006537F1" w:rsidRPr="00A11A0D" w:rsidRDefault="00F85C90" w:rsidP="005B6066">
            <w:pPr>
              <w:pStyle w:val="TableTextS5"/>
              <w:spacing w:before="30" w:after="20"/>
              <w:rPr>
                <w:color w:val="000000"/>
              </w:rPr>
            </w:pPr>
            <w:r w:rsidRPr="00A11A0D">
              <w:rPr>
                <w:color w:val="000000"/>
              </w:rPr>
              <w:t>RADIOLOCALIZACIÓN POR</w:t>
            </w:r>
            <w:r w:rsidRPr="00A11A0D">
              <w:rPr>
                <w:color w:val="000000"/>
              </w:rPr>
              <w:br/>
              <w:t>SATÉLITE (Tierra-espacio)</w:t>
            </w:r>
          </w:p>
        </w:tc>
        <w:tc>
          <w:tcPr>
            <w:tcW w:w="3101" w:type="dxa"/>
            <w:tcBorders>
              <w:bottom w:val="nil"/>
            </w:tcBorders>
          </w:tcPr>
          <w:p w:rsidR="006537F1" w:rsidRPr="00A11A0D" w:rsidRDefault="00F85C90" w:rsidP="005B6066">
            <w:pPr>
              <w:pStyle w:val="TableTextS5"/>
              <w:spacing w:before="30" w:after="20"/>
              <w:rPr>
                <w:rStyle w:val="Tablefreq"/>
                <w:color w:val="000000"/>
              </w:rPr>
            </w:pPr>
            <w:r w:rsidRPr="00A11A0D">
              <w:rPr>
                <w:rStyle w:val="Tablefreq"/>
                <w:color w:val="000000"/>
              </w:rPr>
              <w:t>24,65-24,75</w:t>
            </w:r>
          </w:p>
          <w:p w:rsidR="006537F1" w:rsidRPr="00A11A0D" w:rsidRDefault="00F85C90" w:rsidP="005B6066">
            <w:pPr>
              <w:pStyle w:val="TableTextS5"/>
              <w:spacing w:before="30" w:after="20"/>
              <w:rPr>
                <w:color w:val="000000"/>
              </w:rPr>
            </w:pPr>
            <w:r w:rsidRPr="00A11A0D">
              <w:rPr>
                <w:color w:val="000000"/>
              </w:rPr>
              <w:t>FIJO</w:t>
            </w:r>
          </w:p>
          <w:p w:rsidR="006537F1" w:rsidRPr="00A11A0D" w:rsidRDefault="00F85C90" w:rsidP="005B6066">
            <w:pPr>
              <w:pStyle w:val="TableTextS5"/>
              <w:spacing w:before="30" w:after="20"/>
              <w:ind w:left="186" w:hanging="186"/>
              <w:rPr>
                <w:color w:val="000000"/>
              </w:rPr>
            </w:pPr>
            <w:r w:rsidRPr="00A11A0D">
              <w:rPr>
                <w:color w:val="000000"/>
              </w:rPr>
              <w:t xml:space="preserve">FIJO POR SATÉLITE </w:t>
            </w:r>
            <w:r w:rsidRPr="00A11A0D">
              <w:rPr>
                <w:color w:val="000000"/>
              </w:rPr>
              <w:br/>
              <w:t xml:space="preserve">(Tierra-espacio) </w:t>
            </w:r>
            <w:r w:rsidRPr="00A11A0D">
              <w:t>5.532B</w:t>
            </w:r>
          </w:p>
          <w:p w:rsidR="006537F1" w:rsidRPr="00A11A0D" w:rsidRDefault="00F85C90" w:rsidP="005B6066">
            <w:pPr>
              <w:pStyle w:val="TableTextS5"/>
              <w:spacing w:before="30" w:after="20"/>
              <w:rPr>
                <w:color w:val="000000"/>
              </w:rPr>
            </w:pPr>
            <w:r w:rsidRPr="00A11A0D">
              <w:rPr>
                <w:color w:val="000000"/>
              </w:rPr>
              <w:t>ENTRE SATÉLITES</w:t>
            </w:r>
          </w:p>
          <w:p w:rsidR="006537F1" w:rsidRPr="00A11A0D" w:rsidRDefault="00F85C90" w:rsidP="005B6066">
            <w:pPr>
              <w:pStyle w:val="TableTextS5"/>
              <w:spacing w:before="30" w:after="20"/>
              <w:rPr>
                <w:color w:val="000000"/>
              </w:rPr>
            </w:pPr>
            <w:r w:rsidRPr="00A11A0D">
              <w:rPr>
                <w:color w:val="000000"/>
              </w:rPr>
              <w:t>MÓVIL</w:t>
            </w:r>
          </w:p>
        </w:tc>
      </w:tr>
      <w:tr w:rsidR="006537F1" w:rsidRPr="00A11A0D" w:rsidTr="005B6066">
        <w:trPr>
          <w:cantSplit/>
        </w:trPr>
        <w:tc>
          <w:tcPr>
            <w:tcW w:w="3101" w:type="dxa"/>
            <w:tcBorders>
              <w:top w:val="nil"/>
            </w:tcBorders>
          </w:tcPr>
          <w:p w:rsidR="006537F1" w:rsidRPr="00A11A0D" w:rsidRDefault="00373E7F" w:rsidP="005B6066">
            <w:pPr>
              <w:pStyle w:val="TableTextS5"/>
              <w:spacing w:before="20" w:after="20"/>
              <w:rPr>
                <w:color w:val="000000"/>
              </w:rPr>
            </w:pPr>
          </w:p>
        </w:tc>
        <w:tc>
          <w:tcPr>
            <w:tcW w:w="3101" w:type="dxa"/>
            <w:tcBorders>
              <w:top w:val="nil"/>
            </w:tcBorders>
          </w:tcPr>
          <w:p w:rsidR="006537F1" w:rsidRPr="00A11A0D" w:rsidRDefault="00373E7F" w:rsidP="005B6066">
            <w:pPr>
              <w:pStyle w:val="TableTextS5"/>
              <w:spacing w:before="20" w:after="20"/>
              <w:rPr>
                <w:color w:val="000000"/>
              </w:rPr>
            </w:pPr>
          </w:p>
        </w:tc>
        <w:tc>
          <w:tcPr>
            <w:tcW w:w="3101" w:type="dxa"/>
            <w:tcBorders>
              <w:top w:val="nil"/>
            </w:tcBorders>
          </w:tcPr>
          <w:p w:rsidR="006537F1" w:rsidRPr="00A11A0D" w:rsidRDefault="00F85C90" w:rsidP="005B6066">
            <w:pPr>
              <w:pStyle w:val="TableTextS5"/>
              <w:spacing w:before="20" w:after="20"/>
              <w:rPr>
                <w:color w:val="000000"/>
              </w:rPr>
            </w:pPr>
            <w:r w:rsidRPr="00A11A0D">
              <w:rPr>
                <w:rStyle w:val="Artref"/>
                <w:color w:val="000000"/>
              </w:rPr>
              <w:t>5.533</w:t>
            </w:r>
          </w:p>
        </w:tc>
      </w:tr>
    </w:tbl>
    <w:p w:rsidR="00734695" w:rsidRPr="00A11A0D" w:rsidRDefault="00F85C90" w:rsidP="00114841">
      <w:pPr>
        <w:pStyle w:val="Reasons"/>
      </w:pPr>
      <w:r w:rsidRPr="00A11A0D">
        <w:rPr>
          <w:b/>
        </w:rPr>
        <w:t>Motivos:</w:t>
      </w:r>
      <w:r w:rsidRPr="00A11A0D">
        <w:tab/>
      </w:r>
      <w:r w:rsidR="00030D27" w:rsidRPr="00A11A0D">
        <w:t xml:space="preserve">En virtud de la Resolución </w:t>
      </w:r>
      <w:r w:rsidR="00030D27" w:rsidRPr="00A11A0D">
        <w:rPr>
          <w:b/>
          <w:bCs/>
        </w:rPr>
        <w:t>160 (CMR-15)</w:t>
      </w:r>
      <w:r w:rsidR="00030D27" w:rsidRPr="00A11A0D">
        <w:t>, es necesario identificar HAPS en bandas de frecuencias ya atribuidas al servicio fijo a título primario. En la Región 2, las bandas de la gama de frecuencias 24,25</w:t>
      </w:r>
      <w:r w:rsidR="00114841" w:rsidRPr="00A11A0D">
        <w:t>-</w:t>
      </w:r>
      <w:r w:rsidR="00030D27" w:rsidRPr="00A11A0D">
        <w:t>25,25 GHz no están atribuidas al servicio fijo.</w:t>
      </w:r>
    </w:p>
    <w:p w:rsidR="00734695" w:rsidRPr="00A11A0D" w:rsidRDefault="00F85C90">
      <w:pPr>
        <w:pStyle w:val="Proposal"/>
      </w:pPr>
      <w:r w:rsidRPr="00A11A0D">
        <w:rPr>
          <w:u w:val="single"/>
        </w:rPr>
        <w:t>NOC</w:t>
      </w:r>
      <w:r w:rsidRPr="00A11A0D">
        <w:tab/>
        <w:t>USA/10A14A4/2</w:t>
      </w:r>
    </w:p>
    <w:p w:rsidR="006537F1" w:rsidRPr="00A11A0D" w:rsidRDefault="00F85C90" w:rsidP="006537F1">
      <w:pPr>
        <w:pStyle w:val="Tabletitle"/>
      </w:pPr>
      <w:r w:rsidRPr="00A11A0D">
        <w:t>24,75-29,9 GHz</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01"/>
        <w:gridCol w:w="3101"/>
        <w:gridCol w:w="3102"/>
      </w:tblGrid>
      <w:tr w:rsidR="006537F1" w:rsidRPr="00A11A0D" w:rsidTr="005B6066">
        <w:trPr>
          <w:cantSplit/>
        </w:trPr>
        <w:tc>
          <w:tcPr>
            <w:tcW w:w="9304" w:type="dxa"/>
            <w:gridSpan w:val="3"/>
          </w:tcPr>
          <w:p w:rsidR="006537F1" w:rsidRPr="00A11A0D" w:rsidRDefault="00F85C90" w:rsidP="00ED12C4">
            <w:pPr>
              <w:pStyle w:val="Tablehead"/>
            </w:pPr>
            <w:r w:rsidRPr="00A11A0D">
              <w:t>Atribución a los servicios</w:t>
            </w:r>
          </w:p>
        </w:tc>
      </w:tr>
      <w:tr w:rsidR="006537F1" w:rsidRPr="00A11A0D" w:rsidTr="005B6066">
        <w:trPr>
          <w:cantSplit/>
        </w:trPr>
        <w:tc>
          <w:tcPr>
            <w:tcW w:w="3101" w:type="dxa"/>
          </w:tcPr>
          <w:p w:rsidR="006537F1" w:rsidRPr="00A11A0D" w:rsidRDefault="00F85C90" w:rsidP="00ED12C4">
            <w:pPr>
              <w:pStyle w:val="Tablehead"/>
            </w:pPr>
            <w:r w:rsidRPr="00A11A0D">
              <w:t>Región 1</w:t>
            </w:r>
          </w:p>
        </w:tc>
        <w:tc>
          <w:tcPr>
            <w:tcW w:w="3101" w:type="dxa"/>
          </w:tcPr>
          <w:p w:rsidR="006537F1" w:rsidRPr="00A11A0D" w:rsidRDefault="00F85C90" w:rsidP="00ED12C4">
            <w:pPr>
              <w:pStyle w:val="Tablehead"/>
            </w:pPr>
            <w:r w:rsidRPr="00A11A0D">
              <w:t>Región 2</w:t>
            </w:r>
          </w:p>
        </w:tc>
        <w:tc>
          <w:tcPr>
            <w:tcW w:w="3102" w:type="dxa"/>
          </w:tcPr>
          <w:p w:rsidR="006537F1" w:rsidRPr="00A11A0D" w:rsidRDefault="00F85C90" w:rsidP="00ED12C4">
            <w:pPr>
              <w:pStyle w:val="Tablehead"/>
            </w:pPr>
            <w:r w:rsidRPr="00A11A0D">
              <w:t>Región 3</w:t>
            </w:r>
          </w:p>
        </w:tc>
      </w:tr>
      <w:tr w:rsidR="006537F1" w:rsidRPr="00A11A0D" w:rsidTr="005B6066">
        <w:trPr>
          <w:cantSplit/>
        </w:trPr>
        <w:tc>
          <w:tcPr>
            <w:tcW w:w="3101" w:type="dxa"/>
          </w:tcPr>
          <w:p w:rsidR="006537F1" w:rsidRPr="00A11A0D" w:rsidRDefault="00F85C90" w:rsidP="005B6066">
            <w:pPr>
              <w:pStyle w:val="TableTextS5"/>
              <w:rPr>
                <w:color w:val="000000"/>
              </w:rPr>
            </w:pPr>
            <w:r w:rsidRPr="00A11A0D">
              <w:rPr>
                <w:rStyle w:val="Tablefreq"/>
                <w:color w:val="000000"/>
              </w:rPr>
              <w:t>24,75-25,25</w:t>
            </w:r>
          </w:p>
          <w:p w:rsidR="006537F1" w:rsidRPr="00A11A0D" w:rsidRDefault="00F85C90" w:rsidP="005B6066">
            <w:pPr>
              <w:pStyle w:val="TableTextS5"/>
              <w:rPr>
                <w:color w:val="000000"/>
              </w:rPr>
            </w:pPr>
            <w:r w:rsidRPr="00A11A0D">
              <w:rPr>
                <w:color w:val="000000"/>
              </w:rPr>
              <w:t>FIJO</w:t>
            </w:r>
          </w:p>
          <w:p w:rsidR="006537F1" w:rsidRPr="00A11A0D" w:rsidRDefault="00F85C90" w:rsidP="005B6066">
            <w:pPr>
              <w:pStyle w:val="TableTextS5"/>
              <w:ind w:left="152" w:hanging="152"/>
              <w:rPr>
                <w:color w:val="000000"/>
              </w:rPr>
            </w:pPr>
            <w:r w:rsidRPr="00A11A0D">
              <w:rPr>
                <w:color w:val="000000"/>
              </w:rPr>
              <w:t xml:space="preserve">FIJO POR SATÉLITE </w:t>
            </w:r>
            <w:r w:rsidRPr="00A11A0D">
              <w:rPr>
                <w:color w:val="000000"/>
              </w:rPr>
              <w:br/>
              <w:t xml:space="preserve">(Tierra-espacio) </w:t>
            </w:r>
            <w:r w:rsidRPr="00A11A0D">
              <w:rPr>
                <w:rStyle w:val="Artref"/>
                <w:color w:val="000000"/>
              </w:rPr>
              <w:t>5.532B</w:t>
            </w:r>
          </w:p>
        </w:tc>
        <w:tc>
          <w:tcPr>
            <w:tcW w:w="3101" w:type="dxa"/>
          </w:tcPr>
          <w:p w:rsidR="006537F1" w:rsidRPr="00A11A0D" w:rsidRDefault="00F85C90" w:rsidP="005B6066">
            <w:pPr>
              <w:pStyle w:val="TableTextS5"/>
              <w:rPr>
                <w:color w:val="000000"/>
              </w:rPr>
            </w:pPr>
            <w:r w:rsidRPr="00A11A0D">
              <w:rPr>
                <w:rStyle w:val="Tablefreq"/>
                <w:color w:val="000000"/>
              </w:rPr>
              <w:t>24,75-25,25</w:t>
            </w:r>
          </w:p>
          <w:p w:rsidR="006537F1" w:rsidRPr="00A11A0D" w:rsidRDefault="00F85C90" w:rsidP="005B6066">
            <w:pPr>
              <w:pStyle w:val="TableTextS5"/>
              <w:rPr>
                <w:color w:val="000000"/>
              </w:rPr>
            </w:pPr>
            <w:r w:rsidRPr="00A11A0D">
              <w:rPr>
                <w:color w:val="000000"/>
              </w:rPr>
              <w:t>FIJO POR SATÉLITE</w:t>
            </w:r>
            <w:r w:rsidRPr="00A11A0D">
              <w:rPr>
                <w:color w:val="000000"/>
              </w:rPr>
              <w:br/>
              <w:t xml:space="preserve">(Tierra-espacio)  </w:t>
            </w:r>
            <w:r w:rsidRPr="00A11A0D">
              <w:rPr>
                <w:rStyle w:val="Artref"/>
                <w:color w:val="000000"/>
              </w:rPr>
              <w:t>5.535</w:t>
            </w:r>
          </w:p>
        </w:tc>
        <w:tc>
          <w:tcPr>
            <w:tcW w:w="3102" w:type="dxa"/>
          </w:tcPr>
          <w:p w:rsidR="006537F1" w:rsidRPr="00A11A0D" w:rsidRDefault="00F85C90" w:rsidP="006537F1">
            <w:pPr>
              <w:pStyle w:val="TableTextS5"/>
              <w:spacing w:before="30" w:after="30"/>
              <w:rPr>
                <w:color w:val="000000"/>
              </w:rPr>
            </w:pPr>
            <w:r w:rsidRPr="00A11A0D">
              <w:rPr>
                <w:rStyle w:val="Tablefreq"/>
                <w:color w:val="000000"/>
              </w:rPr>
              <w:t>24,75-25,25</w:t>
            </w:r>
          </w:p>
          <w:p w:rsidR="006537F1" w:rsidRPr="00A11A0D" w:rsidRDefault="00F85C90" w:rsidP="006537F1">
            <w:pPr>
              <w:pStyle w:val="TableTextS5"/>
              <w:spacing w:before="30" w:after="30"/>
              <w:rPr>
                <w:color w:val="000000"/>
              </w:rPr>
            </w:pPr>
            <w:r w:rsidRPr="00A11A0D">
              <w:rPr>
                <w:color w:val="000000"/>
              </w:rPr>
              <w:t>FIJO</w:t>
            </w:r>
          </w:p>
          <w:p w:rsidR="006537F1" w:rsidRPr="00A11A0D" w:rsidRDefault="00F85C90" w:rsidP="006537F1">
            <w:pPr>
              <w:pStyle w:val="TableTextS5"/>
              <w:spacing w:before="30" w:after="30"/>
              <w:rPr>
                <w:color w:val="000000"/>
              </w:rPr>
            </w:pPr>
            <w:r w:rsidRPr="00A11A0D">
              <w:rPr>
                <w:color w:val="000000"/>
              </w:rPr>
              <w:t>FIJO POR SATÉLITE</w:t>
            </w:r>
            <w:r w:rsidRPr="00A11A0D">
              <w:rPr>
                <w:color w:val="000000"/>
              </w:rPr>
              <w:br/>
              <w:t xml:space="preserve">(Tierra-espacio)  </w:t>
            </w:r>
            <w:r w:rsidRPr="00A11A0D">
              <w:rPr>
                <w:rStyle w:val="Artref"/>
                <w:color w:val="000000"/>
              </w:rPr>
              <w:t>5.535</w:t>
            </w:r>
          </w:p>
          <w:p w:rsidR="006537F1" w:rsidRPr="00A11A0D" w:rsidRDefault="00F85C90" w:rsidP="006537F1">
            <w:pPr>
              <w:pStyle w:val="TableTextS5"/>
              <w:spacing w:before="30" w:after="30"/>
              <w:rPr>
                <w:color w:val="000000"/>
              </w:rPr>
            </w:pPr>
            <w:r w:rsidRPr="00A11A0D">
              <w:rPr>
                <w:color w:val="000000"/>
              </w:rPr>
              <w:t>MÓVIL</w:t>
            </w:r>
          </w:p>
        </w:tc>
      </w:tr>
    </w:tbl>
    <w:p w:rsidR="00734695" w:rsidRPr="00A11A0D" w:rsidRDefault="00F85C90">
      <w:pPr>
        <w:pStyle w:val="Reasons"/>
      </w:pPr>
      <w:r w:rsidRPr="00A11A0D">
        <w:rPr>
          <w:b/>
        </w:rPr>
        <w:t>Motivos:</w:t>
      </w:r>
      <w:r w:rsidRPr="00A11A0D">
        <w:tab/>
      </w:r>
      <w:r w:rsidR="00030D27" w:rsidRPr="00A11A0D">
        <w:t xml:space="preserve">En virtud de la Resolución </w:t>
      </w:r>
      <w:r w:rsidR="00030D27" w:rsidRPr="00A11A0D">
        <w:rPr>
          <w:b/>
          <w:bCs/>
        </w:rPr>
        <w:t>160 (CMR-15)</w:t>
      </w:r>
      <w:r w:rsidR="00030D27" w:rsidRPr="00A11A0D">
        <w:t>, es necesario identificar HAPS en bandas de frecuencias ya atribuidas al servicio fijo a título primario. En la Región 2, las bandas de</w:t>
      </w:r>
      <w:r w:rsidR="00114841" w:rsidRPr="00A11A0D">
        <w:t xml:space="preserve"> la gama de frecuencias 24,25-</w:t>
      </w:r>
      <w:r w:rsidR="00030D27" w:rsidRPr="00A11A0D">
        <w:t>25,25 GHz no están atribuidas al servicio fijo.</w:t>
      </w:r>
    </w:p>
    <w:p w:rsidR="00734695" w:rsidRPr="00A11A0D" w:rsidRDefault="00F85C90" w:rsidP="00030D27">
      <w:pPr>
        <w:pStyle w:val="Proposal"/>
      </w:pPr>
      <w:r w:rsidRPr="00A11A0D">
        <w:lastRenderedPageBreak/>
        <w:t>SUP</w:t>
      </w:r>
      <w:r w:rsidRPr="00A11A0D">
        <w:tab/>
        <w:t>USA/10A14A4/3</w:t>
      </w:r>
    </w:p>
    <w:p w:rsidR="007B7DBC" w:rsidRPr="00A11A0D" w:rsidRDefault="00F85C90" w:rsidP="00030D27">
      <w:pPr>
        <w:pStyle w:val="ResNo"/>
      </w:pPr>
      <w:r w:rsidRPr="00A11A0D">
        <w:t xml:space="preserve">RESOLUCIÓN </w:t>
      </w:r>
      <w:r w:rsidRPr="00A11A0D">
        <w:rPr>
          <w:rStyle w:val="href"/>
        </w:rPr>
        <w:t>160</w:t>
      </w:r>
      <w:r w:rsidRPr="00A11A0D">
        <w:t xml:space="preserve"> (CMR-15)</w:t>
      </w:r>
    </w:p>
    <w:p w:rsidR="007B7DBC" w:rsidRPr="00A11A0D" w:rsidRDefault="00F85C90" w:rsidP="007B7DBC">
      <w:pPr>
        <w:pStyle w:val="Restitle"/>
      </w:pPr>
      <w:r w:rsidRPr="00A11A0D">
        <w:t xml:space="preserve">Facilitación del acceso a aplicaciones de banda ancha transmitidas </w:t>
      </w:r>
      <w:r w:rsidRPr="00A11A0D">
        <w:br/>
        <w:t>por estaciones en plataformas de gran altitud</w:t>
      </w:r>
    </w:p>
    <w:p w:rsidR="007713BC" w:rsidRPr="00A11A0D" w:rsidRDefault="00F85C90" w:rsidP="007713BC">
      <w:pPr>
        <w:pStyle w:val="Reasons"/>
      </w:pPr>
      <w:r w:rsidRPr="00A11A0D">
        <w:rPr>
          <w:b/>
        </w:rPr>
        <w:t>Motivos:</w:t>
      </w:r>
      <w:r w:rsidRPr="00A11A0D">
        <w:tab/>
      </w:r>
      <w:r w:rsidR="007713BC" w:rsidRPr="00A11A0D">
        <w:t xml:space="preserve">Han concluido los trabajos relativos a la Resolución </w:t>
      </w:r>
      <w:r w:rsidR="00373E7F">
        <w:rPr>
          <w:b/>
          <w:bCs/>
        </w:rPr>
        <w:t>160 (CMR-15</w:t>
      </w:r>
      <w:bookmarkStart w:id="7" w:name="_GoBack"/>
      <w:bookmarkEnd w:id="7"/>
      <w:r w:rsidR="007713BC" w:rsidRPr="00A11A0D">
        <w:rPr>
          <w:b/>
          <w:bCs/>
        </w:rPr>
        <w:t>)</w:t>
      </w:r>
      <w:r w:rsidR="007713BC" w:rsidRPr="00A11A0D">
        <w:t>.</w:t>
      </w:r>
    </w:p>
    <w:p w:rsidR="007713BC" w:rsidRPr="00A11A0D" w:rsidRDefault="007713BC">
      <w:pPr>
        <w:jc w:val="center"/>
      </w:pPr>
      <w:r w:rsidRPr="00A11A0D">
        <w:t>______________</w:t>
      </w:r>
    </w:p>
    <w:sectPr w:rsidR="007713BC" w:rsidRPr="00A11A0D">
      <w:headerReference w:type="default" r:id="rId13"/>
      <w:footerReference w:type="even" r:id="rId14"/>
      <w:footerReference w:type="default" r:id="rId15"/>
      <w:footerReference w:type="first" r:id="rId16"/>
      <w:type w:val="oddPage"/>
      <w:pgSz w:w="11907" w:h="16840" w:code="9"/>
      <w:pgMar w:top="1418" w:right="1134" w:bottom="1418"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A86" w:rsidRDefault="00472A86">
      <w:r>
        <w:separator/>
      </w:r>
    </w:p>
  </w:endnote>
  <w:endnote w:type="continuationSeparator" w:id="0">
    <w:p w:rsidR="00472A86" w:rsidRDefault="00472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262194" w:rsidRDefault="0077084A">
    <w:pPr>
      <w:ind w:right="360"/>
    </w:pPr>
    <w:r>
      <w:fldChar w:fldCharType="begin"/>
    </w:r>
    <w:r w:rsidRPr="00262194">
      <w:instrText xml:space="preserve"> FILENAME \p  \* MERGEFORMAT </w:instrText>
    </w:r>
    <w:r>
      <w:fldChar w:fldCharType="separate"/>
    </w:r>
    <w:r w:rsidR="00262194">
      <w:rPr>
        <w:noProof/>
      </w:rPr>
      <w:t>P:\ESP\ITU-R\CONF-R\CMR19\000\010ADD14ADD04S.docx</w:t>
    </w:r>
    <w:r>
      <w:fldChar w:fldCharType="end"/>
    </w:r>
    <w:r w:rsidRPr="00262194">
      <w:tab/>
    </w:r>
    <w:r>
      <w:fldChar w:fldCharType="begin"/>
    </w:r>
    <w:r>
      <w:instrText xml:space="preserve"> SAVEDATE \@ DD.MM.YY </w:instrText>
    </w:r>
    <w:r>
      <w:fldChar w:fldCharType="separate"/>
    </w:r>
    <w:r w:rsidR="00373E7F">
      <w:rPr>
        <w:noProof/>
      </w:rPr>
      <w:t>27.05.19</w:t>
    </w:r>
    <w:r>
      <w:fldChar w:fldCharType="end"/>
    </w:r>
    <w:r w:rsidRPr="00262194">
      <w:tab/>
    </w:r>
    <w:r>
      <w:fldChar w:fldCharType="begin"/>
    </w:r>
    <w:r>
      <w:instrText xml:space="preserve"> PRINTDATE \@ DD.MM.YY </w:instrText>
    </w:r>
    <w:r>
      <w:fldChar w:fldCharType="separate"/>
    </w:r>
    <w:r w:rsidR="00262194">
      <w:rPr>
        <w:noProof/>
      </w:rPr>
      <w:t>27.05.19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rsidP="00A93B5D">
    <w:pPr>
      <w:pStyle w:val="Footer"/>
      <w:ind w:right="360"/>
      <w:rPr>
        <w:lang w:val="en-US"/>
      </w:rPr>
    </w:pPr>
    <w:r>
      <w:fldChar w:fldCharType="begin"/>
    </w:r>
    <w:r>
      <w:rPr>
        <w:lang w:val="en-US"/>
      </w:rPr>
      <w:instrText xml:space="preserve"> FILENAME \p  \* MERGEFORMAT </w:instrText>
    </w:r>
    <w:r>
      <w:fldChar w:fldCharType="separate"/>
    </w:r>
    <w:r w:rsidR="00262194">
      <w:rPr>
        <w:lang w:val="en-US"/>
      </w:rPr>
      <w:t>P:\ESP\ITU-R\CONF-R\CMR19\000\010ADD14ADD04S.docx</w:t>
    </w:r>
    <w:r>
      <w:fldChar w:fldCharType="end"/>
    </w:r>
    <w:r w:rsidR="00A93B5D">
      <w:t xml:space="preserve"> (455275)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rsidP="00A93B5D">
    <w:pPr>
      <w:pStyle w:val="Footer"/>
      <w:rPr>
        <w:lang w:val="en-US"/>
      </w:rPr>
    </w:pPr>
    <w:r>
      <w:fldChar w:fldCharType="begin"/>
    </w:r>
    <w:r>
      <w:rPr>
        <w:lang w:val="en-US"/>
      </w:rPr>
      <w:instrText xml:space="preserve"> FILENAME \p  \* MERGEFORMAT </w:instrText>
    </w:r>
    <w:r>
      <w:fldChar w:fldCharType="separate"/>
    </w:r>
    <w:r w:rsidR="00262194">
      <w:rPr>
        <w:lang w:val="en-US"/>
      </w:rPr>
      <w:t>P:\ESP\ITU-R\CONF-R\CMR19\000\010ADD14ADD04S.docx</w:t>
    </w:r>
    <w:r>
      <w:fldChar w:fldCharType="end"/>
    </w:r>
    <w:r w:rsidR="00A93B5D">
      <w:t xml:space="preserve"> (455275)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A86" w:rsidRDefault="00472A86">
      <w:r>
        <w:rPr>
          <w:b/>
        </w:rPr>
        <w:t>_______________</w:t>
      </w:r>
    </w:p>
  </w:footnote>
  <w:footnote w:type="continuationSeparator" w:id="0">
    <w:p w:rsidR="00472A86" w:rsidRDefault="00472A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373E7F">
      <w:rPr>
        <w:rStyle w:val="PageNumber"/>
        <w:noProof/>
      </w:rPr>
      <w:t>3</w:t>
    </w:r>
    <w:r>
      <w:rPr>
        <w:rStyle w:val="PageNumber"/>
      </w:rPr>
      <w:fldChar w:fldCharType="end"/>
    </w:r>
  </w:p>
  <w:p w:rsidR="0077084A" w:rsidRDefault="008750A8" w:rsidP="00C44E9E">
    <w:pPr>
      <w:pStyle w:val="Header"/>
      <w:rPr>
        <w:lang w:val="en-US"/>
      </w:rPr>
    </w:pPr>
    <w:r>
      <w:rPr>
        <w:lang w:val="en-US"/>
      </w:rPr>
      <w:t>CMR1</w:t>
    </w:r>
    <w:r w:rsidR="00C44E9E">
      <w:rPr>
        <w:lang w:val="en-US"/>
      </w:rPr>
      <w:t>9</w:t>
    </w:r>
    <w:r>
      <w:rPr>
        <w:lang w:val="en-US"/>
      </w:rPr>
      <w:t>/</w:t>
    </w:r>
    <w:r w:rsidR="00702F3D">
      <w:t>10(Add.14)(Add.4)-</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66D26489"/>
    <w:multiLevelType w:val="hybridMultilevel"/>
    <w:tmpl w:val="42225CD6"/>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30D27"/>
    <w:rsid w:val="00087AE8"/>
    <w:rsid w:val="000A5B9A"/>
    <w:rsid w:val="000E5BF9"/>
    <w:rsid w:val="000F0E6D"/>
    <w:rsid w:val="00114841"/>
    <w:rsid w:val="00121170"/>
    <w:rsid w:val="00123CC5"/>
    <w:rsid w:val="0015142D"/>
    <w:rsid w:val="001616DC"/>
    <w:rsid w:val="00163962"/>
    <w:rsid w:val="001917C4"/>
    <w:rsid w:val="00191A97"/>
    <w:rsid w:val="0019729C"/>
    <w:rsid w:val="001A083F"/>
    <w:rsid w:val="001C41FA"/>
    <w:rsid w:val="001E2B52"/>
    <w:rsid w:val="001E3F27"/>
    <w:rsid w:val="001E7D42"/>
    <w:rsid w:val="00236D2A"/>
    <w:rsid w:val="0024569E"/>
    <w:rsid w:val="00255F12"/>
    <w:rsid w:val="00262194"/>
    <w:rsid w:val="00262C09"/>
    <w:rsid w:val="002A791F"/>
    <w:rsid w:val="002C1A52"/>
    <w:rsid w:val="002C1B26"/>
    <w:rsid w:val="002C5D6C"/>
    <w:rsid w:val="002E701F"/>
    <w:rsid w:val="003248A9"/>
    <w:rsid w:val="00324FFA"/>
    <w:rsid w:val="0032680B"/>
    <w:rsid w:val="00363A65"/>
    <w:rsid w:val="00373E7F"/>
    <w:rsid w:val="003B1E8C"/>
    <w:rsid w:val="003C2508"/>
    <w:rsid w:val="003D0AA3"/>
    <w:rsid w:val="003E2086"/>
    <w:rsid w:val="003F7F66"/>
    <w:rsid w:val="00440B3A"/>
    <w:rsid w:val="0044375A"/>
    <w:rsid w:val="0045384C"/>
    <w:rsid w:val="00454553"/>
    <w:rsid w:val="00472A86"/>
    <w:rsid w:val="004B124A"/>
    <w:rsid w:val="004B3095"/>
    <w:rsid w:val="004D2C7C"/>
    <w:rsid w:val="005133B5"/>
    <w:rsid w:val="00524392"/>
    <w:rsid w:val="00532097"/>
    <w:rsid w:val="0058350F"/>
    <w:rsid w:val="00583C7E"/>
    <w:rsid w:val="005D46FB"/>
    <w:rsid w:val="005F2605"/>
    <w:rsid w:val="005F3B0E"/>
    <w:rsid w:val="005F559C"/>
    <w:rsid w:val="00602857"/>
    <w:rsid w:val="006124AD"/>
    <w:rsid w:val="00624009"/>
    <w:rsid w:val="00662BA0"/>
    <w:rsid w:val="0067344B"/>
    <w:rsid w:val="00684A94"/>
    <w:rsid w:val="00692AAE"/>
    <w:rsid w:val="006C0E38"/>
    <w:rsid w:val="006D6E67"/>
    <w:rsid w:val="006E1A13"/>
    <w:rsid w:val="00701C20"/>
    <w:rsid w:val="00702F3D"/>
    <w:rsid w:val="0070518E"/>
    <w:rsid w:val="00734695"/>
    <w:rsid w:val="007354E9"/>
    <w:rsid w:val="0074579D"/>
    <w:rsid w:val="00765578"/>
    <w:rsid w:val="00766333"/>
    <w:rsid w:val="0077084A"/>
    <w:rsid w:val="007713BC"/>
    <w:rsid w:val="007952C7"/>
    <w:rsid w:val="007C0B95"/>
    <w:rsid w:val="007C2317"/>
    <w:rsid w:val="007D330A"/>
    <w:rsid w:val="00866AE6"/>
    <w:rsid w:val="008750A8"/>
    <w:rsid w:val="008E5AF2"/>
    <w:rsid w:val="0090121B"/>
    <w:rsid w:val="009144C9"/>
    <w:rsid w:val="0094091F"/>
    <w:rsid w:val="00962171"/>
    <w:rsid w:val="00973754"/>
    <w:rsid w:val="009C0BED"/>
    <w:rsid w:val="009E11EC"/>
    <w:rsid w:val="00A118DB"/>
    <w:rsid w:val="00A11A0D"/>
    <w:rsid w:val="00A4450C"/>
    <w:rsid w:val="00A93B5D"/>
    <w:rsid w:val="00AA5E6C"/>
    <w:rsid w:val="00AE5677"/>
    <w:rsid w:val="00AE658F"/>
    <w:rsid w:val="00AF2F78"/>
    <w:rsid w:val="00B239FA"/>
    <w:rsid w:val="00B52D55"/>
    <w:rsid w:val="00B8288C"/>
    <w:rsid w:val="00BE2E80"/>
    <w:rsid w:val="00BE5EDD"/>
    <w:rsid w:val="00BE6A1F"/>
    <w:rsid w:val="00C126C4"/>
    <w:rsid w:val="00C44E9E"/>
    <w:rsid w:val="00C63EB5"/>
    <w:rsid w:val="00C87DA7"/>
    <w:rsid w:val="00CC01E0"/>
    <w:rsid w:val="00CD5FEE"/>
    <w:rsid w:val="00CE60D2"/>
    <w:rsid w:val="00CE7431"/>
    <w:rsid w:val="00D0288A"/>
    <w:rsid w:val="00D72A5D"/>
    <w:rsid w:val="00DA71A3"/>
    <w:rsid w:val="00DC629B"/>
    <w:rsid w:val="00E05BFF"/>
    <w:rsid w:val="00E262F1"/>
    <w:rsid w:val="00E3176A"/>
    <w:rsid w:val="00E54754"/>
    <w:rsid w:val="00E56BD3"/>
    <w:rsid w:val="00E71D14"/>
    <w:rsid w:val="00EA77F0"/>
    <w:rsid w:val="00ED12C4"/>
    <w:rsid w:val="00F32316"/>
    <w:rsid w:val="00F66597"/>
    <w:rsid w:val="00F675D0"/>
    <w:rsid w:val="00F8150C"/>
    <w:rsid w:val="00F85C90"/>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customStyle="1" w:styleId="Artref10pt">
    <w:name w:val="Art_ref + 10 pt"/>
    <w:basedOn w:val="Artref"/>
    <w:rsid w:val="006537F1"/>
    <w:rPr>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R16-WRC19-C-0010!A14-A4!MSW-S</DPM_x0020_File_x0020_name>
    <DPM_x0020_Author xmlns="32a1a8c5-2265-4ebc-b7a0-2071e2c5c9bb" xsi:nil="false">DPM</DPM_x0020_Author>
    <DPM_x0020_Version xmlns="32a1a8c5-2265-4ebc-b7a0-2071e2c5c9bb" xsi:nil="false">DPM_2019.05.14.1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45DA1915-93C6-4763-8D7B-DDFE3139B532}">
  <ds:schemaRef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dcmitype/"/>
    <ds:schemaRef ds:uri="http://purl.org/dc/elements/1.1/"/>
    <ds:schemaRef ds:uri="996b2e75-67fd-4955-a3b0-5ab9934cb50b"/>
    <ds:schemaRef ds:uri="http://schemas.openxmlformats.org/package/2006/metadata/core-properties"/>
    <ds:schemaRef ds:uri="32a1a8c5-2265-4ebc-b7a0-2071e2c5c9bb"/>
    <ds:schemaRef ds:uri="http://www.w3.org/XML/1998/namespace"/>
  </ds:schemaRefs>
</ds:datastoreItem>
</file>

<file path=customXml/itemProps4.xml><?xml version="1.0" encoding="utf-8"?>
<ds:datastoreItem xmlns:ds="http://schemas.openxmlformats.org/officeDocument/2006/customXml" ds:itemID="{7F2BA568-8821-4DFA-92E2-9C78F234B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B40DF41-3103-4A43-986F-493C00154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4</Pages>
  <Words>1147</Words>
  <Characters>6544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R16-WRC19-C-0010!A14-A4!MSW-S</vt:lpstr>
    </vt:vector>
  </TitlesOfParts>
  <Manager>Secretaría General - Pool</Manager>
  <Company>Unión Internacional de Telecomunicaciones (UIT)</Company>
  <LinksUpToDate>false</LinksUpToDate>
  <CharactersWithSpaces>7676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R16-WRC19-C-0010!A14-A4!MSW-S</dc:title>
  <dc:subject>Conferencia Mundial de Radiocomunicaciones - 2019</dc:subject>
  <dc:creator>Documents Proposals Manager (DPM)</dc:creator>
  <cp:keywords>DPM_v2019.5.15.1_prod</cp:keywords>
  <dc:description/>
  <cp:lastModifiedBy>Bonnici, Adrienne</cp:lastModifiedBy>
  <cp:revision>9</cp:revision>
  <cp:lastPrinted>2019-05-27T09:49:00Z</cp:lastPrinted>
  <dcterms:created xsi:type="dcterms:W3CDTF">2019-05-27T09:10:00Z</dcterms:created>
  <dcterms:modified xsi:type="dcterms:W3CDTF">2019-06-06T07:03:00Z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