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630AA3" w14:paraId="4E165B78" w14:textId="77777777" w:rsidTr="00C4720D">
        <w:trPr>
          <w:cantSplit/>
        </w:trPr>
        <w:tc>
          <w:tcPr>
            <w:tcW w:w="6911" w:type="dxa"/>
          </w:tcPr>
          <w:p w14:paraId="341A1FCF" w14:textId="77777777" w:rsidR="00587A4E" w:rsidRPr="00630AA3" w:rsidRDefault="00587A4E" w:rsidP="00747A74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630AA3">
              <w:rPr>
                <w:rFonts w:ascii="Verdana" w:hAnsi="Verdana"/>
                <w:b/>
                <w:bCs/>
                <w:sz w:val="20"/>
              </w:rPr>
              <w:t>Conférence mondiale des radiocommunications (CMR-19)</w:t>
            </w:r>
            <w:r w:rsidRPr="00630AA3">
              <w:rPr>
                <w:rFonts w:ascii="Verdana" w:hAnsi="Verdana"/>
                <w:b/>
                <w:bCs/>
                <w:sz w:val="20"/>
              </w:rPr>
              <w:br/>
            </w:r>
            <w:r w:rsidRPr="00630AA3">
              <w:rPr>
                <w:rFonts w:ascii="Verdana" w:hAnsi="Verdana"/>
                <w:b/>
                <w:bCs/>
                <w:sz w:val="18"/>
                <w:szCs w:val="18"/>
              </w:rPr>
              <w:t>Charm</w:t>
            </w:r>
            <w:bookmarkStart w:id="0" w:name="_GoBack"/>
            <w:bookmarkEnd w:id="0"/>
            <w:r w:rsidRPr="00630AA3">
              <w:rPr>
                <w:rFonts w:ascii="Verdana" w:hAnsi="Verdana"/>
                <w:b/>
                <w:bCs/>
                <w:sz w:val="18"/>
                <w:szCs w:val="18"/>
              </w:rPr>
              <w:t xml:space="preserve"> el-Cheikh, </w:t>
            </w:r>
            <w:r w:rsidR="00134655" w:rsidRPr="00630AA3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630AA3">
              <w:rPr>
                <w:rFonts w:ascii="Verdana" w:hAnsi="Verdana"/>
                <w:b/>
                <w:bCs/>
                <w:sz w:val="18"/>
                <w:szCs w:val="18"/>
              </w:rPr>
              <w:t xml:space="preserve">gypte, 28 octobre </w:t>
            </w:r>
            <w:r w:rsidR="009765A8" w:rsidRPr="00630AA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630AA3">
              <w:rPr>
                <w:rFonts w:ascii="Verdana" w:hAnsi="Verdana"/>
                <w:b/>
                <w:bCs/>
                <w:sz w:val="18"/>
                <w:szCs w:val="18"/>
              </w:rPr>
              <w:t xml:space="preserve"> 22 novembre 2019</w:t>
            </w:r>
          </w:p>
        </w:tc>
        <w:tc>
          <w:tcPr>
            <w:tcW w:w="3120" w:type="dxa"/>
          </w:tcPr>
          <w:p w14:paraId="694318AC" w14:textId="77777777" w:rsidR="00587A4E" w:rsidRPr="00630AA3" w:rsidRDefault="00587A4E" w:rsidP="00747A74">
            <w:pPr>
              <w:spacing w:before="0"/>
              <w:jc w:val="right"/>
            </w:pPr>
            <w:bookmarkStart w:id="1" w:name="ditulogo"/>
            <w:bookmarkEnd w:id="1"/>
            <w:r w:rsidRPr="00630AA3">
              <w:rPr>
                <w:rFonts w:ascii="Verdana" w:hAnsi="Verdana"/>
                <w:b/>
                <w:bCs/>
                <w:lang w:eastAsia="zh-CN"/>
              </w:rPr>
              <w:drawing>
                <wp:inline distT="0" distB="0" distL="0" distR="0" wp14:anchorId="2E4D66F4" wp14:editId="6A735A3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630AA3" w14:paraId="0C8BF5BE" w14:textId="77777777" w:rsidTr="00C4720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BFF464" w14:textId="77777777" w:rsidR="00587A4E" w:rsidRPr="00630AA3" w:rsidRDefault="00587A4E" w:rsidP="00747A74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10F8C73" w14:textId="77777777" w:rsidR="00587A4E" w:rsidRPr="00630AA3" w:rsidRDefault="00587A4E" w:rsidP="00747A7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87A4E" w:rsidRPr="00630AA3" w14:paraId="2C4B9ED7" w14:textId="77777777" w:rsidTr="00C4720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05F24F4" w14:textId="77777777" w:rsidR="00587A4E" w:rsidRPr="00630AA3" w:rsidRDefault="00587A4E" w:rsidP="00747A7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D19A7EB" w14:textId="77777777" w:rsidR="00587A4E" w:rsidRPr="00630AA3" w:rsidRDefault="00587A4E" w:rsidP="00747A7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87A4E" w:rsidRPr="00630AA3" w14:paraId="7A59493E" w14:textId="77777777" w:rsidTr="00C4720D">
        <w:trPr>
          <w:cantSplit/>
        </w:trPr>
        <w:tc>
          <w:tcPr>
            <w:tcW w:w="6911" w:type="dxa"/>
          </w:tcPr>
          <w:p w14:paraId="6C1967FB" w14:textId="608975D2" w:rsidR="00587A4E" w:rsidRPr="00630AA3" w:rsidRDefault="00133F1B" w:rsidP="00747A7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30AA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25B70C22" w14:textId="7275C634" w:rsidR="00587A4E" w:rsidRPr="00630AA3" w:rsidRDefault="00133F1B" w:rsidP="00747A74">
            <w:pPr>
              <w:spacing w:before="0"/>
              <w:rPr>
                <w:rFonts w:ascii="Verdana" w:hAnsi="Verdana"/>
                <w:sz w:val="20"/>
              </w:rPr>
            </w:pPr>
            <w:r w:rsidRPr="00630AA3">
              <w:rPr>
                <w:rFonts w:ascii="Verdana" w:hAnsi="Verdana"/>
                <w:b/>
                <w:sz w:val="20"/>
              </w:rPr>
              <w:t>Addendum 23 au</w:t>
            </w:r>
            <w:r w:rsidRPr="00630AA3">
              <w:rPr>
                <w:rFonts w:ascii="Verdana" w:hAnsi="Verdana"/>
                <w:b/>
                <w:sz w:val="20"/>
              </w:rPr>
              <w:br/>
              <w:t>Document 10</w:t>
            </w:r>
            <w:r w:rsidR="00587A4E" w:rsidRPr="00630AA3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2"/>
      <w:tr w:rsidR="00587A4E" w:rsidRPr="00630AA3" w14:paraId="63B85D2C" w14:textId="77777777" w:rsidTr="00C4720D">
        <w:trPr>
          <w:cantSplit/>
        </w:trPr>
        <w:tc>
          <w:tcPr>
            <w:tcW w:w="6911" w:type="dxa"/>
          </w:tcPr>
          <w:p w14:paraId="4E5BC802" w14:textId="77777777" w:rsidR="00587A4E" w:rsidRPr="00630AA3" w:rsidRDefault="00587A4E" w:rsidP="00747A7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3214D190" w14:textId="4EA96E2A" w:rsidR="00587A4E" w:rsidRPr="00630AA3" w:rsidRDefault="00133F1B" w:rsidP="00747A7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30AA3">
              <w:rPr>
                <w:rFonts w:ascii="Verdana" w:hAnsi="Verdana"/>
                <w:b/>
                <w:sz w:val="20"/>
              </w:rPr>
              <w:t>11 octobre</w:t>
            </w:r>
            <w:r w:rsidR="00587A4E" w:rsidRPr="00630AA3">
              <w:rPr>
                <w:rFonts w:ascii="Verdana" w:hAnsi="Verdana"/>
                <w:b/>
                <w:sz w:val="20"/>
              </w:rPr>
              <w:t xml:space="preserve"> 201</w:t>
            </w:r>
            <w:r w:rsidR="009765A8" w:rsidRPr="00630AA3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87A4E" w:rsidRPr="00630AA3" w14:paraId="1E2EF0D7" w14:textId="77777777" w:rsidTr="00C4720D">
        <w:trPr>
          <w:cantSplit/>
        </w:trPr>
        <w:tc>
          <w:tcPr>
            <w:tcW w:w="6911" w:type="dxa"/>
          </w:tcPr>
          <w:p w14:paraId="32DB5559" w14:textId="77777777" w:rsidR="00587A4E" w:rsidRPr="00630AA3" w:rsidRDefault="00587A4E" w:rsidP="00747A7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366148B" w14:textId="77777777" w:rsidR="00587A4E" w:rsidRPr="00630AA3" w:rsidRDefault="00587A4E" w:rsidP="00747A7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30AA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630AA3" w14:paraId="10440A96" w14:textId="77777777" w:rsidTr="00C4720D">
        <w:trPr>
          <w:cantSplit/>
        </w:trPr>
        <w:tc>
          <w:tcPr>
            <w:tcW w:w="10031" w:type="dxa"/>
            <w:gridSpan w:val="2"/>
          </w:tcPr>
          <w:p w14:paraId="09DA2181" w14:textId="77777777" w:rsidR="00587A4E" w:rsidRPr="00630AA3" w:rsidRDefault="00587A4E" w:rsidP="00747A7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630AA3" w14:paraId="2957ED88" w14:textId="77777777" w:rsidTr="00C4720D">
        <w:trPr>
          <w:cantSplit/>
        </w:trPr>
        <w:tc>
          <w:tcPr>
            <w:tcW w:w="10031" w:type="dxa"/>
            <w:gridSpan w:val="2"/>
          </w:tcPr>
          <w:p w14:paraId="1D56E33A" w14:textId="4CF013B5" w:rsidR="00587A4E" w:rsidRPr="00630AA3" w:rsidRDefault="00CB44C8" w:rsidP="00747A74">
            <w:pPr>
              <w:pStyle w:val="Source"/>
            </w:pPr>
            <w:bookmarkStart w:id="3" w:name="dsource" w:colFirst="0" w:colLast="0"/>
            <w:r w:rsidRPr="00630AA3">
              <w:t>États-Unis d</w:t>
            </w:r>
            <w:r w:rsidR="007100D3" w:rsidRPr="00630AA3">
              <w:t>'</w:t>
            </w:r>
            <w:r w:rsidRPr="00630AA3">
              <w:t>Amérique</w:t>
            </w:r>
          </w:p>
        </w:tc>
      </w:tr>
      <w:tr w:rsidR="00587A4E" w:rsidRPr="00630AA3" w14:paraId="145D8F8F" w14:textId="77777777" w:rsidTr="00C4720D">
        <w:trPr>
          <w:cantSplit/>
        </w:trPr>
        <w:tc>
          <w:tcPr>
            <w:tcW w:w="10031" w:type="dxa"/>
            <w:gridSpan w:val="2"/>
          </w:tcPr>
          <w:p w14:paraId="7152A845" w14:textId="0E67A38C" w:rsidR="00133F1B" w:rsidRPr="00630AA3" w:rsidRDefault="00CB44C8" w:rsidP="00747A74">
            <w:pPr>
              <w:pStyle w:val="Title1"/>
            </w:pPr>
            <w:bookmarkStart w:id="4" w:name="dtitle1" w:colFirst="0" w:colLast="0"/>
            <w:bookmarkEnd w:id="3"/>
            <w:r w:rsidRPr="00630AA3">
              <w:t xml:space="preserve">Observations au sujet du </w:t>
            </w:r>
            <w:r w:rsidR="00133F1B" w:rsidRPr="00630AA3">
              <w:t xml:space="preserve">RAPPORT DU COMITé DU RèGLEMENT </w:t>
            </w:r>
            <w:r w:rsidR="0039529D" w:rsidRPr="00630AA3">
              <w:br/>
            </w:r>
            <w:r w:rsidR="00133F1B" w:rsidRPr="00630AA3">
              <w:t>DES RADIOCOMMUNICATIONS à LA cmr-19</w:t>
            </w:r>
          </w:p>
          <w:p w14:paraId="2D403C7F" w14:textId="0B0E5E13" w:rsidR="00587A4E" w:rsidRPr="00630AA3" w:rsidRDefault="00133F1B" w:rsidP="00747A74">
            <w:pPr>
              <w:pStyle w:val="Title1"/>
            </w:pPr>
            <w:r w:rsidRPr="00630AA3">
              <w:t>réSOLUTION 80 (RéV.CMR-07)</w:t>
            </w:r>
          </w:p>
        </w:tc>
      </w:tr>
      <w:tr w:rsidR="00587A4E" w:rsidRPr="00630AA3" w14:paraId="48ADC88E" w14:textId="77777777" w:rsidTr="00C4720D">
        <w:trPr>
          <w:cantSplit/>
        </w:trPr>
        <w:tc>
          <w:tcPr>
            <w:tcW w:w="10031" w:type="dxa"/>
            <w:gridSpan w:val="2"/>
          </w:tcPr>
          <w:p w14:paraId="645915FF" w14:textId="77777777" w:rsidR="00587A4E" w:rsidRPr="00630AA3" w:rsidRDefault="00587A4E" w:rsidP="00747A7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587A4E" w:rsidRPr="00630AA3" w14:paraId="1AF95DFD" w14:textId="77777777" w:rsidTr="00C4720D">
        <w:trPr>
          <w:cantSplit/>
        </w:trPr>
        <w:tc>
          <w:tcPr>
            <w:tcW w:w="10031" w:type="dxa"/>
            <w:gridSpan w:val="2"/>
          </w:tcPr>
          <w:p w14:paraId="4DF3BF29" w14:textId="39368F23" w:rsidR="00587A4E" w:rsidRPr="00630AA3" w:rsidRDefault="000A3CA0" w:rsidP="00747A74">
            <w:pPr>
              <w:pStyle w:val="Agendaitem"/>
              <w:rPr>
                <w:lang w:val="fr-FR"/>
              </w:rPr>
            </w:pPr>
            <w:bookmarkStart w:id="6" w:name="_Toc525046275"/>
            <w:bookmarkStart w:id="7" w:name="_Toc3467458"/>
            <w:bookmarkStart w:id="8" w:name="_Toc3812120"/>
            <w:bookmarkStart w:id="9" w:name="_Toc3818280"/>
            <w:bookmarkStart w:id="10" w:name="_Toc3824257"/>
            <w:bookmarkStart w:id="11" w:name="dtitle3" w:colFirst="0" w:colLast="0"/>
            <w:bookmarkEnd w:id="5"/>
            <w:r w:rsidRPr="00630AA3">
              <w:rPr>
                <w:lang w:val="fr-FR"/>
              </w:rPr>
              <w:t>Point 9.3 de l</w:t>
            </w:r>
            <w:r w:rsidR="007100D3" w:rsidRPr="00630AA3">
              <w:rPr>
                <w:lang w:val="fr-FR"/>
              </w:rPr>
              <w:t>'</w:t>
            </w:r>
            <w:r w:rsidRPr="00630AA3">
              <w:rPr>
                <w:lang w:val="fr-FR"/>
              </w:rPr>
              <w:t>ordre du jour</w:t>
            </w:r>
            <w:bookmarkEnd w:id="6"/>
            <w:bookmarkEnd w:id="7"/>
            <w:bookmarkEnd w:id="8"/>
            <w:bookmarkEnd w:id="9"/>
            <w:bookmarkEnd w:id="10"/>
          </w:p>
        </w:tc>
      </w:tr>
    </w:tbl>
    <w:bookmarkEnd w:id="11"/>
    <w:p w14:paraId="14EE0A1A" w14:textId="73D64D23" w:rsidR="00675D8D" w:rsidRPr="00630AA3" w:rsidRDefault="00675D8D" w:rsidP="00747A74">
      <w:pPr>
        <w:pStyle w:val="Normalaftertitle"/>
      </w:pPr>
      <w:r w:rsidRPr="00630AA3">
        <w:t>9</w:t>
      </w:r>
      <w:r w:rsidRPr="00630AA3">
        <w:tab/>
        <w:t xml:space="preserve">examiner et approuver le </w:t>
      </w:r>
      <w:r w:rsidR="0015262C" w:rsidRPr="00630AA3">
        <w:t>R</w:t>
      </w:r>
      <w:r w:rsidRPr="00630AA3">
        <w:t>apport du Directeur du Bureau des radiocommunications, conformément à l</w:t>
      </w:r>
      <w:r w:rsidR="007100D3" w:rsidRPr="00630AA3">
        <w:t>'</w:t>
      </w:r>
      <w:r w:rsidRPr="00630AA3">
        <w:t>article 7 de la Convention:</w:t>
      </w:r>
    </w:p>
    <w:p w14:paraId="39B57A89" w14:textId="77777777" w:rsidR="000A3CA0" w:rsidRPr="00630AA3" w:rsidRDefault="000A3CA0" w:rsidP="00747A74">
      <w:pPr>
        <w:rPr>
          <w:i/>
          <w:iCs/>
          <w:szCs w:val="24"/>
        </w:rPr>
      </w:pPr>
      <w:r w:rsidRPr="00630AA3">
        <w:rPr>
          <w:szCs w:val="24"/>
        </w:rPr>
        <w:t>9.3</w:t>
      </w:r>
      <w:r w:rsidRPr="00630AA3">
        <w:rPr>
          <w:szCs w:val="24"/>
        </w:rPr>
        <w:tab/>
        <w:t>sur la suite donnée à la Résolution </w:t>
      </w:r>
      <w:r w:rsidRPr="00630AA3">
        <w:rPr>
          <w:b/>
          <w:bCs/>
          <w:szCs w:val="24"/>
        </w:rPr>
        <w:t>80 (Rév.CMR-07)</w:t>
      </w:r>
      <w:r w:rsidRPr="00630AA3">
        <w:rPr>
          <w:szCs w:val="24"/>
        </w:rPr>
        <w:t>;</w:t>
      </w:r>
    </w:p>
    <w:p w14:paraId="5D2AF613" w14:textId="11689341" w:rsidR="002C72C2" w:rsidRPr="00630AA3" w:rsidRDefault="002C72C2" w:rsidP="0015262C">
      <w:pPr>
        <w:spacing w:before="360"/>
      </w:pPr>
      <w:r w:rsidRPr="00630AA3">
        <w:t>Veuillez trouver dans l</w:t>
      </w:r>
      <w:r w:rsidR="007100D3" w:rsidRPr="00630AA3">
        <w:t>'</w:t>
      </w:r>
      <w:r w:rsidRPr="00630AA3">
        <w:t xml:space="preserve">Annexe du présent document </w:t>
      </w:r>
      <w:r w:rsidR="00CB44C8" w:rsidRPr="00630AA3">
        <w:t>les observations des États-Unis au sujet de certains éléments du</w:t>
      </w:r>
      <w:r w:rsidR="00507214" w:rsidRPr="00630AA3">
        <w:t xml:space="preserve"> </w:t>
      </w:r>
      <w:r w:rsidR="0015262C" w:rsidRPr="00630AA3">
        <w:t>R</w:t>
      </w:r>
      <w:r w:rsidRPr="00630AA3">
        <w:t>apport du Comité du Règlement des radiocommunications à la CMR</w:t>
      </w:r>
      <w:r w:rsidRPr="00630AA3">
        <w:noBreakHyphen/>
        <w:t xml:space="preserve">19 sur la Résolution </w:t>
      </w:r>
      <w:r w:rsidRPr="00630AA3">
        <w:rPr>
          <w:b/>
          <w:bCs/>
        </w:rPr>
        <w:t>80 (Rév.CMR</w:t>
      </w:r>
      <w:r w:rsidRPr="00630AA3">
        <w:rPr>
          <w:b/>
          <w:bCs/>
        </w:rPr>
        <w:noBreakHyphen/>
        <w:t>07)</w:t>
      </w:r>
      <w:r w:rsidRPr="00630AA3">
        <w:t>.</w:t>
      </w:r>
    </w:p>
    <w:p w14:paraId="440AD3E5" w14:textId="3755A349" w:rsidR="00650257" w:rsidRPr="00630AA3" w:rsidRDefault="00650257" w:rsidP="0015262C">
      <w:pPr>
        <w:spacing w:before="3200"/>
      </w:pPr>
      <w:r w:rsidRPr="00630AA3">
        <w:rPr>
          <w:b/>
          <w:bCs/>
        </w:rPr>
        <w:t>Annexe</w:t>
      </w:r>
      <w:r w:rsidRPr="00630AA3">
        <w:t>:</w:t>
      </w:r>
      <w:r w:rsidRPr="00630AA3">
        <w:rPr>
          <w:b/>
          <w:bCs/>
        </w:rPr>
        <w:t xml:space="preserve"> </w:t>
      </w:r>
      <w:r w:rsidRPr="00630AA3">
        <w:t>1</w:t>
      </w:r>
    </w:p>
    <w:p w14:paraId="77BBEC87" w14:textId="6E6FD71F" w:rsidR="002C72C2" w:rsidRPr="00630AA3" w:rsidRDefault="00650257" w:rsidP="00650257">
      <w:pPr>
        <w:pStyle w:val="AnnexNo"/>
      </w:pPr>
      <w:r w:rsidRPr="00630AA3">
        <w:br w:type="page"/>
      </w:r>
      <w:r w:rsidR="002C72C2" w:rsidRPr="00630AA3">
        <w:lastRenderedPageBreak/>
        <w:t>AnnexE</w:t>
      </w:r>
    </w:p>
    <w:p w14:paraId="6A7B4C54" w14:textId="3E8CB255" w:rsidR="002C72C2" w:rsidRPr="00630AA3" w:rsidRDefault="00CB44C8" w:rsidP="00747A74">
      <w:pPr>
        <w:pStyle w:val="Annextitle"/>
        <w:rPr>
          <w:highlight w:val="yellow"/>
          <w:lang w:eastAsia="zh-CN"/>
        </w:rPr>
      </w:pPr>
      <w:r w:rsidRPr="00630AA3">
        <w:rPr>
          <w:lang w:eastAsia="zh-CN"/>
        </w:rPr>
        <w:t xml:space="preserve">Observations des </w:t>
      </w:r>
      <w:r w:rsidR="00696BBF" w:rsidRPr="00630AA3">
        <w:rPr>
          <w:rFonts w:cs="Times New Roman Bold"/>
          <w:lang w:eastAsia="zh-CN"/>
        </w:rPr>
        <w:t>É</w:t>
      </w:r>
      <w:r w:rsidRPr="00630AA3">
        <w:rPr>
          <w:lang w:eastAsia="zh-CN"/>
        </w:rPr>
        <w:t xml:space="preserve">tats-Unis au sujet du </w:t>
      </w:r>
      <w:r w:rsidR="0015262C" w:rsidRPr="00630AA3">
        <w:rPr>
          <w:lang w:eastAsia="zh-CN"/>
        </w:rPr>
        <w:t>R</w:t>
      </w:r>
      <w:r w:rsidRPr="00630AA3">
        <w:rPr>
          <w:lang w:eastAsia="zh-CN"/>
        </w:rPr>
        <w:t>apport du Comité du Règlement des radiocommunications à la CMR-19 sur la R</w:t>
      </w:r>
      <w:r w:rsidR="00714E81" w:rsidRPr="00630AA3">
        <w:rPr>
          <w:lang w:eastAsia="zh-CN"/>
        </w:rPr>
        <w:t>ésolution</w:t>
      </w:r>
      <w:r w:rsidRPr="00630AA3">
        <w:rPr>
          <w:lang w:eastAsia="zh-CN"/>
        </w:rPr>
        <w:t xml:space="preserve"> 80 (R</w:t>
      </w:r>
      <w:r w:rsidR="00714E81" w:rsidRPr="00630AA3">
        <w:rPr>
          <w:lang w:eastAsia="zh-CN"/>
        </w:rPr>
        <w:t>év</w:t>
      </w:r>
      <w:r w:rsidRPr="00630AA3">
        <w:rPr>
          <w:lang w:eastAsia="zh-CN"/>
        </w:rPr>
        <w:t>.CMR-07)</w:t>
      </w:r>
    </w:p>
    <w:p w14:paraId="172C18CC" w14:textId="77777777" w:rsidR="002C72C2" w:rsidRPr="00630AA3" w:rsidRDefault="002C72C2" w:rsidP="0015262C">
      <w:pPr>
        <w:pStyle w:val="Heading1"/>
        <w:spacing w:before="480"/>
      </w:pPr>
      <w:bookmarkStart w:id="12" w:name="_Toc409538037"/>
      <w:bookmarkStart w:id="13" w:name="_Toc520420645"/>
      <w:bookmarkStart w:id="14" w:name="_Toc4119417"/>
      <w:r w:rsidRPr="00630AA3">
        <w:t>1</w:t>
      </w:r>
      <w:r w:rsidRPr="00630AA3">
        <w:tab/>
        <w:t>Introduction</w:t>
      </w:r>
      <w:bookmarkEnd w:id="12"/>
      <w:bookmarkEnd w:id="13"/>
      <w:bookmarkEnd w:id="14"/>
    </w:p>
    <w:p w14:paraId="79B4D4EE" w14:textId="723EC9B5" w:rsidR="00507214" w:rsidRPr="00630AA3" w:rsidRDefault="002C72C2" w:rsidP="00507214">
      <w:r w:rsidRPr="00630AA3">
        <w:t xml:space="preserve">En vertu du point 2 du </w:t>
      </w:r>
      <w:r w:rsidRPr="00630AA3">
        <w:rPr>
          <w:i/>
          <w:iCs/>
        </w:rPr>
        <w:t>décide</w:t>
      </w:r>
      <w:r w:rsidRPr="00630AA3">
        <w:t xml:space="preserve"> de la Résolution </w:t>
      </w:r>
      <w:r w:rsidRPr="00630AA3">
        <w:rPr>
          <w:b/>
        </w:rPr>
        <w:t>80 (Rév.CMR-07)</w:t>
      </w:r>
      <w:r w:rsidRPr="00630AA3">
        <w:t xml:space="preserve">, la </w:t>
      </w:r>
      <w:r w:rsidR="007E713E" w:rsidRPr="00630AA3">
        <w:t>C</w:t>
      </w:r>
      <w:r w:rsidRPr="00630AA3">
        <w:t>onférence a notamment décidé:</w:t>
      </w:r>
    </w:p>
    <w:p w14:paraId="7469F956" w14:textId="6FA0F892" w:rsidR="002C72C2" w:rsidRPr="00630AA3" w:rsidRDefault="002C72C2" w:rsidP="00507214">
      <w:pPr>
        <w:pStyle w:val="enumlev2"/>
        <w:rPr>
          <w:i/>
          <w:iCs/>
        </w:rPr>
      </w:pPr>
      <w:r w:rsidRPr="00630AA3">
        <w:rPr>
          <w:i/>
          <w:iCs/>
        </w:rPr>
        <w:t>2</w:t>
      </w:r>
      <w:r w:rsidRPr="00630AA3">
        <w:rPr>
          <w:i/>
          <w:iCs/>
        </w:rPr>
        <w:tab/>
        <w:t>de charger le RRB d</w:t>
      </w:r>
      <w:r w:rsidR="007100D3" w:rsidRPr="00630AA3">
        <w:rPr>
          <w:i/>
          <w:iCs/>
        </w:rPr>
        <w:t>'</w:t>
      </w:r>
      <w:r w:rsidRPr="00630AA3">
        <w:rPr>
          <w:i/>
          <w:iCs/>
        </w:rPr>
        <w:t>examiner et de revoir des projets de recommandation et de disposition possibles établissant un lien entre les procédures officielles de notification, de coordination et d</w:t>
      </w:r>
      <w:r w:rsidR="007100D3" w:rsidRPr="00630AA3">
        <w:rPr>
          <w:i/>
          <w:iCs/>
        </w:rPr>
        <w:t>'</w:t>
      </w:r>
      <w:r w:rsidRPr="00630AA3">
        <w:rPr>
          <w:i/>
          <w:iCs/>
        </w:rPr>
        <w:t>enregistrement et les principes énoncés à l</w:t>
      </w:r>
      <w:r w:rsidR="007100D3" w:rsidRPr="00630AA3">
        <w:rPr>
          <w:i/>
          <w:iCs/>
        </w:rPr>
        <w:t>'</w:t>
      </w:r>
      <w:r w:rsidRPr="00630AA3">
        <w:rPr>
          <w:i/>
          <w:iCs/>
        </w:rPr>
        <w:t xml:space="preserve">article </w:t>
      </w:r>
      <w:r w:rsidRPr="00630AA3">
        <w:rPr>
          <w:b/>
          <w:bCs/>
          <w:i/>
          <w:iCs/>
        </w:rPr>
        <w:t>44</w:t>
      </w:r>
      <w:r w:rsidRPr="00630AA3">
        <w:rPr>
          <w:i/>
          <w:iCs/>
        </w:rPr>
        <w:t xml:space="preserve"> de la Constitution et au numéro </w:t>
      </w:r>
      <w:r w:rsidRPr="00630AA3">
        <w:rPr>
          <w:b/>
          <w:i/>
          <w:iCs/>
        </w:rPr>
        <w:t>0.3</w:t>
      </w:r>
      <w:r w:rsidRPr="00630AA3">
        <w:rPr>
          <w:i/>
          <w:iCs/>
        </w:rPr>
        <w:t xml:space="preserve"> du Préambule du Règlement des radiocommunications, et de faire rapport sur la mise en oeuvre de la présente Résolution à chaque Conférence mondiale des radiocommunications future;</w:t>
      </w:r>
    </w:p>
    <w:p w14:paraId="448B0190" w14:textId="75CAA462" w:rsidR="002C72C2" w:rsidRPr="00630AA3" w:rsidRDefault="00CB44C8" w:rsidP="00747A74">
      <w:r w:rsidRPr="00630AA3">
        <w:t xml:space="preserve">Le </w:t>
      </w:r>
      <w:r w:rsidR="0038241C" w:rsidRPr="00630AA3">
        <w:t>R</w:t>
      </w:r>
      <w:r w:rsidRPr="00630AA3">
        <w:t>apport du RRB sur la Résolution</w:t>
      </w:r>
      <w:r w:rsidR="00507214" w:rsidRPr="00630AA3">
        <w:t xml:space="preserve"> </w:t>
      </w:r>
      <w:r w:rsidRPr="00630AA3">
        <w:rPr>
          <w:b/>
          <w:bCs/>
        </w:rPr>
        <w:t>80 (R</w:t>
      </w:r>
      <w:r w:rsidR="00554D96" w:rsidRPr="00630AA3">
        <w:rPr>
          <w:b/>
          <w:bCs/>
        </w:rPr>
        <w:t>é</w:t>
      </w:r>
      <w:r w:rsidRPr="00630AA3">
        <w:rPr>
          <w:b/>
          <w:bCs/>
        </w:rPr>
        <w:t>v.CMR-07)</w:t>
      </w:r>
      <w:r w:rsidRPr="00630AA3">
        <w:t xml:space="preserve"> a été soumis à la</w:t>
      </w:r>
      <w:r w:rsidR="00507214" w:rsidRPr="00630AA3">
        <w:t xml:space="preserve"> </w:t>
      </w:r>
      <w:r w:rsidRPr="00630AA3">
        <w:t>CMR</w:t>
      </w:r>
      <w:r w:rsidR="002C72C2" w:rsidRPr="00630AA3">
        <w:t xml:space="preserve">-19 (Doc. 15). </w:t>
      </w:r>
      <w:r w:rsidRPr="00630AA3">
        <w:t xml:space="preserve">Les États-Unis remercient le Comité pour la diligence avec laquelle il a mis en évidence certaines questions dans la Section 4 du </w:t>
      </w:r>
      <w:r w:rsidR="0038241C" w:rsidRPr="00630AA3">
        <w:t>R</w:t>
      </w:r>
      <w:r w:rsidRPr="00630AA3">
        <w:t>apport et pour les précisions qu</w:t>
      </w:r>
      <w:r w:rsidR="007100D3" w:rsidRPr="00630AA3">
        <w:t>'</w:t>
      </w:r>
      <w:r w:rsidRPr="00630AA3">
        <w:t>il a fournies à cet égard. On trouvera dans les lignes qui suivent les vues des États-Unis sur certains de ces éléments.</w:t>
      </w:r>
    </w:p>
    <w:p w14:paraId="0575CE26" w14:textId="0BBBD548" w:rsidR="002C72C2" w:rsidRPr="00630AA3" w:rsidRDefault="002C72C2" w:rsidP="00747A74">
      <w:pPr>
        <w:pStyle w:val="Heading1"/>
      </w:pPr>
      <w:bookmarkStart w:id="15" w:name="_Toc409538038"/>
      <w:bookmarkStart w:id="16" w:name="_Toc520420646"/>
      <w:bookmarkStart w:id="17" w:name="_Toc4119418"/>
      <w:r w:rsidRPr="00630AA3">
        <w:t>2</w:t>
      </w:r>
      <w:r w:rsidRPr="00630AA3">
        <w:tab/>
      </w:r>
      <w:r w:rsidR="00CB44C8" w:rsidRPr="00630AA3">
        <w:t>Observations sur des questions particulières</w:t>
      </w:r>
      <w:bookmarkEnd w:id="15"/>
      <w:bookmarkEnd w:id="16"/>
      <w:bookmarkEnd w:id="17"/>
    </w:p>
    <w:p w14:paraId="1CE6114B" w14:textId="4469D653" w:rsidR="00A54180" w:rsidRPr="00630AA3" w:rsidRDefault="00A54180" w:rsidP="00747A74">
      <w:pPr>
        <w:pStyle w:val="Heading2"/>
      </w:pPr>
      <w:r w:rsidRPr="00630AA3">
        <w:t>2.1</w:t>
      </w:r>
      <w:r w:rsidRPr="00630AA3">
        <w:tab/>
        <w:t>Respects des délais réglementaires en ce qui concerne les stations spatiales utilisant la propulsion électrique</w:t>
      </w:r>
    </w:p>
    <w:p w14:paraId="125F93F6" w14:textId="6B844D2D" w:rsidR="00587A4E" w:rsidRPr="00630AA3" w:rsidRDefault="00CB44C8" w:rsidP="00747A74">
      <w:r w:rsidRPr="00630AA3">
        <w:t>Au</w:t>
      </w:r>
      <w:r w:rsidR="00554D96" w:rsidRPr="00630AA3">
        <w:t xml:space="preserve"> </w:t>
      </w:r>
      <w:r w:rsidRPr="00630AA3">
        <w:t>§</w:t>
      </w:r>
      <w:r w:rsidR="00507214" w:rsidRPr="00630AA3">
        <w:t xml:space="preserve"> </w:t>
      </w:r>
      <w:r w:rsidR="00A54180" w:rsidRPr="00630AA3">
        <w:t>4.3.5,</w:t>
      </w:r>
      <w:r w:rsidRPr="00630AA3">
        <w:t xml:space="preserve"> le </w:t>
      </w:r>
      <w:r w:rsidR="0038241C" w:rsidRPr="00630AA3">
        <w:t>R</w:t>
      </w:r>
      <w:r w:rsidRPr="00630AA3">
        <w:t xml:space="preserve">apport traite de la question de </w:t>
      </w:r>
      <w:r w:rsidR="00554D96" w:rsidRPr="00630AA3">
        <w:t>l</w:t>
      </w:r>
      <w:r w:rsidR="007100D3" w:rsidRPr="00630AA3">
        <w:t>'</w:t>
      </w:r>
      <w:r w:rsidR="00554D96" w:rsidRPr="00630AA3">
        <w:t>allongement</w:t>
      </w:r>
      <w:r w:rsidRPr="00630AA3">
        <w:t xml:space="preserve"> des délais réglementaires applicables à un</w:t>
      </w:r>
      <w:r w:rsidR="00507214" w:rsidRPr="00630AA3">
        <w:t xml:space="preserve"> </w:t>
      </w:r>
      <w:r w:rsidRPr="00630AA3">
        <w:rPr>
          <w:color w:val="000000"/>
        </w:rPr>
        <w:t>réseau à satellite utilisant un satellite à propulsion électrique</w:t>
      </w:r>
      <w:r w:rsidR="00A54180" w:rsidRPr="00630AA3">
        <w:t xml:space="preserve">. </w:t>
      </w:r>
      <w:r w:rsidRPr="00630AA3">
        <w:t xml:space="preserve">Il est indiqué ce qui suit dans le </w:t>
      </w:r>
      <w:r w:rsidR="0038241C" w:rsidRPr="00630AA3">
        <w:t>R</w:t>
      </w:r>
      <w:r w:rsidRPr="00630AA3">
        <w:t>apport du Comité:</w:t>
      </w:r>
      <w:r w:rsidR="00763DA1" w:rsidRPr="00630AA3">
        <w:t xml:space="preserve"> </w:t>
      </w:r>
      <w:r w:rsidR="00A54180" w:rsidRPr="00630AA3">
        <w:t>«Toutefois, cette question pourrait être étudiée par l</w:t>
      </w:r>
      <w:r w:rsidR="007100D3" w:rsidRPr="00630AA3">
        <w:t>'</w:t>
      </w:r>
      <w:r w:rsidR="00A54180" w:rsidRPr="00630AA3">
        <w:t>UIT-R, et une future CMR compétente pourrait déterminer si l</w:t>
      </w:r>
      <w:r w:rsidR="007100D3" w:rsidRPr="00630AA3">
        <w:t>'</w:t>
      </w:r>
      <w:r w:rsidR="00A54180" w:rsidRPr="00630AA3">
        <w:t>utilisation de technologies satellitaires de ce type devrait être prise en considération dans le Règlement des radiocommunications.»</w:t>
      </w:r>
      <w:r w:rsidRPr="00630AA3">
        <w:t xml:space="preserve"> Après avoir tenu compte de cet</w:t>
      </w:r>
      <w:r w:rsidR="00696BBF" w:rsidRPr="00630AA3">
        <w:t>te</w:t>
      </w:r>
      <w:r w:rsidRPr="00630AA3">
        <w:t xml:space="preserve"> indication, le Comité a conclu ce qui suit:</w:t>
      </w:r>
      <w:r w:rsidR="00507214" w:rsidRPr="00630AA3">
        <w:t xml:space="preserve"> </w:t>
      </w:r>
      <w:r w:rsidR="00A54180" w:rsidRPr="00630AA3">
        <w:t>«Le Comité encourage les administrations, lorsqu</w:t>
      </w:r>
      <w:r w:rsidR="007100D3" w:rsidRPr="00630AA3">
        <w:t>'</w:t>
      </w:r>
      <w:r w:rsidR="00A54180" w:rsidRPr="00630AA3">
        <w:t>elles utilisent des systèmes de propulsion par satellite offrant un bon rendement énergétique, à tenir compte des délais supplémentaires nécessaires à la mise à poste, pour veiller à ce que les délais réglementaires applicables à la mise en service, ou à la remise en service, des assignations de fréquence soient respectés.»</w:t>
      </w:r>
    </w:p>
    <w:p w14:paraId="1C983EB8" w14:textId="2363A5A5" w:rsidR="00A54180" w:rsidRPr="00630AA3" w:rsidRDefault="009F21B7" w:rsidP="00747A74">
      <w:r w:rsidRPr="00630AA3">
        <w:t>Du fait de l</w:t>
      </w:r>
      <w:r w:rsidR="007100D3" w:rsidRPr="00630AA3">
        <w:t>'</w:t>
      </w:r>
      <w:r w:rsidRPr="00630AA3">
        <w:t xml:space="preserve">accroissement des capacités de lancement </w:t>
      </w:r>
      <w:r w:rsidR="00554D96" w:rsidRPr="00630AA3">
        <w:t>dans le monde</w:t>
      </w:r>
      <w:r w:rsidRPr="00630AA3">
        <w:t>, même si les projets de satellites peuvent désormais davantage planifier et exécuter des programmes de lancement établi</w:t>
      </w:r>
      <w:r w:rsidR="00554D96" w:rsidRPr="00630AA3">
        <w:t>s</w:t>
      </w:r>
      <w:r w:rsidRPr="00630AA3">
        <w:t xml:space="preserve"> précédemment</w:t>
      </w:r>
      <w:r w:rsidR="00554D96" w:rsidRPr="00630AA3">
        <w:t>,</w:t>
      </w:r>
      <w:r w:rsidRPr="00630AA3">
        <w:t xml:space="preserve"> ou reprendre un calendrier de lancement prévu précédemment qui est interrompu ou</w:t>
      </w:r>
      <w:r w:rsidR="00507214" w:rsidRPr="00630AA3">
        <w:t xml:space="preserve"> </w:t>
      </w:r>
      <w:r w:rsidRPr="00630AA3">
        <w:t>a subi un retard, le laps de temps nécessaire est beaucoup plus long avec la propulsion électrique qu</w:t>
      </w:r>
      <w:r w:rsidR="007100D3" w:rsidRPr="00630AA3">
        <w:t>'</w:t>
      </w:r>
      <w:r w:rsidRPr="00630AA3">
        <w:t>avec la propulsion chimique. Les États-Unis partagent l</w:t>
      </w:r>
      <w:r w:rsidR="007100D3" w:rsidRPr="00630AA3">
        <w:t>'</w:t>
      </w:r>
      <w:r w:rsidRPr="00630AA3">
        <w:t>avis selon lequel si un problème important pendant le délai réglementaire de sept ans nécessite une prorogation, le Comité peut déterminer au cas par cas s</w:t>
      </w:r>
      <w:r w:rsidR="007100D3" w:rsidRPr="00630AA3">
        <w:t>'</w:t>
      </w:r>
      <w:r w:rsidRPr="00630AA3">
        <w:t>il est nécessaire de proroger le délai réglementaire.</w:t>
      </w:r>
      <w:r w:rsidR="00507214" w:rsidRPr="00630AA3">
        <w:t xml:space="preserve"> </w:t>
      </w:r>
      <w:r w:rsidR="008D1F0A" w:rsidRPr="00630AA3">
        <w:t>En outre, les États</w:t>
      </w:r>
      <w:r w:rsidR="0038241C" w:rsidRPr="00630AA3">
        <w:noBreakHyphen/>
      </w:r>
      <w:r w:rsidR="008D1F0A" w:rsidRPr="00630AA3">
        <w:t>Unis estiment que l</w:t>
      </w:r>
      <w:r w:rsidR="007100D3" w:rsidRPr="00630AA3">
        <w:t>'</w:t>
      </w:r>
      <w:r w:rsidR="008D1F0A" w:rsidRPr="00630AA3">
        <w:t>UIT-R devrait poursuivre les études sur cette question au titre du point</w:t>
      </w:r>
      <w:r w:rsidR="0038241C" w:rsidRPr="00630AA3">
        <w:t> </w:t>
      </w:r>
      <w:r w:rsidR="008D1F0A" w:rsidRPr="00630AA3">
        <w:t>7 de l</w:t>
      </w:r>
      <w:r w:rsidR="007100D3" w:rsidRPr="00630AA3">
        <w:t>'</w:t>
      </w:r>
      <w:r w:rsidR="008D1F0A" w:rsidRPr="00630AA3">
        <w:t>ordre du jour de la CMR-23</w:t>
      </w:r>
      <w:r w:rsidR="00454F86" w:rsidRPr="00630AA3">
        <w:t>.</w:t>
      </w:r>
    </w:p>
    <w:p w14:paraId="17AAD098" w14:textId="20005450" w:rsidR="00A54180" w:rsidRPr="00630AA3" w:rsidRDefault="008D1F0A" w:rsidP="00747A74">
      <w:r w:rsidRPr="00630AA3">
        <w:t>Les États-Unis considèrent également que les études devraient aussi</w:t>
      </w:r>
      <w:r w:rsidR="00507214" w:rsidRPr="00630AA3">
        <w:t xml:space="preserve"> </w:t>
      </w:r>
      <w:r w:rsidRPr="00630AA3">
        <w:t>porter sur la période de suspension de trois ans pour la remise en service. Cependant, de la même façon, le Comité p</w:t>
      </w:r>
      <w:r w:rsidR="00554D96" w:rsidRPr="00630AA3">
        <w:t>eut</w:t>
      </w:r>
      <w:r w:rsidRPr="00630AA3">
        <w:t xml:space="preserve"> déterminer </w:t>
      </w:r>
      <w:r w:rsidR="00554D96" w:rsidRPr="00630AA3">
        <w:t xml:space="preserve">au cas par cas </w:t>
      </w:r>
      <w:r w:rsidRPr="00630AA3">
        <w:t>s</w:t>
      </w:r>
      <w:r w:rsidR="007100D3" w:rsidRPr="00630AA3">
        <w:t>'</w:t>
      </w:r>
      <w:r w:rsidRPr="00630AA3">
        <w:t>il est justifié de proroger le délai de trois ans lorsqu</w:t>
      </w:r>
      <w:r w:rsidR="007100D3" w:rsidRPr="00630AA3">
        <w:t>'</w:t>
      </w:r>
      <w:r w:rsidRPr="00630AA3">
        <w:t>un problème important se pose</w:t>
      </w:r>
      <w:r w:rsidR="00454F86" w:rsidRPr="00630AA3">
        <w:t>.</w:t>
      </w:r>
    </w:p>
    <w:p w14:paraId="0F111018" w14:textId="3A9D2E92" w:rsidR="00A54180" w:rsidRPr="00630AA3" w:rsidRDefault="008D1F0A" w:rsidP="00747A74">
      <w:r w:rsidRPr="00630AA3">
        <w:lastRenderedPageBreak/>
        <w:t>Les satellites géostationnaires devraient être traités de la même façon et ne devraient pas être classés dans des sous-catégories pour des technologies différentes appelant des délais réglementaires eux-mêmes différents. Cela risque de prêter à confusion sur la question de savoir quel</w:t>
      </w:r>
      <w:r w:rsidR="00507214" w:rsidRPr="00630AA3">
        <w:t xml:space="preserve"> </w:t>
      </w:r>
      <w:r w:rsidRPr="00630AA3">
        <w:t>délai</w:t>
      </w:r>
      <w:r w:rsidR="00507214" w:rsidRPr="00630AA3">
        <w:t xml:space="preserve"> </w:t>
      </w:r>
      <w:r w:rsidR="00554D96" w:rsidRPr="00630AA3">
        <w:t>s</w:t>
      </w:r>
      <w:r w:rsidR="007100D3" w:rsidRPr="00630AA3">
        <w:t>'</w:t>
      </w:r>
      <w:r w:rsidR="00554D96" w:rsidRPr="00630AA3">
        <w:t xml:space="preserve">applique </w:t>
      </w:r>
      <w:r w:rsidRPr="00630AA3">
        <w:t>et quand il doit être appliqué</w:t>
      </w:r>
      <w:r w:rsidR="00763DA1" w:rsidRPr="00630AA3">
        <w:t>,</w:t>
      </w:r>
      <w:r w:rsidRPr="00630AA3">
        <w:t xml:space="preserve"> de favoriser une technologie satellitaire par rapport à une autre et d</w:t>
      </w:r>
      <w:r w:rsidR="007100D3" w:rsidRPr="00630AA3">
        <w:t>'</w:t>
      </w:r>
      <w:r w:rsidRPr="00630AA3">
        <w:t>ouvrir la voie à une utilisation abusive du</w:t>
      </w:r>
      <w:r w:rsidR="00507214" w:rsidRPr="00630AA3">
        <w:t xml:space="preserve"> </w:t>
      </w:r>
      <w:r w:rsidR="00A54180" w:rsidRPr="00630AA3">
        <w:t xml:space="preserve">RR. </w:t>
      </w:r>
      <w:r w:rsidRPr="00630AA3">
        <w:t>Cependant, une nouvelle technologie qui permet d</w:t>
      </w:r>
      <w:r w:rsidR="007100D3" w:rsidRPr="00630AA3">
        <w:t>'</w:t>
      </w:r>
      <w:r w:rsidRPr="00630AA3">
        <w:t>améliorer ou de perfectionner l</w:t>
      </w:r>
      <w:r w:rsidR="007100D3" w:rsidRPr="00630AA3">
        <w:t>'</w:t>
      </w:r>
      <w:r w:rsidRPr="00630AA3">
        <w:t>utilisation des satellites appelle</w:t>
      </w:r>
      <w:r w:rsidR="00507214" w:rsidRPr="00630AA3">
        <w:t xml:space="preserve"> </w:t>
      </w:r>
      <w:r w:rsidRPr="00630AA3">
        <w:t>un complément d</w:t>
      </w:r>
      <w:r w:rsidR="007100D3" w:rsidRPr="00630AA3">
        <w:t>'</w:t>
      </w:r>
      <w:r w:rsidRPr="00630AA3">
        <w:t>étude</w:t>
      </w:r>
      <w:r w:rsidR="00763DA1" w:rsidRPr="00630AA3">
        <w:t>,</w:t>
      </w:r>
      <w:r w:rsidRPr="00630AA3">
        <w:t xml:space="preserve"> afin de déterminer si ce principe </w:t>
      </w:r>
      <w:r w:rsidR="00696BBF" w:rsidRPr="00630AA3">
        <w:t>peut être</w:t>
      </w:r>
      <w:r w:rsidRPr="00630AA3">
        <w:t xml:space="preserve"> appliqué, sachant </w:t>
      </w:r>
      <w:r w:rsidR="00784087" w:rsidRPr="00630AA3">
        <w:t>qu</w:t>
      </w:r>
      <w:r w:rsidR="007100D3" w:rsidRPr="00630AA3">
        <w:t>'</w:t>
      </w:r>
      <w:r w:rsidR="00784087" w:rsidRPr="00630AA3">
        <w:t xml:space="preserve">il </w:t>
      </w:r>
      <w:r w:rsidR="00696BBF" w:rsidRPr="00630AA3">
        <w:t>peut être</w:t>
      </w:r>
      <w:r w:rsidR="00784087" w:rsidRPr="00630AA3">
        <w:t xml:space="preserve"> nécessaire de disposer de délais différents lorsque le besoin s</w:t>
      </w:r>
      <w:r w:rsidR="007100D3" w:rsidRPr="00630AA3">
        <w:t>'</w:t>
      </w:r>
      <w:r w:rsidR="00784087" w:rsidRPr="00630AA3">
        <w:t>en fait vraiment sentir</w:t>
      </w:r>
      <w:r w:rsidR="00554D96" w:rsidRPr="00630AA3">
        <w:t>. Les mêmes principes s</w:t>
      </w:r>
      <w:r w:rsidR="007100D3" w:rsidRPr="00630AA3">
        <w:t>'</w:t>
      </w:r>
      <w:r w:rsidR="00554D96" w:rsidRPr="00630AA3">
        <w:t>appliquent aux satellites non géostationnaires.</w:t>
      </w:r>
    </w:p>
    <w:p w14:paraId="681FB2EA" w14:textId="315BA16C" w:rsidR="00AE4B17" w:rsidRPr="00630AA3" w:rsidRDefault="00AE4B17" w:rsidP="00747A74">
      <w:pPr>
        <w:pStyle w:val="Heading2"/>
      </w:pPr>
      <w:bookmarkStart w:id="18" w:name="_Toc16753805"/>
      <w:r w:rsidRPr="00630AA3">
        <w:t>2.2</w:t>
      </w:r>
      <w:r w:rsidRPr="00630AA3">
        <w:tab/>
        <w:t>Demandes de transfert de la fonction d</w:t>
      </w:r>
      <w:r w:rsidR="007100D3" w:rsidRPr="00630AA3">
        <w:t>'</w:t>
      </w:r>
      <w:r w:rsidRPr="00630AA3">
        <w:t>«administration notificatrice» d</w:t>
      </w:r>
      <w:r w:rsidR="007100D3" w:rsidRPr="00630AA3">
        <w:t>'</w:t>
      </w:r>
      <w:r w:rsidRPr="00630AA3">
        <w:t>une administration à une autre ou de changement d</w:t>
      </w:r>
      <w:r w:rsidR="007100D3" w:rsidRPr="00630AA3">
        <w:t>'</w:t>
      </w:r>
      <w:r w:rsidRPr="00630AA3">
        <w:t>«administration notificatrice»</w:t>
      </w:r>
      <w:bookmarkEnd w:id="18"/>
    </w:p>
    <w:p w14:paraId="0E038D64" w14:textId="7348A694" w:rsidR="00AE4B17" w:rsidRPr="00630AA3" w:rsidRDefault="00ED14ED" w:rsidP="00747A74">
      <w:r w:rsidRPr="00630AA3">
        <w:t>Au § 4.4, il est indiqué que l</w:t>
      </w:r>
      <w:r w:rsidR="00AE4B17" w:rsidRPr="00630AA3">
        <w:t xml:space="preserve">e Comité a été saisi de </w:t>
      </w:r>
      <w:r w:rsidR="00554D96" w:rsidRPr="00630AA3">
        <w:t>«</w:t>
      </w:r>
      <w:r w:rsidR="00AE4B17" w:rsidRPr="00630AA3">
        <w:t>demandes de transfert de la fonction d</w:t>
      </w:r>
      <w:r w:rsidR="007100D3" w:rsidRPr="00630AA3">
        <w:t>'</w:t>
      </w:r>
      <w:r w:rsidR="00AE4B17" w:rsidRPr="00630AA3">
        <w:t>administration notificatrice d</w:t>
      </w:r>
      <w:r w:rsidR="007100D3" w:rsidRPr="00630AA3">
        <w:t>'</w:t>
      </w:r>
      <w:r w:rsidR="00AE4B17" w:rsidRPr="00630AA3">
        <w:t>une administration à une autre concernant un réseau à satellite. Ces demandes avaient trait:</w:t>
      </w:r>
    </w:p>
    <w:p w14:paraId="3953DCAB" w14:textId="242FB35C" w:rsidR="00AE4B17" w:rsidRPr="00630AA3" w:rsidRDefault="00AE4B17" w:rsidP="00747A74">
      <w:pPr>
        <w:pStyle w:val="enumlev1"/>
      </w:pPr>
      <w:r w:rsidRPr="00630AA3">
        <w:t>1)</w:t>
      </w:r>
      <w:r w:rsidRPr="00630AA3">
        <w:tab/>
        <w:t xml:space="preserve">à un </w:t>
      </w:r>
      <w:r w:rsidRPr="00630AA3">
        <w:rPr>
          <w:color w:val="000000"/>
        </w:rPr>
        <w:t>changement d</w:t>
      </w:r>
      <w:r w:rsidR="007100D3" w:rsidRPr="00630AA3">
        <w:rPr>
          <w:color w:val="000000"/>
        </w:rPr>
        <w:t>'</w:t>
      </w:r>
      <w:r w:rsidRPr="00630AA3">
        <w:rPr>
          <w:color w:val="000000"/>
        </w:rPr>
        <w:t>administration notificatrice</w:t>
      </w:r>
      <w:r w:rsidRPr="00630AA3">
        <w:t xml:space="preserve"> </w:t>
      </w:r>
      <w:r w:rsidRPr="00630AA3">
        <w:rPr>
          <w:color w:val="000000"/>
        </w:rPr>
        <w:t>agissant au nom d</w:t>
      </w:r>
      <w:r w:rsidR="007100D3" w:rsidRPr="00630AA3">
        <w:rPr>
          <w:color w:val="000000"/>
        </w:rPr>
        <w:t>'</w:t>
      </w:r>
      <w:r w:rsidRPr="00630AA3">
        <w:rPr>
          <w:color w:val="000000"/>
        </w:rPr>
        <w:t>une organisation intergouvernementale de télécommunications par satellite pour les réseaux à satellite de cette organisation,</w:t>
      </w:r>
      <w:r w:rsidRPr="00630AA3">
        <w:t xml:space="preserve"> en faveur d</w:t>
      </w:r>
      <w:r w:rsidR="007100D3" w:rsidRPr="00630AA3">
        <w:t>'</w:t>
      </w:r>
      <w:r w:rsidRPr="00630AA3">
        <w:t>une autre administration relevant de cette organisation intergouvernementale de télécommunications par satellite, pour qu</w:t>
      </w:r>
      <w:r w:rsidR="007100D3" w:rsidRPr="00630AA3">
        <w:t>'</w:t>
      </w:r>
      <w:r w:rsidRPr="00630AA3">
        <w:t>elle agisse au nom de cette organisation intergouvernementale;</w:t>
      </w:r>
    </w:p>
    <w:p w14:paraId="61454D75" w14:textId="3CDDD8C0" w:rsidR="00AE4B17" w:rsidRPr="00630AA3" w:rsidRDefault="00AE4B17" w:rsidP="00747A74">
      <w:pPr>
        <w:pStyle w:val="enumlev1"/>
      </w:pPr>
      <w:r w:rsidRPr="00630AA3">
        <w:t>2)</w:t>
      </w:r>
      <w:r w:rsidRPr="00630AA3">
        <w:tab/>
        <w:t xml:space="preserve">à un </w:t>
      </w:r>
      <w:r w:rsidRPr="00630AA3">
        <w:rPr>
          <w:color w:val="000000"/>
        </w:rPr>
        <w:t>changement d</w:t>
      </w:r>
      <w:r w:rsidR="007100D3" w:rsidRPr="00630AA3">
        <w:rPr>
          <w:color w:val="000000"/>
        </w:rPr>
        <w:t>'</w:t>
      </w:r>
      <w:r w:rsidRPr="00630AA3">
        <w:rPr>
          <w:color w:val="000000"/>
        </w:rPr>
        <w:t>administration notificatrice</w:t>
      </w:r>
      <w:r w:rsidRPr="00630AA3">
        <w:t xml:space="preserve"> </w:t>
      </w:r>
      <w:r w:rsidRPr="00630AA3">
        <w:rPr>
          <w:color w:val="000000"/>
        </w:rPr>
        <w:t>agissant au nom d</w:t>
      </w:r>
      <w:r w:rsidR="007100D3" w:rsidRPr="00630AA3">
        <w:rPr>
          <w:color w:val="000000"/>
        </w:rPr>
        <w:t>'</w:t>
      </w:r>
      <w:r w:rsidRPr="00630AA3">
        <w:rPr>
          <w:color w:val="000000"/>
        </w:rPr>
        <w:t xml:space="preserve">une organisation intergouvernementale de télécommunications par satellite pour un réseau à satellite de cette organisation intergouvernementale, </w:t>
      </w:r>
      <w:r w:rsidRPr="00630AA3">
        <w:t>en faveur d</w:t>
      </w:r>
      <w:r w:rsidR="007100D3" w:rsidRPr="00630AA3">
        <w:t>'</w:t>
      </w:r>
      <w:r w:rsidRPr="00630AA3">
        <w:t>une administration agissant en son nom propre et ne représentant pas l</w:t>
      </w:r>
      <w:r w:rsidR="007100D3" w:rsidRPr="00630AA3">
        <w:t>'</w:t>
      </w:r>
      <w:r w:rsidRPr="00630AA3">
        <w:t>organisation intergouvernementale en question; et</w:t>
      </w:r>
    </w:p>
    <w:p w14:paraId="3AB96A54" w14:textId="40D66024" w:rsidR="00AE4B17" w:rsidRPr="00630AA3" w:rsidRDefault="00AE4B17" w:rsidP="00747A74">
      <w:pPr>
        <w:pStyle w:val="enumlev1"/>
      </w:pPr>
      <w:r w:rsidRPr="00630AA3">
        <w:t>3)</w:t>
      </w:r>
      <w:r w:rsidRPr="00630AA3">
        <w:tab/>
        <w:t>au transfert de la responsabilité d</w:t>
      </w:r>
      <w:r w:rsidR="007100D3" w:rsidRPr="00630AA3">
        <w:t>'</w:t>
      </w:r>
      <w:r w:rsidRPr="00630AA3">
        <w:t>un système à satellites d</w:t>
      </w:r>
      <w:r w:rsidR="007100D3" w:rsidRPr="00630AA3">
        <w:t>'</w:t>
      </w:r>
      <w:r w:rsidRPr="00630AA3">
        <w:t>une administration notificatrice agissant en son nom propre à une autre administration agissant également en son nom propre.</w:t>
      </w:r>
      <w:r w:rsidR="00554D96" w:rsidRPr="00630AA3">
        <w:t>»</w:t>
      </w:r>
      <w:r w:rsidR="0038241C" w:rsidRPr="00630AA3">
        <w:t>.</w:t>
      </w:r>
    </w:p>
    <w:p w14:paraId="425EE2EF" w14:textId="1B99C4CC" w:rsidR="00AE4B17" w:rsidRPr="00630AA3" w:rsidRDefault="00ED14ED" w:rsidP="00747A74">
      <w:r w:rsidRPr="00630AA3">
        <w:t>Les États-Unis souscrivent à l</w:t>
      </w:r>
      <w:r w:rsidR="007100D3" w:rsidRPr="00630AA3">
        <w:t>'</w:t>
      </w:r>
      <w:r w:rsidRPr="00630AA3">
        <w:t>approche proposée par le Comité dans les cas concernant des</w:t>
      </w:r>
      <w:r w:rsidR="00507214" w:rsidRPr="00630AA3">
        <w:t xml:space="preserve"> </w:t>
      </w:r>
      <w:r w:rsidRPr="00630AA3">
        <w:rPr>
          <w:color w:val="000000"/>
        </w:rPr>
        <w:t>organisations intergouvernementales de télécommunications par satellite.</w:t>
      </w:r>
      <w:r w:rsidR="00507214" w:rsidRPr="00630AA3">
        <w:t xml:space="preserve"> </w:t>
      </w:r>
      <w:r w:rsidRPr="00630AA3">
        <w:t>S</w:t>
      </w:r>
      <w:r w:rsidR="007100D3" w:rsidRPr="00630AA3">
        <w:t>'</w:t>
      </w:r>
      <w:r w:rsidRPr="00630AA3">
        <w:t>agissant de la possibilité d</w:t>
      </w:r>
      <w:r w:rsidR="007100D3" w:rsidRPr="00630AA3">
        <w:t>'</w:t>
      </w:r>
      <w:r w:rsidRPr="00630AA3">
        <w:t>un</w:t>
      </w:r>
      <w:r w:rsidR="00507214" w:rsidRPr="00630AA3">
        <w:t xml:space="preserve"> </w:t>
      </w:r>
      <w:r w:rsidRPr="00630AA3">
        <w:rPr>
          <w:color w:val="000000"/>
        </w:rPr>
        <w:t>changement d</w:t>
      </w:r>
      <w:r w:rsidR="007100D3" w:rsidRPr="00630AA3">
        <w:rPr>
          <w:color w:val="000000"/>
        </w:rPr>
        <w:t>'</w:t>
      </w:r>
      <w:r w:rsidRPr="00630AA3">
        <w:rPr>
          <w:color w:val="000000"/>
        </w:rPr>
        <w:t>administration notificatrice entre deux administrations, les États-Unis considèrent que le changement d</w:t>
      </w:r>
      <w:r w:rsidR="007100D3" w:rsidRPr="00630AA3">
        <w:rPr>
          <w:color w:val="000000"/>
        </w:rPr>
        <w:t>'</w:t>
      </w:r>
      <w:r w:rsidRPr="00630AA3">
        <w:rPr>
          <w:color w:val="000000"/>
        </w:rPr>
        <w:t>administration notificatrice</w:t>
      </w:r>
      <w:r w:rsidRPr="00630AA3">
        <w:t xml:space="preserve"> doit faire l</w:t>
      </w:r>
      <w:r w:rsidR="007100D3" w:rsidRPr="00630AA3">
        <w:t>'</w:t>
      </w:r>
      <w:r w:rsidRPr="00630AA3">
        <w:t>objet d</w:t>
      </w:r>
      <w:r w:rsidR="007100D3" w:rsidRPr="00630AA3">
        <w:t>'</w:t>
      </w:r>
      <w:r w:rsidRPr="00630AA3">
        <w:t xml:space="preserve">une nouvelle fiche de notification. </w:t>
      </w:r>
      <w:r w:rsidR="007C75DA" w:rsidRPr="00630AA3">
        <w:t xml:space="preserve">Le transfert </w:t>
      </w:r>
      <w:r w:rsidR="00791E9A" w:rsidRPr="00630AA3">
        <w:t>direct</w:t>
      </w:r>
      <w:r w:rsidR="007C75DA" w:rsidRPr="00630AA3">
        <w:t xml:space="preserve"> de fiches de notification de réseaux à satellite entre des administrations, notamment, pourrait aboutir à une situation dans laquelle des administrations soumettent des fiches de notification afin</w:t>
      </w:r>
      <w:r w:rsidR="00507214" w:rsidRPr="00630AA3">
        <w:t xml:space="preserve"> </w:t>
      </w:r>
      <w:r w:rsidR="007C75DA" w:rsidRPr="00630AA3">
        <w:t>d</w:t>
      </w:r>
      <w:r w:rsidR="007100D3" w:rsidRPr="00630AA3">
        <w:t>'</w:t>
      </w:r>
      <w:r w:rsidRPr="00630AA3">
        <w:t>effectuer des transactions avec d</w:t>
      </w:r>
      <w:r w:rsidR="007100D3" w:rsidRPr="00630AA3">
        <w:t>'</w:t>
      </w:r>
      <w:r w:rsidRPr="00630AA3">
        <w:t>autres administrations</w:t>
      </w:r>
      <w:r w:rsidR="00554D96" w:rsidRPr="00630AA3">
        <w:t>,</w:t>
      </w:r>
      <w:r w:rsidRPr="00630AA3">
        <w:t xml:space="preserve"> </w:t>
      </w:r>
      <w:r w:rsidR="007C75DA" w:rsidRPr="00630AA3">
        <w:t>ou d</w:t>
      </w:r>
      <w:r w:rsidR="007100D3" w:rsidRPr="00630AA3">
        <w:t>'</w:t>
      </w:r>
      <w:r w:rsidR="007C75DA" w:rsidRPr="00630AA3">
        <w:t>obtenir des avantages par rapport à d</w:t>
      </w:r>
      <w:r w:rsidR="007100D3" w:rsidRPr="00630AA3">
        <w:t>'</w:t>
      </w:r>
      <w:r w:rsidR="007C75DA" w:rsidRPr="00630AA3">
        <w:t>autres administrations</w:t>
      </w:r>
      <w:r w:rsidR="00791E9A" w:rsidRPr="00630AA3">
        <w:t xml:space="preserve"> qui peuvent être </w:t>
      </w:r>
      <w:r w:rsidR="007C75DA" w:rsidRPr="00630AA3">
        <w:t xml:space="preserve">échangés contre </w:t>
      </w:r>
      <w:r w:rsidR="00791E9A" w:rsidRPr="00630AA3">
        <w:t>quelque chose qui présente de l</w:t>
      </w:r>
      <w:r w:rsidR="007100D3" w:rsidRPr="00630AA3">
        <w:t>'</w:t>
      </w:r>
      <w:r w:rsidR="00791E9A" w:rsidRPr="00630AA3">
        <w:t>intérêt. Cela risque de compromettre gravement les plans légitimes des opérateurs de satellites</w:t>
      </w:r>
      <w:r w:rsidR="00454F86" w:rsidRPr="00630AA3">
        <w:t>.</w:t>
      </w:r>
    </w:p>
    <w:p w14:paraId="65E07F88" w14:textId="54ECB120" w:rsidR="006F73CA" w:rsidRPr="00630AA3" w:rsidRDefault="006F73CA" w:rsidP="00747A74">
      <w:pPr>
        <w:pStyle w:val="Heading2"/>
      </w:pPr>
      <w:bookmarkStart w:id="19" w:name="_Toc519189596"/>
      <w:bookmarkStart w:id="20" w:name="_Toc520731099"/>
      <w:bookmarkStart w:id="21" w:name="_Toc526406309"/>
      <w:bookmarkStart w:id="22" w:name="_Toc5279639"/>
      <w:bookmarkStart w:id="23" w:name="_Toc16753806"/>
      <w:r w:rsidRPr="00630AA3">
        <w:t>2.3</w:t>
      </w:r>
      <w:r w:rsidRPr="00630AA3">
        <w:tab/>
        <w:t>Interprétation de la définition d</w:t>
      </w:r>
      <w:r w:rsidR="007100D3" w:rsidRPr="00630AA3">
        <w:t>'</w:t>
      </w:r>
      <w:r w:rsidRPr="00630AA3">
        <w:t>un «réseau à satellite» donnée au numéro 1.112 du RR et dans la Règle de procédure relative au numéro 1.112</w:t>
      </w:r>
      <w:bookmarkEnd w:id="19"/>
      <w:bookmarkEnd w:id="20"/>
      <w:bookmarkEnd w:id="21"/>
      <w:bookmarkEnd w:id="22"/>
      <w:bookmarkEnd w:id="23"/>
      <w:r w:rsidRPr="00630AA3">
        <w:t xml:space="preserve"> </w:t>
      </w:r>
    </w:p>
    <w:p w14:paraId="375DCC64" w14:textId="22C772ED" w:rsidR="006F73CA" w:rsidRPr="00630AA3" w:rsidRDefault="00791E9A" w:rsidP="00747A74">
      <w:r w:rsidRPr="00630AA3">
        <w:t>Au</w:t>
      </w:r>
      <w:r w:rsidR="006F73CA" w:rsidRPr="00630AA3">
        <w:t xml:space="preserve"> </w:t>
      </w:r>
      <w:r w:rsidR="00CB44C8" w:rsidRPr="00630AA3">
        <w:t>§</w:t>
      </w:r>
      <w:r w:rsidR="00507214" w:rsidRPr="00630AA3">
        <w:t xml:space="preserve"> </w:t>
      </w:r>
      <w:r w:rsidR="006F73CA" w:rsidRPr="00630AA3">
        <w:t xml:space="preserve">4.5, </w:t>
      </w:r>
      <w:r w:rsidRPr="00630AA3">
        <w:t>il est indiqué que le Comité a conclu ce qui suit:</w:t>
      </w:r>
      <w:r w:rsidR="00507214" w:rsidRPr="00630AA3">
        <w:t xml:space="preserve"> </w:t>
      </w:r>
      <w:r w:rsidR="006F73CA" w:rsidRPr="00630AA3">
        <w:t>« La CMR-19 ou une CMR future voudra peut-être réfléchir à la manière de remédier aux incohérences intrinsèques entre le numéro 1.112 du RR, relatif à la définition d</w:t>
      </w:r>
      <w:r w:rsidR="007100D3" w:rsidRPr="00630AA3">
        <w:t>'</w:t>
      </w:r>
      <w:r w:rsidR="006F73CA" w:rsidRPr="00630AA3">
        <w:t>un «réseau à satellite», et les dispositions correspondantes de l</w:t>
      </w:r>
      <w:r w:rsidR="007100D3" w:rsidRPr="00630AA3">
        <w:t>'</w:t>
      </w:r>
      <w:r w:rsidR="006F73CA" w:rsidRPr="00630AA3">
        <w:t xml:space="preserve">Appendice </w:t>
      </w:r>
      <w:r w:rsidR="006F73CA" w:rsidRPr="00630AA3">
        <w:rPr>
          <w:b/>
          <w:bCs/>
        </w:rPr>
        <w:t>4</w:t>
      </w:r>
      <w:r w:rsidR="006F73CA" w:rsidRPr="00630AA3">
        <w:t xml:space="preserve"> du Règlement des radiocommunications.» </w:t>
      </w:r>
      <w:r w:rsidRPr="00630AA3">
        <w:t>Les États-Unis sont du même avis que le Comité et note</w:t>
      </w:r>
      <w:r w:rsidR="00554D96" w:rsidRPr="00630AA3">
        <w:t>nt</w:t>
      </w:r>
      <w:r w:rsidRPr="00630AA3">
        <w:t xml:space="preserve"> qu</w:t>
      </w:r>
      <w:r w:rsidR="007100D3" w:rsidRPr="00630AA3">
        <w:t>'</w:t>
      </w:r>
      <w:r w:rsidRPr="00630AA3">
        <w:t>au titre du point 7 de l</w:t>
      </w:r>
      <w:r w:rsidR="007100D3" w:rsidRPr="00630AA3">
        <w:t>'</w:t>
      </w:r>
      <w:r w:rsidRPr="00630AA3">
        <w:t xml:space="preserve">ordre du jour de la </w:t>
      </w:r>
      <w:r w:rsidR="00CB44C8" w:rsidRPr="00630AA3">
        <w:t>CMR</w:t>
      </w:r>
      <w:r w:rsidR="006F73CA" w:rsidRPr="00630AA3">
        <w:t>-19</w:t>
      </w:r>
      <w:r w:rsidR="00763DA1" w:rsidRPr="00630AA3">
        <w:t>,</w:t>
      </w:r>
      <w:r w:rsidR="006F73CA" w:rsidRPr="00630AA3">
        <w:t xml:space="preserve"> </w:t>
      </w:r>
      <w:r w:rsidR="00CB44C8" w:rsidRPr="00630AA3">
        <w:t>Question</w:t>
      </w:r>
      <w:r w:rsidR="006F73CA" w:rsidRPr="00630AA3">
        <w:t xml:space="preserve"> H, </w:t>
      </w:r>
      <w:r w:rsidRPr="00630AA3">
        <w:t>il est proposé d</w:t>
      </w:r>
      <w:r w:rsidR="007100D3" w:rsidRPr="00630AA3">
        <w:t>'</w:t>
      </w:r>
      <w:r w:rsidRPr="00630AA3">
        <w:t>apporter plusieurs modifications à</w:t>
      </w:r>
      <w:r w:rsidR="00507214" w:rsidRPr="00630AA3">
        <w:t xml:space="preserve"> </w:t>
      </w:r>
      <w:r w:rsidRPr="00630AA3">
        <w:t>l</w:t>
      </w:r>
      <w:r w:rsidR="007100D3" w:rsidRPr="00630AA3">
        <w:t>'</w:t>
      </w:r>
      <w:r w:rsidR="006F73CA" w:rsidRPr="00630AA3">
        <w:t>Appendi</w:t>
      </w:r>
      <w:r w:rsidRPr="00630AA3">
        <w:t>ce</w:t>
      </w:r>
      <w:r w:rsidR="006F73CA" w:rsidRPr="00630AA3">
        <w:t xml:space="preserve"> </w:t>
      </w:r>
      <w:r w:rsidR="006F73CA" w:rsidRPr="00630AA3">
        <w:rPr>
          <w:b/>
          <w:bCs/>
        </w:rPr>
        <w:t>4</w:t>
      </w:r>
      <w:r w:rsidR="006F73CA" w:rsidRPr="00630AA3">
        <w:t>.</w:t>
      </w:r>
      <w:r w:rsidRPr="00630AA3">
        <w:t xml:space="preserve"> Les changements à apporter pour tenir compte de la Règle de procédure relative au numéro </w:t>
      </w:r>
      <w:r w:rsidRPr="00630AA3">
        <w:rPr>
          <w:b/>
          <w:bCs/>
        </w:rPr>
        <w:t>1.112</w:t>
      </w:r>
      <w:r w:rsidR="00507214" w:rsidRPr="00630AA3">
        <w:t xml:space="preserve"> </w:t>
      </w:r>
      <w:r w:rsidRPr="00630AA3">
        <w:t>du RR pourraient consister simplement à indiquer «… réseau ou système»</w:t>
      </w:r>
      <w:r w:rsidR="00507214" w:rsidRPr="00630AA3">
        <w:t xml:space="preserve"> </w:t>
      </w:r>
      <w:r w:rsidRPr="00630AA3">
        <w:t>dans les passages concernés de l</w:t>
      </w:r>
      <w:r w:rsidR="007100D3" w:rsidRPr="00630AA3">
        <w:t>'</w:t>
      </w:r>
      <w:r w:rsidRPr="00630AA3">
        <w:t xml:space="preserve">Appendice </w:t>
      </w:r>
      <w:r w:rsidRPr="00630AA3">
        <w:rPr>
          <w:b/>
          <w:bCs/>
        </w:rPr>
        <w:t>4</w:t>
      </w:r>
      <w:r w:rsidR="00763DA1" w:rsidRPr="00630AA3">
        <w:t>,</w:t>
      </w:r>
      <w:r w:rsidRPr="00630AA3">
        <w:t xml:space="preserve"> et ce au titre de la Question</w:t>
      </w:r>
      <w:r w:rsidR="00507214" w:rsidRPr="00630AA3">
        <w:t xml:space="preserve"> </w:t>
      </w:r>
      <w:r w:rsidR="006F73CA" w:rsidRPr="00630AA3">
        <w:t>H.</w:t>
      </w:r>
    </w:p>
    <w:p w14:paraId="74AC05EA" w14:textId="53326C03" w:rsidR="006F73CA" w:rsidRPr="00630AA3" w:rsidRDefault="006F73CA" w:rsidP="00747A74">
      <w:pPr>
        <w:pStyle w:val="Heading2"/>
      </w:pPr>
      <w:bookmarkStart w:id="24" w:name="_Toc520731101"/>
      <w:bookmarkStart w:id="25" w:name="_Toc526406311"/>
      <w:bookmarkStart w:id="26" w:name="_Toc5279641"/>
      <w:bookmarkStart w:id="27" w:name="_Toc16753808"/>
      <w:r w:rsidRPr="00630AA3">
        <w:lastRenderedPageBreak/>
        <w:t>2.4</w:t>
      </w:r>
      <w:r w:rsidRPr="00630AA3">
        <w:tab/>
        <w:t xml:space="preserve">Application du numéro 13.6 du </w:t>
      </w:r>
      <w:bookmarkEnd w:id="24"/>
      <w:bookmarkEnd w:id="25"/>
      <w:bookmarkEnd w:id="26"/>
      <w:r w:rsidRPr="00630AA3">
        <w:t>RR</w:t>
      </w:r>
      <w:bookmarkEnd w:id="27"/>
      <w:r w:rsidRPr="00630AA3">
        <w:t xml:space="preserve"> </w:t>
      </w:r>
    </w:p>
    <w:p w14:paraId="3A9A6DD5" w14:textId="36121AC5" w:rsidR="006F73CA" w:rsidRPr="00630AA3" w:rsidRDefault="00673A06" w:rsidP="00747A74">
      <w:r w:rsidRPr="00630AA3">
        <w:t xml:space="preserve">Au </w:t>
      </w:r>
      <w:r w:rsidR="00CB44C8" w:rsidRPr="00630AA3">
        <w:t>§</w:t>
      </w:r>
      <w:r w:rsidR="00507214" w:rsidRPr="00630AA3">
        <w:t xml:space="preserve"> </w:t>
      </w:r>
      <w:r w:rsidR="006F73CA" w:rsidRPr="00630AA3">
        <w:t>4.7</w:t>
      </w:r>
      <w:r w:rsidRPr="00630AA3">
        <w:t xml:space="preserve">, le Comité </w:t>
      </w:r>
      <w:r w:rsidR="00554D96" w:rsidRPr="00630AA3">
        <w:t xml:space="preserve">a </w:t>
      </w:r>
      <w:r w:rsidRPr="00630AA3">
        <w:t>not</w:t>
      </w:r>
      <w:r w:rsidR="00554D96" w:rsidRPr="00630AA3">
        <w:t>é</w:t>
      </w:r>
      <w:r w:rsidRPr="00630AA3">
        <w:t xml:space="preserve"> que le recours au</w:t>
      </w:r>
      <w:r w:rsidR="00507214" w:rsidRPr="00630AA3">
        <w:t xml:space="preserve"> </w:t>
      </w:r>
      <w:r w:rsidRPr="00630AA3">
        <w:t xml:space="preserve">numéro </w:t>
      </w:r>
      <w:r w:rsidRPr="00630AA3">
        <w:rPr>
          <w:b/>
          <w:bCs/>
        </w:rPr>
        <w:t>13.6</w:t>
      </w:r>
      <w:r w:rsidRPr="00630AA3">
        <w:t xml:space="preserve"> du RR constitue un instrument efficace qui permet</w:t>
      </w:r>
      <w:r w:rsidR="00507214" w:rsidRPr="00630AA3">
        <w:t xml:space="preserve"> </w:t>
      </w:r>
      <w:r w:rsidRPr="00630AA3">
        <w:t>au Bureau</w:t>
      </w:r>
      <w:r w:rsidR="00507214" w:rsidRPr="00630AA3">
        <w:t xml:space="preserve"> </w:t>
      </w:r>
      <w:r w:rsidRPr="00630AA3">
        <w:t>de vérifier que les assignations inscrites dans le Fichier de référence international des fréquences ont été mises en service et continuent d</w:t>
      </w:r>
      <w:r w:rsidR="007100D3" w:rsidRPr="00630AA3">
        <w:t>'</w:t>
      </w:r>
      <w:r w:rsidRPr="00630AA3">
        <w:t>être utilisées conformément à leurs caractéristiques notifiées. Le Comité a recommandé ce qui suit:</w:t>
      </w:r>
      <w:r w:rsidR="00507214" w:rsidRPr="00630AA3">
        <w:t xml:space="preserve"> </w:t>
      </w:r>
      <w:r w:rsidR="006F73CA" w:rsidRPr="00630AA3">
        <w:t xml:space="preserve">«Bien que le numéro </w:t>
      </w:r>
      <w:r w:rsidR="006F73CA" w:rsidRPr="00630AA3">
        <w:rPr>
          <w:b/>
          <w:bCs/>
        </w:rPr>
        <w:t>13.6</w:t>
      </w:r>
      <w:r w:rsidR="006F73CA" w:rsidRPr="00630AA3">
        <w:t xml:space="preserve"> du RR énonce très clairement les modalités de sa mise en œuvre et n</w:t>
      </w:r>
      <w:r w:rsidR="007100D3" w:rsidRPr="00630AA3">
        <w:t>'</w:t>
      </w:r>
      <w:r w:rsidR="006F73CA" w:rsidRPr="00630AA3">
        <w:t>appelle peut-être pas d</w:t>
      </w:r>
      <w:r w:rsidR="007100D3" w:rsidRPr="00630AA3">
        <w:t>'</w:t>
      </w:r>
      <w:r w:rsidR="006F73CA" w:rsidRPr="00630AA3">
        <w:t>autres modifications, la CMR-19 est invitée à déterminer s</w:t>
      </w:r>
      <w:r w:rsidR="007100D3" w:rsidRPr="00630AA3">
        <w:t>'</w:t>
      </w:r>
      <w:r w:rsidR="006F73CA" w:rsidRPr="00630AA3">
        <w:t>il y a lieu de fournir des orientations au Comité, pour qu</w:t>
      </w:r>
      <w:r w:rsidR="007100D3" w:rsidRPr="00630AA3">
        <w:t>'</w:t>
      </w:r>
      <w:r w:rsidR="006F73CA" w:rsidRPr="00630AA3">
        <w:t>il en tienne compte lors de l</w:t>
      </w:r>
      <w:r w:rsidR="007100D3" w:rsidRPr="00630AA3">
        <w:t>'</w:t>
      </w:r>
      <w:r w:rsidR="006F73CA" w:rsidRPr="00630AA3">
        <w:t>examen des questions et problèmes évoqués ci-dessus.»</w:t>
      </w:r>
    </w:p>
    <w:p w14:paraId="104D600B" w14:textId="4334B43D" w:rsidR="006F73CA" w:rsidRPr="00630AA3" w:rsidRDefault="00BF55AC" w:rsidP="00747A74">
      <w:r w:rsidRPr="00630AA3">
        <w:t xml:space="preserve">Les États-Unis estiment, comme le Comité, que le numéro </w:t>
      </w:r>
      <w:r w:rsidRPr="00630AA3">
        <w:rPr>
          <w:b/>
          <w:bCs/>
        </w:rPr>
        <w:t>13.6</w:t>
      </w:r>
      <w:r w:rsidRPr="00630AA3">
        <w:t xml:space="preserve"> du RR</w:t>
      </w:r>
      <w:r w:rsidR="00507214" w:rsidRPr="00630AA3">
        <w:t xml:space="preserve"> </w:t>
      </w:r>
      <w:r w:rsidRPr="00630AA3">
        <w:t>constitue</w:t>
      </w:r>
      <w:r w:rsidR="00507214" w:rsidRPr="00630AA3">
        <w:t xml:space="preserve"> </w:t>
      </w:r>
      <w:r w:rsidRPr="00630AA3">
        <w:t>un instrument important et efficace</w:t>
      </w:r>
      <w:r w:rsidR="00507214" w:rsidRPr="00630AA3">
        <w:t xml:space="preserve"> </w:t>
      </w:r>
      <w:r w:rsidRPr="00630AA3">
        <w:t>et</w:t>
      </w:r>
      <w:r w:rsidR="00507214" w:rsidRPr="00630AA3">
        <w:t xml:space="preserve"> </w:t>
      </w:r>
      <w:r w:rsidRPr="00630AA3">
        <w:t>qu</w:t>
      </w:r>
      <w:r w:rsidR="007100D3" w:rsidRPr="00630AA3">
        <w:t>'</w:t>
      </w:r>
      <w:r w:rsidRPr="00630AA3">
        <w:t xml:space="preserve">il faut </w:t>
      </w:r>
      <w:r w:rsidR="00554D96" w:rsidRPr="00630AA3">
        <w:rPr>
          <w:color w:val="000000"/>
        </w:rPr>
        <w:t>soigneusement évaluer</w:t>
      </w:r>
      <w:r w:rsidRPr="00630AA3">
        <w:rPr>
          <w:color w:val="000000"/>
        </w:rPr>
        <w:t xml:space="preserve"> les limites qui pourraient être imposées à la capacité du Bureau d</w:t>
      </w:r>
      <w:r w:rsidR="007100D3" w:rsidRPr="00630AA3">
        <w:rPr>
          <w:color w:val="000000"/>
        </w:rPr>
        <w:t>'</w:t>
      </w:r>
      <w:r w:rsidRPr="00630AA3">
        <w:rPr>
          <w:color w:val="000000"/>
        </w:rPr>
        <w:t>appliquer ces dispositions au regard des droits des administrations. Le Bureau ne devrait demander des renseignements au titre</w:t>
      </w:r>
      <w:r w:rsidRPr="00630AA3">
        <w:t xml:space="preserve"> du numéro </w:t>
      </w:r>
      <w:r w:rsidRPr="00630AA3">
        <w:rPr>
          <w:b/>
          <w:bCs/>
        </w:rPr>
        <w:t>13.6</w:t>
      </w:r>
      <w:r w:rsidRPr="00630AA3">
        <w:t xml:space="preserve"> du RR que sur la base</w:t>
      </w:r>
      <w:r w:rsidR="00E85474" w:rsidRPr="00630AA3">
        <w:t xml:space="preserve"> de la situation actuelle</w:t>
      </w:r>
      <w:r w:rsidR="00507214" w:rsidRPr="00630AA3">
        <w:t xml:space="preserve"> </w:t>
      </w:r>
      <w:r w:rsidRPr="00630AA3">
        <w:t>de l</w:t>
      </w:r>
      <w:r w:rsidR="007100D3" w:rsidRPr="00630AA3">
        <w:t>'</w:t>
      </w:r>
      <w:r w:rsidRPr="00630AA3">
        <w:t>utilisation des assignations d</w:t>
      </w:r>
      <w:r w:rsidR="007100D3" w:rsidRPr="00630AA3">
        <w:t>'</w:t>
      </w:r>
      <w:r w:rsidRPr="00630AA3">
        <w:t>une fiche de notification et sur la base des renseignements</w:t>
      </w:r>
      <w:r w:rsidR="00507214" w:rsidRPr="00630AA3">
        <w:t xml:space="preserve"> </w:t>
      </w:r>
      <w:r w:rsidRPr="00630AA3">
        <w:t>de notification les plus récents soumis pour la fiche de notification (c</w:t>
      </w:r>
      <w:r w:rsidR="007100D3" w:rsidRPr="00630AA3">
        <w:t>'</w:t>
      </w:r>
      <w:r w:rsidRPr="00630AA3">
        <w:t>est-à-dire la situation correspondant à l</w:t>
      </w:r>
      <w:r w:rsidR="007100D3" w:rsidRPr="00630AA3">
        <w:t>'</w:t>
      </w:r>
      <w:r w:rsidRPr="00630AA3">
        <w:t>exploitation actuelle au titre de la fiche de notification ou, dans le cas d</w:t>
      </w:r>
      <w:r w:rsidR="007100D3" w:rsidRPr="00630AA3">
        <w:t>'</w:t>
      </w:r>
      <w:r w:rsidRPr="00630AA3">
        <w:t>une fiche de notification dont l</w:t>
      </w:r>
      <w:r w:rsidR="007100D3" w:rsidRPr="00630AA3">
        <w:t>'</w:t>
      </w:r>
      <w:r w:rsidRPr="00630AA3">
        <w:t>utilisation est actuellement suspendue, la situation correspondant à l</w:t>
      </w:r>
      <w:r w:rsidR="007100D3" w:rsidRPr="00630AA3">
        <w:t>'</w:t>
      </w:r>
      <w:r w:rsidRPr="00630AA3">
        <w:t>exploitation la plus récente avant la suspension).</w:t>
      </w:r>
      <w:r w:rsidR="00507214" w:rsidRPr="00630AA3">
        <w:t xml:space="preserve"> </w:t>
      </w:r>
      <w:r w:rsidR="003660B7" w:rsidRPr="00630AA3">
        <w:t>Le Bureau peut procéder à un examen pendant</w:t>
      </w:r>
      <w:r w:rsidR="00507214" w:rsidRPr="00630AA3">
        <w:t xml:space="preserve"> </w:t>
      </w:r>
      <w:r w:rsidR="003660B7" w:rsidRPr="00630AA3">
        <w:rPr>
          <w:color w:val="000000"/>
        </w:rPr>
        <w:t>la durée de validité de la notification</w:t>
      </w:r>
      <w:r w:rsidR="00763DA1" w:rsidRPr="00630AA3">
        <w:t>,</w:t>
      </w:r>
      <w:r w:rsidR="003660B7" w:rsidRPr="00630AA3">
        <w:t xml:space="preserve"> et même si l</w:t>
      </w:r>
      <w:r w:rsidR="007100D3" w:rsidRPr="00630AA3">
        <w:t>'</w:t>
      </w:r>
      <w:r w:rsidR="003660B7" w:rsidRPr="00630AA3">
        <w:t>utilisation des étapes pertinentes de la procédure de notification d</w:t>
      </w:r>
      <w:r w:rsidR="007100D3" w:rsidRPr="00630AA3">
        <w:t>'</w:t>
      </w:r>
      <w:r w:rsidR="003660B7" w:rsidRPr="00630AA3">
        <w:t>un réseau à satellite</w:t>
      </w:r>
      <w:r w:rsidR="006F73CA" w:rsidRPr="00630AA3">
        <w:t xml:space="preserve"> </w:t>
      </w:r>
      <w:r w:rsidR="003660B7" w:rsidRPr="00630AA3">
        <w:t>antérieur peut être prise en compte aux fins de l</w:t>
      </w:r>
      <w:r w:rsidR="007100D3" w:rsidRPr="00630AA3">
        <w:t>'</w:t>
      </w:r>
      <w:r w:rsidR="003660B7" w:rsidRPr="00630AA3">
        <w:t>examen,</w:t>
      </w:r>
      <w:r w:rsidR="00507214" w:rsidRPr="00630AA3">
        <w:t xml:space="preserve"> </w:t>
      </w:r>
      <w:r w:rsidR="003660B7" w:rsidRPr="00630AA3">
        <w:t>l</w:t>
      </w:r>
      <w:r w:rsidR="007100D3" w:rsidRPr="00630AA3">
        <w:t>'</w:t>
      </w:r>
      <w:r w:rsidR="003660B7" w:rsidRPr="00630AA3">
        <w:t>objet d</w:t>
      </w:r>
      <w:r w:rsidR="007100D3" w:rsidRPr="00630AA3">
        <w:t>'</w:t>
      </w:r>
      <w:r w:rsidR="003660B7" w:rsidRPr="00630AA3">
        <w:t>une demande de renseignements</w:t>
      </w:r>
      <w:r w:rsidR="00507214" w:rsidRPr="00630AA3">
        <w:t xml:space="preserve"> </w:t>
      </w:r>
      <w:r w:rsidR="003660B7" w:rsidRPr="00630AA3">
        <w:t xml:space="preserve">au titre du numéro </w:t>
      </w:r>
      <w:r w:rsidR="003660B7" w:rsidRPr="00630AA3">
        <w:rPr>
          <w:b/>
          <w:bCs/>
        </w:rPr>
        <w:t>13.6</w:t>
      </w:r>
      <w:r w:rsidR="003660B7" w:rsidRPr="00630AA3">
        <w:t xml:space="preserve"> du RR</w:t>
      </w:r>
      <w:r w:rsidR="006F73CA" w:rsidRPr="00630AA3">
        <w:t xml:space="preserve"> </w:t>
      </w:r>
      <w:r w:rsidR="003660B7" w:rsidRPr="00630AA3">
        <w:t>devrait porter sur la situation actuelle de l</w:t>
      </w:r>
      <w:r w:rsidR="007100D3" w:rsidRPr="00630AA3">
        <w:t>'</w:t>
      </w:r>
      <w:r w:rsidR="003660B7" w:rsidRPr="00630AA3">
        <w:t>utilisation des assignations sur la base des renseignements de notification les plus récents soumis pour la fiche de notification. Il peut arriver que des événements antérieurs au déclenchement</w:t>
      </w:r>
      <w:r w:rsidR="003660B7" w:rsidRPr="00630AA3">
        <w:rPr>
          <w:color w:val="000000"/>
        </w:rPr>
        <w:t xml:space="preserve"> de l</w:t>
      </w:r>
      <w:r w:rsidR="007100D3" w:rsidRPr="00630AA3">
        <w:rPr>
          <w:color w:val="000000"/>
        </w:rPr>
        <w:t>'</w:t>
      </w:r>
      <w:r w:rsidR="003660B7" w:rsidRPr="00630AA3">
        <w:rPr>
          <w:color w:val="000000"/>
        </w:rPr>
        <w:t xml:space="preserve">examen au titre du numéro </w:t>
      </w:r>
      <w:r w:rsidR="003660B7" w:rsidRPr="00630AA3">
        <w:rPr>
          <w:b/>
          <w:bCs/>
          <w:color w:val="000000"/>
        </w:rPr>
        <w:t>13.6</w:t>
      </w:r>
      <w:r w:rsidR="003660B7" w:rsidRPr="00630AA3">
        <w:rPr>
          <w:color w:val="000000"/>
        </w:rPr>
        <w:t xml:space="preserve"> du RR soient suspects et</w:t>
      </w:r>
      <w:r w:rsidR="00E85474" w:rsidRPr="00630AA3">
        <w:rPr>
          <w:color w:val="000000"/>
        </w:rPr>
        <w:t xml:space="preserve"> amènent à conclure qu</w:t>
      </w:r>
      <w:r w:rsidR="007100D3" w:rsidRPr="00630AA3">
        <w:rPr>
          <w:color w:val="000000"/>
        </w:rPr>
        <w:t>'</w:t>
      </w:r>
      <w:r w:rsidR="00E85474" w:rsidRPr="00630AA3">
        <w:rPr>
          <w:color w:val="000000"/>
        </w:rPr>
        <w:t>un réseau à satellite</w:t>
      </w:r>
      <w:r w:rsidR="00507214" w:rsidRPr="00630AA3">
        <w:rPr>
          <w:color w:val="000000"/>
        </w:rPr>
        <w:t xml:space="preserve"> </w:t>
      </w:r>
      <w:r w:rsidR="00E85474" w:rsidRPr="00630AA3">
        <w:rPr>
          <w:color w:val="000000"/>
        </w:rPr>
        <w:t>ne fonctionne pas actuellement conformément aux caractéristiques notifiées, ou, dans le cas</w:t>
      </w:r>
      <w:r w:rsidR="00507214" w:rsidRPr="00630AA3">
        <w:rPr>
          <w:color w:val="000000"/>
        </w:rPr>
        <w:t xml:space="preserve"> </w:t>
      </w:r>
      <w:r w:rsidR="00E85474" w:rsidRPr="00630AA3">
        <w:rPr>
          <w:color w:val="000000"/>
        </w:rPr>
        <w:t>d</w:t>
      </w:r>
      <w:r w:rsidR="007100D3" w:rsidRPr="00630AA3">
        <w:rPr>
          <w:color w:val="000000"/>
        </w:rPr>
        <w:t>'</w:t>
      </w:r>
      <w:r w:rsidR="00E85474" w:rsidRPr="00630AA3">
        <w:rPr>
          <w:color w:val="000000"/>
        </w:rPr>
        <w:t>assignations dont l</w:t>
      </w:r>
      <w:r w:rsidR="007100D3" w:rsidRPr="00630AA3">
        <w:rPr>
          <w:color w:val="000000"/>
        </w:rPr>
        <w:t>'</w:t>
      </w:r>
      <w:r w:rsidR="00E85474" w:rsidRPr="00630AA3">
        <w:rPr>
          <w:color w:val="000000"/>
        </w:rPr>
        <w:t>utilisation été suspendue,</w:t>
      </w:r>
      <w:r w:rsidR="00507214" w:rsidRPr="00630AA3">
        <w:rPr>
          <w:color w:val="000000"/>
        </w:rPr>
        <w:t xml:space="preserve"> </w:t>
      </w:r>
      <w:r w:rsidR="00E85474" w:rsidRPr="00630AA3">
        <w:t>ne fonctionnait pas conformément aux caractéristiques notifiées immédiatement avant la suspension</w:t>
      </w:r>
      <w:r w:rsidR="00763DA1" w:rsidRPr="00630AA3">
        <w:t>.</w:t>
      </w:r>
      <w:r w:rsidR="00E85474" w:rsidRPr="00630AA3">
        <w:t xml:space="preserve"> Toutefois, les résultats d</w:t>
      </w:r>
      <w:r w:rsidR="007100D3" w:rsidRPr="00630AA3">
        <w:t>'</w:t>
      </w:r>
      <w:r w:rsidR="00E85474" w:rsidRPr="00630AA3">
        <w:t>un réexamen d</w:t>
      </w:r>
      <w:r w:rsidR="007100D3" w:rsidRPr="00630AA3">
        <w:t>'</w:t>
      </w:r>
      <w:r w:rsidR="00E85474" w:rsidRPr="00630AA3">
        <w:t>événements antérieurs au sujet desquels le BR a formulé des conclusions précédemment</w:t>
      </w:r>
      <w:r w:rsidR="00507214" w:rsidRPr="00630AA3">
        <w:t xml:space="preserve"> </w:t>
      </w:r>
      <w:r w:rsidR="00E85474" w:rsidRPr="00630AA3">
        <w:t>ne devraient pas servir de base</w:t>
      </w:r>
      <w:r w:rsidR="006F73CA" w:rsidRPr="00630AA3">
        <w:t xml:space="preserve"> </w:t>
      </w:r>
      <w:r w:rsidR="00E85474" w:rsidRPr="00630AA3">
        <w:t>pour contester ou refuser d</w:t>
      </w:r>
      <w:r w:rsidR="007100D3" w:rsidRPr="00630AA3">
        <w:t>'</w:t>
      </w:r>
      <w:r w:rsidR="00E85474" w:rsidRPr="00630AA3">
        <w:t>autoriser l</w:t>
      </w:r>
      <w:r w:rsidR="007100D3" w:rsidRPr="00630AA3">
        <w:t>'</w:t>
      </w:r>
      <w:r w:rsidR="00E85474" w:rsidRPr="00630AA3">
        <w:t>utilisation actuelle de la totalité ou d</w:t>
      </w:r>
      <w:r w:rsidR="007100D3" w:rsidRPr="00630AA3">
        <w:t>'</w:t>
      </w:r>
      <w:r w:rsidR="00E85474" w:rsidRPr="00630AA3">
        <w:t>une partie du réseau à satellite</w:t>
      </w:r>
      <w:r w:rsidR="00507214" w:rsidRPr="00630AA3">
        <w:t xml:space="preserve"> </w:t>
      </w:r>
      <w:r w:rsidR="00E85474" w:rsidRPr="00630AA3">
        <w:t>faisant l</w:t>
      </w:r>
      <w:r w:rsidR="007100D3" w:rsidRPr="00630AA3">
        <w:t>'</w:t>
      </w:r>
      <w:r w:rsidR="00E85474" w:rsidRPr="00630AA3">
        <w:t xml:space="preserve">objet de </w:t>
      </w:r>
      <w:r w:rsidR="00554D96" w:rsidRPr="00630AA3">
        <w:t>l</w:t>
      </w:r>
      <w:r w:rsidR="007100D3" w:rsidRPr="00630AA3">
        <w:t>'</w:t>
      </w:r>
      <w:r w:rsidR="00E85474" w:rsidRPr="00630AA3">
        <w:t>examen. Seule la situation actuelle de l</w:t>
      </w:r>
      <w:r w:rsidR="007100D3" w:rsidRPr="00630AA3">
        <w:t>'</w:t>
      </w:r>
      <w:r w:rsidR="00E85474" w:rsidRPr="00630AA3">
        <w:t>utilisation devrait être prise en considération, mais le Bureau devrait être en mesure</w:t>
      </w:r>
      <w:r w:rsidR="00507214" w:rsidRPr="00630AA3">
        <w:t xml:space="preserve"> </w:t>
      </w:r>
      <w:r w:rsidR="00E85474" w:rsidRPr="00630AA3">
        <w:t>d</w:t>
      </w:r>
      <w:r w:rsidR="007100D3" w:rsidRPr="00630AA3">
        <w:t>'</w:t>
      </w:r>
      <w:r w:rsidR="00E85474" w:rsidRPr="00630AA3">
        <w:t>examiner une fiche de notification</w:t>
      </w:r>
      <w:r w:rsidR="00507214" w:rsidRPr="00630AA3">
        <w:t xml:space="preserve"> </w:t>
      </w:r>
      <w:r w:rsidR="00E85474" w:rsidRPr="00630AA3">
        <w:t>pendant</w:t>
      </w:r>
      <w:r w:rsidR="00507214" w:rsidRPr="00630AA3">
        <w:t xml:space="preserve"> </w:t>
      </w:r>
      <w:r w:rsidR="00E85474" w:rsidRPr="00630AA3">
        <w:rPr>
          <w:color w:val="000000"/>
        </w:rPr>
        <w:t>la durée de validité de la</w:t>
      </w:r>
      <w:r w:rsidR="00554D96" w:rsidRPr="00630AA3">
        <w:rPr>
          <w:color w:val="000000"/>
        </w:rPr>
        <w:t xml:space="preserve"> fiche de</w:t>
      </w:r>
      <w:r w:rsidR="00E85474" w:rsidRPr="00630AA3">
        <w:rPr>
          <w:color w:val="000000"/>
        </w:rPr>
        <w:t xml:space="preserve"> notification.</w:t>
      </w:r>
    </w:p>
    <w:p w14:paraId="45F9DAFA" w14:textId="304B1CEE" w:rsidR="0078377D" w:rsidRPr="00630AA3" w:rsidRDefault="0078377D" w:rsidP="00747A74">
      <w:pPr>
        <w:pStyle w:val="Heading2"/>
        <w:spacing w:before="120"/>
        <w:ind w:left="0" w:firstLine="0"/>
      </w:pPr>
      <w:bookmarkStart w:id="28" w:name="_Toc519189599"/>
      <w:bookmarkStart w:id="29" w:name="_Toc520731103"/>
      <w:bookmarkStart w:id="30" w:name="_Toc526406313"/>
      <w:bookmarkStart w:id="31" w:name="_Toc5279642"/>
      <w:bookmarkStart w:id="32" w:name="_Toc16753809"/>
      <w:r w:rsidRPr="00630AA3">
        <w:t>2.5</w:t>
      </w:r>
      <w:r w:rsidRPr="00630AA3">
        <w:tab/>
        <w:t>Application de l</w:t>
      </w:r>
      <w:r w:rsidR="007100D3" w:rsidRPr="00630AA3">
        <w:t>'</w:t>
      </w:r>
      <w:r w:rsidRPr="00630AA3">
        <w:t>article 48 de la Constitution</w:t>
      </w:r>
      <w:bookmarkEnd w:id="28"/>
      <w:bookmarkEnd w:id="29"/>
      <w:bookmarkEnd w:id="30"/>
      <w:bookmarkEnd w:id="31"/>
      <w:bookmarkEnd w:id="32"/>
    </w:p>
    <w:p w14:paraId="01F46F8F" w14:textId="20BDE214" w:rsidR="006F73CA" w:rsidRPr="00630AA3" w:rsidRDefault="00B6313F" w:rsidP="00747A74">
      <w:r w:rsidRPr="00630AA3">
        <w:t>Au</w:t>
      </w:r>
      <w:r w:rsidR="0078377D" w:rsidRPr="00630AA3">
        <w:t xml:space="preserve"> </w:t>
      </w:r>
      <w:r w:rsidR="00CB44C8" w:rsidRPr="00630AA3">
        <w:t>§</w:t>
      </w:r>
      <w:r w:rsidR="00507214" w:rsidRPr="00630AA3">
        <w:t xml:space="preserve"> </w:t>
      </w:r>
      <w:r w:rsidR="0078377D" w:rsidRPr="00630AA3">
        <w:t>4.8,</w:t>
      </w:r>
      <w:r w:rsidR="00E85474" w:rsidRPr="00630AA3">
        <w:t xml:space="preserve"> le Comité invite la </w:t>
      </w:r>
      <w:r w:rsidR="00CB44C8" w:rsidRPr="00630AA3">
        <w:t>CMR</w:t>
      </w:r>
      <w:r w:rsidR="0078377D" w:rsidRPr="00630AA3">
        <w:t>-19 «à fournir au Comité des éclaircissements ou des orientations complémentaires qui pourraient être utilisés pour traiter les cas au titre de l</w:t>
      </w:r>
      <w:r w:rsidR="007100D3" w:rsidRPr="00630AA3">
        <w:t>'</w:t>
      </w:r>
      <w:r w:rsidR="0078377D" w:rsidRPr="00630AA3">
        <w:t>article 48 de la Constitution, compte tenu de la Résolution 119 (Rév. Antalya, 2006) de la Conférence de plénipotentiaires.</w:t>
      </w:r>
      <w:r w:rsidR="006248B5" w:rsidRPr="00630AA3">
        <w:t>»</w:t>
      </w:r>
    </w:p>
    <w:p w14:paraId="64D6AC3E" w14:textId="5F2F7A6A" w:rsidR="006248B5" w:rsidRPr="00630AA3" w:rsidRDefault="00E85474" w:rsidP="00747A74">
      <w:pPr>
        <w:rPr>
          <w:lang w:eastAsia="ar-SA"/>
        </w:rPr>
      </w:pPr>
      <w:r w:rsidRPr="00630AA3">
        <w:rPr>
          <w:lang w:eastAsia="ar-SA"/>
        </w:rPr>
        <w:t xml:space="preserve">Lors de la </w:t>
      </w:r>
      <w:r w:rsidR="00CB44C8" w:rsidRPr="00630AA3">
        <w:rPr>
          <w:lang w:eastAsia="ar-SA"/>
        </w:rPr>
        <w:t>CMR</w:t>
      </w:r>
      <w:r w:rsidR="006248B5" w:rsidRPr="00630AA3">
        <w:rPr>
          <w:lang w:eastAsia="ar-SA"/>
        </w:rPr>
        <w:t xml:space="preserve">-15, </w:t>
      </w:r>
      <w:r w:rsidR="00717E21" w:rsidRPr="00630AA3">
        <w:rPr>
          <w:lang w:eastAsia="ar-SA"/>
        </w:rPr>
        <w:t>trois conditions applicables au recours à l</w:t>
      </w:r>
      <w:r w:rsidR="007100D3" w:rsidRPr="00630AA3">
        <w:rPr>
          <w:lang w:eastAsia="ar-SA"/>
        </w:rPr>
        <w:t>'</w:t>
      </w:r>
      <w:r w:rsidR="00717E21" w:rsidRPr="00630AA3">
        <w:rPr>
          <w:lang w:eastAsia="ar-SA"/>
        </w:rPr>
        <w:t xml:space="preserve">article </w:t>
      </w:r>
      <w:r w:rsidR="00CB44C8" w:rsidRPr="00630AA3">
        <w:rPr>
          <w:lang w:eastAsia="ar-SA"/>
        </w:rPr>
        <w:t>48 de la Constitution</w:t>
      </w:r>
      <w:r w:rsidR="00717E21" w:rsidRPr="00630AA3">
        <w:rPr>
          <w:lang w:eastAsia="ar-SA"/>
        </w:rPr>
        <w:t xml:space="preserve"> pour les assignations de fréquence</w:t>
      </w:r>
      <w:r w:rsidR="00507214" w:rsidRPr="00630AA3">
        <w:rPr>
          <w:lang w:eastAsia="ar-SA"/>
        </w:rPr>
        <w:t xml:space="preserve"> </w:t>
      </w:r>
      <w:r w:rsidR="00717E21" w:rsidRPr="00630AA3">
        <w:rPr>
          <w:lang w:eastAsia="ar-SA"/>
        </w:rPr>
        <w:t>relatives à des réseaux à satellite ou à des systèmes à satellites ont été effectivement approuvées et consignées au procès-verbal de la plénière. Ces trois conditions sont les suivant</w:t>
      </w:r>
      <w:r w:rsidR="00042C59" w:rsidRPr="00630AA3">
        <w:rPr>
          <w:lang w:eastAsia="ar-SA"/>
        </w:rPr>
        <w:t>e</w:t>
      </w:r>
      <w:r w:rsidR="00717E21" w:rsidRPr="00630AA3">
        <w:rPr>
          <w:lang w:eastAsia="ar-SA"/>
        </w:rPr>
        <w:t>s:</w:t>
      </w:r>
    </w:p>
    <w:p w14:paraId="1A9ABD10" w14:textId="098D73AD" w:rsidR="006248B5" w:rsidRPr="00630AA3" w:rsidRDefault="006248B5" w:rsidP="00747A74">
      <w:pPr>
        <w:pStyle w:val="enumlev1"/>
        <w:rPr>
          <w:lang w:eastAsia="ar-SA"/>
        </w:rPr>
      </w:pPr>
      <w:r w:rsidRPr="00630AA3">
        <w:rPr>
          <w:lang w:eastAsia="ar-SA"/>
        </w:rPr>
        <w:t>1)</w:t>
      </w:r>
      <w:r w:rsidRPr="00630AA3">
        <w:rPr>
          <w:lang w:eastAsia="ar-SA"/>
        </w:rPr>
        <w:tab/>
      </w:r>
      <w:r w:rsidR="00717E21" w:rsidRPr="00630AA3">
        <w:rPr>
          <w:lang w:eastAsia="ar-SA"/>
        </w:rPr>
        <w:t>l</w:t>
      </w:r>
      <w:r w:rsidR="007100D3" w:rsidRPr="00630AA3">
        <w:rPr>
          <w:lang w:eastAsia="ar-SA"/>
        </w:rPr>
        <w:t>'</w:t>
      </w:r>
      <w:r w:rsidR="00CB44C8" w:rsidRPr="00630AA3">
        <w:rPr>
          <w:lang w:eastAsia="ar-SA"/>
        </w:rPr>
        <w:t xml:space="preserve">article 48 de la Constitution </w:t>
      </w:r>
      <w:r w:rsidR="00717E21" w:rsidRPr="00630AA3">
        <w:rPr>
          <w:lang w:eastAsia="ar-SA"/>
        </w:rPr>
        <w:t>ne peut s</w:t>
      </w:r>
      <w:r w:rsidR="007100D3" w:rsidRPr="00630AA3">
        <w:rPr>
          <w:lang w:eastAsia="ar-SA"/>
        </w:rPr>
        <w:t>'</w:t>
      </w:r>
      <w:r w:rsidR="00717E21" w:rsidRPr="00630AA3">
        <w:rPr>
          <w:lang w:eastAsia="ar-SA"/>
        </w:rPr>
        <w:t>appliquer qu</w:t>
      </w:r>
      <w:r w:rsidR="007100D3" w:rsidRPr="00630AA3">
        <w:rPr>
          <w:lang w:eastAsia="ar-SA"/>
        </w:rPr>
        <w:t>'</w:t>
      </w:r>
      <w:r w:rsidR="00717E21" w:rsidRPr="00630AA3">
        <w:rPr>
          <w:lang w:eastAsia="ar-SA"/>
        </w:rPr>
        <w:t>aux réseaux à satellite ou aux systèmes à satellites militaires</w:t>
      </w:r>
      <w:r w:rsidR="004859E5" w:rsidRPr="00630AA3">
        <w:rPr>
          <w:lang w:eastAsia="ar-SA"/>
        </w:rPr>
        <w:t>,</w:t>
      </w:r>
    </w:p>
    <w:p w14:paraId="3D53CFED" w14:textId="2BEC6BFF" w:rsidR="006248B5" w:rsidRPr="00630AA3" w:rsidRDefault="006248B5" w:rsidP="00747A74">
      <w:pPr>
        <w:pStyle w:val="enumlev1"/>
        <w:rPr>
          <w:lang w:eastAsia="ar-SA"/>
        </w:rPr>
      </w:pPr>
      <w:r w:rsidRPr="00630AA3">
        <w:rPr>
          <w:lang w:eastAsia="ar-SA"/>
        </w:rPr>
        <w:t>2)</w:t>
      </w:r>
      <w:r w:rsidRPr="00630AA3">
        <w:rPr>
          <w:lang w:eastAsia="ar-SA"/>
        </w:rPr>
        <w:tab/>
      </w:r>
      <w:r w:rsidR="00717E21" w:rsidRPr="00630AA3">
        <w:rPr>
          <w:lang w:eastAsia="ar-SA"/>
        </w:rPr>
        <w:t>l</w:t>
      </w:r>
      <w:r w:rsidR="007100D3" w:rsidRPr="00630AA3">
        <w:rPr>
          <w:lang w:eastAsia="ar-SA"/>
        </w:rPr>
        <w:t>'</w:t>
      </w:r>
      <w:r w:rsidR="00CB44C8" w:rsidRPr="00630AA3">
        <w:rPr>
          <w:lang w:eastAsia="ar-SA"/>
        </w:rPr>
        <w:t xml:space="preserve">article 48 de la Constitution </w:t>
      </w:r>
      <w:r w:rsidR="00717E21" w:rsidRPr="00630AA3">
        <w:rPr>
          <w:lang w:eastAsia="ar-SA"/>
        </w:rPr>
        <w:t xml:space="preserve">doit être expressément invoqué, et ne </w:t>
      </w:r>
      <w:r w:rsidR="00696BBF" w:rsidRPr="00630AA3">
        <w:rPr>
          <w:lang w:eastAsia="ar-SA"/>
        </w:rPr>
        <w:t>peut être</w:t>
      </w:r>
      <w:r w:rsidR="00717E21" w:rsidRPr="00630AA3">
        <w:rPr>
          <w:lang w:eastAsia="ar-SA"/>
        </w:rPr>
        <w:t xml:space="preserve"> admis implicitement</w:t>
      </w:r>
      <w:r w:rsidR="004859E5" w:rsidRPr="00630AA3">
        <w:rPr>
          <w:lang w:eastAsia="ar-SA"/>
        </w:rPr>
        <w:t>,</w:t>
      </w:r>
    </w:p>
    <w:p w14:paraId="535C8B04" w14:textId="4AC8397E" w:rsidR="006248B5" w:rsidRPr="00630AA3" w:rsidRDefault="006248B5" w:rsidP="00747A74">
      <w:pPr>
        <w:pStyle w:val="enumlev1"/>
        <w:rPr>
          <w:lang w:eastAsia="ar-SA"/>
        </w:rPr>
      </w:pPr>
      <w:r w:rsidRPr="00630AA3">
        <w:rPr>
          <w:lang w:eastAsia="ar-SA"/>
        </w:rPr>
        <w:t>3)</w:t>
      </w:r>
      <w:r w:rsidRPr="00630AA3">
        <w:rPr>
          <w:lang w:eastAsia="ar-SA"/>
        </w:rPr>
        <w:tab/>
      </w:r>
      <w:r w:rsidR="00717E21" w:rsidRPr="00630AA3">
        <w:rPr>
          <w:lang w:eastAsia="ar-SA"/>
        </w:rPr>
        <w:t>l</w:t>
      </w:r>
      <w:r w:rsidR="007100D3" w:rsidRPr="00630AA3">
        <w:rPr>
          <w:lang w:eastAsia="ar-SA"/>
        </w:rPr>
        <w:t>'</w:t>
      </w:r>
      <w:r w:rsidR="00CB44C8" w:rsidRPr="00630AA3">
        <w:rPr>
          <w:lang w:eastAsia="ar-SA"/>
        </w:rPr>
        <w:t>article 48 de la Constitution</w:t>
      </w:r>
      <w:r w:rsidR="00717E21" w:rsidRPr="00630AA3">
        <w:rPr>
          <w:lang w:eastAsia="ar-SA"/>
        </w:rPr>
        <w:t xml:space="preserve"> peut être appliqué à tout service</w:t>
      </w:r>
      <w:r w:rsidR="00507214" w:rsidRPr="00630AA3">
        <w:rPr>
          <w:lang w:eastAsia="ar-SA"/>
        </w:rPr>
        <w:t xml:space="preserve"> </w:t>
      </w:r>
      <w:r w:rsidR="00717E21" w:rsidRPr="00630AA3">
        <w:rPr>
          <w:lang w:eastAsia="ar-SA"/>
        </w:rPr>
        <w:t>de radiocommunication par satellite</w:t>
      </w:r>
      <w:r w:rsidR="004859E5" w:rsidRPr="00630AA3">
        <w:rPr>
          <w:lang w:eastAsia="ar-SA"/>
        </w:rPr>
        <w:t>.</w:t>
      </w:r>
    </w:p>
    <w:p w14:paraId="204E0314" w14:textId="7302315E" w:rsidR="006248B5" w:rsidRPr="00630AA3" w:rsidRDefault="00717E21" w:rsidP="00747A74">
      <w:pPr>
        <w:rPr>
          <w:lang w:eastAsia="ar-SA"/>
        </w:rPr>
      </w:pPr>
      <w:r w:rsidRPr="00630AA3">
        <w:rPr>
          <w:lang w:eastAsia="ar-SA"/>
        </w:rPr>
        <w:lastRenderedPageBreak/>
        <w:t>Si le Bureau présente des renseignements fiables selon lesquels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article</w:t>
      </w:r>
      <w:r w:rsidR="00507214" w:rsidRPr="00630AA3">
        <w:rPr>
          <w:lang w:eastAsia="ar-SA"/>
        </w:rPr>
        <w:t xml:space="preserve"> </w:t>
      </w:r>
      <w:r w:rsidR="00CB44C8" w:rsidRPr="00630AA3">
        <w:rPr>
          <w:lang w:eastAsia="ar-SA"/>
        </w:rPr>
        <w:t xml:space="preserve">48 de la Constitution </w:t>
      </w:r>
      <w:r w:rsidR="00042C59" w:rsidRPr="00630AA3">
        <w:rPr>
          <w:lang w:eastAsia="ar-SA"/>
        </w:rPr>
        <w:t>n</w:t>
      </w:r>
      <w:r w:rsidR="007100D3" w:rsidRPr="00630AA3">
        <w:rPr>
          <w:lang w:eastAsia="ar-SA"/>
        </w:rPr>
        <w:t>'</w:t>
      </w:r>
      <w:r w:rsidR="00042C59" w:rsidRPr="00630AA3">
        <w:rPr>
          <w:lang w:eastAsia="ar-SA"/>
        </w:rPr>
        <w:t xml:space="preserve">est </w:t>
      </w:r>
      <w:r w:rsidRPr="00630AA3">
        <w:rPr>
          <w:lang w:eastAsia="ar-SA"/>
        </w:rPr>
        <w:t>pas appliqu</w:t>
      </w:r>
      <w:r w:rsidR="00042C59" w:rsidRPr="00630AA3">
        <w:rPr>
          <w:lang w:eastAsia="ar-SA"/>
        </w:rPr>
        <w:t>é</w:t>
      </w:r>
      <w:r w:rsidRPr="00630AA3">
        <w:rPr>
          <w:lang w:eastAsia="ar-SA"/>
        </w:rPr>
        <w:t xml:space="preserve"> correctement, le Comité devrait être en mesure de rendre un avis quant à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application dudit article. Toutefois, étant donné que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article 48 de la Constitution peut être appliqué à tout service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 xml:space="preserve">de radiocommunication par satellite et que depuis la </w:t>
      </w:r>
      <w:r w:rsidR="00CB44C8" w:rsidRPr="00630AA3">
        <w:rPr>
          <w:lang w:eastAsia="ar-SA"/>
        </w:rPr>
        <w:t>CMR</w:t>
      </w:r>
      <w:r w:rsidR="006248B5" w:rsidRPr="00630AA3">
        <w:rPr>
          <w:lang w:eastAsia="ar-SA"/>
        </w:rPr>
        <w:t xml:space="preserve">-15, </w:t>
      </w:r>
      <w:r w:rsidRPr="00630AA3">
        <w:rPr>
          <w:lang w:eastAsia="ar-SA"/>
        </w:rPr>
        <w:t>des administrations invoquent expressément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article 48 de la Constitution</w:t>
      </w:r>
      <w:r w:rsidR="00763DA1" w:rsidRPr="00630AA3">
        <w:rPr>
          <w:lang w:eastAsia="ar-SA"/>
        </w:rPr>
        <w:t>,</w:t>
      </w:r>
      <w:r w:rsidR="006248B5" w:rsidRPr="00630AA3">
        <w:rPr>
          <w:lang w:eastAsia="ar-SA"/>
        </w:rPr>
        <w:t xml:space="preserve"> </w:t>
      </w:r>
      <w:r w:rsidRPr="00630AA3">
        <w:rPr>
          <w:lang w:eastAsia="ar-SA"/>
        </w:rPr>
        <w:t xml:space="preserve">les seuls renseignements qui peuvent être </w:t>
      </w:r>
      <w:r w:rsidR="00E764AF" w:rsidRPr="00630AA3">
        <w:rPr>
          <w:lang w:eastAsia="ar-SA"/>
        </w:rPr>
        <w:t>ré</w:t>
      </w:r>
      <w:r w:rsidRPr="00630AA3">
        <w:rPr>
          <w:lang w:eastAsia="ar-SA"/>
        </w:rPr>
        <w:t>examinés concernent la question de savoir si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assignation de fréquence relative au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réseau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à satellite ou au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système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à satellites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est destinée à un usage militaire. Ni le Bureau, ni le Comité ne peuvent contester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invocation de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article 48 de la Constitution par une administration,</w:t>
      </w:r>
      <w:r w:rsidR="00507214" w:rsidRPr="00630AA3">
        <w:rPr>
          <w:lang w:eastAsia="ar-SA"/>
        </w:rPr>
        <w:t xml:space="preserve"> </w:t>
      </w:r>
      <w:r w:rsidR="00CB2591" w:rsidRPr="00630AA3">
        <w:rPr>
          <w:lang w:eastAsia="ar-SA"/>
        </w:rPr>
        <w:t>mais si des éléments de preuve établissant de façon convaincante que l</w:t>
      </w:r>
      <w:r w:rsidR="007100D3" w:rsidRPr="00630AA3">
        <w:rPr>
          <w:lang w:eastAsia="ar-SA"/>
        </w:rPr>
        <w:t>'</w:t>
      </w:r>
      <w:r w:rsidR="00CB2591" w:rsidRPr="00630AA3">
        <w:rPr>
          <w:lang w:eastAsia="ar-SA"/>
        </w:rPr>
        <w:t xml:space="preserve">article 48 de la </w:t>
      </w:r>
      <w:r w:rsidR="0038241C" w:rsidRPr="00630AA3">
        <w:rPr>
          <w:lang w:eastAsia="ar-SA"/>
        </w:rPr>
        <w:t>C</w:t>
      </w:r>
      <w:r w:rsidR="00CB2591" w:rsidRPr="00630AA3">
        <w:rPr>
          <w:lang w:eastAsia="ar-SA"/>
        </w:rPr>
        <w:t>onstitution n</w:t>
      </w:r>
      <w:r w:rsidR="007100D3" w:rsidRPr="00630AA3">
        <w:rPr>
          <w:lang w:eastAsia="ar-SA"/>
        </w:rPr>
        <w:t>'</w:t>
      </w:r>
      <w:r w:rsidR="00CB2591" w:rsidRPr="00630AA3">
        <w:rPr>
          <w:lang w:eastAsia="ar-SA"/>
        </w:rPr>
        <w:t xml:space="preserve">a pas été appliqué correctement </w:t>
      </w:r>
      <w:r w:rsidR="00E764AF" w:rsidRPr="00630AA3">
        <w:rPr>
          <w:lang w:eastAsia="ar-SA"/>
        </w:rPr>
        <w:t>lui</w:t>
      </w:r>
      <w:r w:rsidR="00CB2591" w:rsidRPr="00630AA3">
        <w:rPr>
          <w:lang w:eastAsia="ar-SA"/>
        </w:rPr>
        <w:t xml:space="preserve"> sont fournis, le Comité devrait être en mesure de rendre un avis quant à l</w:t>
      </w:r>
      <w:r w:rsidR="007100D3" w:rsidRPr="00630AA3">
        <w:rPr>
          <w:lang w:eastAsia="ar-SA"/>
        </w:rPr>
        <w:t>'</w:t>
      </w:r>
      <w:r w:rsidR="00CB2591" w:rsidRPr="00630AA3">
        <w:rPr>
          <w:lang w:eastAsia="ar-SA"/>
        </w:rPr>
        <w:t>application incorrecte dudit article</w:t>
      </w:r>
      <w:r w:rsidR="00763DA1" w:rsidRPr="00630AA3">
        <w:rPr>
          <w:lang w:eastAsia="ar-SA"/>
        </w:rPr>
        <w:t>.</w:t>
      </w:r>
      <w:r w:rsidR="00CB2591" w:rsidRPr="00630AA3">
        <w:rPr>
          <w:lang w:eastAsia="ar-SA"/>
        </w:rPr>
        <w:t xml:space="preserve"> Cet avis serait rendu pour information seulement</w:t>
      </w:r>
      <w:r w:rsidR="006248B5" w:rsidRPr="00630AA3">
        <w:rPr>
          <w:lang w:eastAsia="ar-SA"/>
        </w:rPr>
        <w:t>.</w:t>
      </w:r>
    </w:p>
    <w:p w14:paraId="6BD8DBF2" w14:textId="2A14D4C9" w:rsidR="006248B5" w:rsidRPr="00630AA3" w:rsidRDefault="005650A7" w:rsidP="00747A74">
      <w:pPr>
        <w:rPr>
          <w:lang w:eastAsia="ar-SA"/>
        </w:rPr>
      </w:pPr>
      <w:r w:rsidRPr="00630AA3">
        <w:rPr>
          <w:lang w:eastAsia="ar-SA"/>
        </w:rPr>
        <w:t>On pense généralement à tort que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article 48</w:t>
      </w:r>
      <w:r w:rsidR="00507214" w:rsidRPr="00630AA3">
        <w:rPr>
          <w:lang w:eastAsia="ar-SA"/>
        </w:rPr>
        <w:t xml:space="preserve"> </w:t>
      </w:r>
      <w:r w:rsidR="00CB44C8" w:rsidRPr="00630AA3">
        <w:rPr>
          <w:lang w:eastAsia="ar-SA"/>
        </w:rPr>
        <w:t>de la Constitution</w:t>
      </w:r>
      <w:r w:rsidRPr="00630AA3">
        <w:rPr>
          <w:lang w:eastAsia="ar-SA"/>
        </w:rPr>
        <w:t xml:space="preserve"> s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applique au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satellite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associé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à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assignation de fréquence exploitée au titre d</w:t>
      </w:r>
      <w:r w:rsidR="00493996" w:rsidRPr="00630AA3">
        <w:rPr>
          <w:lang w:eastAsia="ar-SA"/>
        </w:rPr>
        <w:t xml:space="preserve">udit </w:t>
      </w:r>
      <w:r w:rsidRPr="00630AA3">
        <w:rPr>
          <w:lang w:eastAsia="ar-SA"/>
        </w:rPr>
        <w:t>article.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Une administration n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invoque pas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l</w:t>
      </w:r>
      <w:r w:rsidR="007100D3" w:rsidRPr="00630AA3">
        <w:rPr>
          <w:lang w:eastAsia="ar-SA"/>
        </w:rPr>
        <w:t>'</w:t>
      </w:r>
      <w:r w:rsidR="00CB44C8" w:rsidRPr="00630AA3">
        <w:rPr>
          <w:lang w:eastAsia="ar-SA"/>
        </w:rPr>
        <w:t>article</w:t>
      </w:r>
      <w:r w:rsidR="0038241C" w:rsidRPr="00630AA3">
        <w:rPr>
          <w:lang w:eastAsia="ar-SA"/>
        </w:rPr>
        <w:t> </w:t>
      </w:r>
      <w:r w:rsidR="00CB44C8" w:rsidRPr="00630AA3">
        <w:rPr>
          <w:lang w:eastAsia="ar-SA"/>
        </w:rPr>
        <w:t>48 de la Constitution</w:t>
      </w:r>
      <w:r w:rsidRPr="00630AA3">
        <w:rPr>
          <w:lang w:eastAsia="ar-SA"/>
        </w:rPr>
        <w:t xml:space="preserve"> concernant un satellite physique, mais plutôt pour les assignations de fréquence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actuellement exploitées à des fins militaires.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 xml:space="preserve">Certaines capacités </w:t>
      </w:r>
      <w:r w:rsidR="002F3CFA" w:rsidRPr="00630AA3">
        <w:rPr>
          <w:lang w:eastAsia="ar-SA"/>
        </w:rPr>
        <w:t xml:space="preserve">à bord </w:t>
      </w:r>
      <w:r w:rsidRPr="00630AA3">
        <w:rPr>
          <w:lang w:eastAsia="ar-SA"/>
        </w:rPr>
        <w:t>d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un satellite peuvent être prises en compte au titre de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l</w:t>
      </w:r>
      <w:r w:rsidR="007100D3" w:rsidRPr="00630AA3">
        <w:rPr>
          <w:lang w:eastAsia="ar-SA"/>
        </w:rPr>
        <w:t>'</w:t>
      </w:r>
      <w:r w:rsidR="00CB44C8" w:rsidRPr="00630AA3">
        <w:rPr>
          <w:lang w:eastAsia="ar-SA"/>
        </w:rPr>
        <w:t>article 48 de la Constitution</w:t>
      </w:r>
      <w:r w:rsidRPr="00630AA3">
        <w:rPr>
          <w:lang w:eastAsia="ar-SA"/>
        </w:rPr>
        <w:t>, tandis que d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 xml:space="preserve">autres capacités </w:t>
      </w:r>
      <w:r w:rsidR="002F3CFA" w:rsidRPr="00630AA3">
        <w:rPr>
          <w:lang w:eastAsia="ar-SA"/>
        </w:rPr>
        <w:t xml:space="preserve">à bord </w:t>
      </w:r>
      <w:r w:rsidRPr="00630AA3">
        <w:rPr>
          <w:lang w:eastAsia="ar-SA"/>
        </w:rPr>
        <w:t>du même satellite ne sont pas visées par</w:t>
      </w:r>
      <w:r w:rsidR="00CB44C8" w:rsidRPr="00630AA3">
        <w:rPr>
          <w:lang w:eastAsia="ar-SA"/>
        </w:rPr>
        <w:t xml:space="preserve"> </w:t>
      </w:r>
      <w:r w:rsidRPr="00630AA3">
        <w:rPr>
          <w:lang w:eastAsia="ar-SA"/>
        </w:rPr>
        <w:t>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article 48 de la Constitution</w:t>
      </w:r>
      <w:r w:rsidR="00763DA1" w:rsidRPr="00630AA3">
        <w:rPr>
          <w:lang w:eastAsia="ar-SA"/>
        </w:rPr>
        <w:t>.</w:t>
      </w:r>
      <w:r w:rsidRPr="00630AA3">
        <w:rPr>
          <w:lang w:eastAsia="ar-SA"/>
        </w:rPr>
        <w:t xml:space="preserve"> On pourrait citer comme exemple une charge utile militaire embarquée, exploitée au titre de l</w:t>
      </w:r>
      <w:r w:rsidR="007100D3" w:rsidRPr="00630AA3">
        <w:rPr>
          <w:lang w:eastAsia="ar-SA"/>
        </w:rPr>
        <w:t>'</w:t>
      </w:r>
      <w:r w:rsidR="00CB44C8" w:rsidRPr="00630AA3">
        <w:rPr>
          <w:lang w:eastAsia="ar-SA"/>
        </w:rPr>
        <w:t>article 48 de la Constitution</w:t>
      </w:r>
      <w:r w:rsidRPr="00630AA3">
        <w:rPr>
          <w:lang w:eastAsia="ar-SA"/>
        </w:rPr>
        <w:t xml:space="preserve"> </w:t>
      </w:r>
      <w:r w:rsidR="008B12B7" w:rsidRPr="00630AA3">
        <w:rPr>
          <w:lang w:eastAsia="ar-SA"/>
        </w:rPr>
        <w:t>à bord d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un satellite commercial. En pareil cas, la charge utile militaire fonctionnerait conformément à une fiche de notification de réseau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à satellite de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UIT différente de la charge utile commerciale, et le Bureau pourrait toujours demander des renseignements sur d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>autres assignations de fréquence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notifiées non visées par l</w:t>
      </w:r>
      <w:r w:rsidR="007100D3" w:rsidRPr="00630AA3">
        <w:rPr>
          <w:lang w:eastAsia="ar-SA"/>
        </w:rPr>
        <w:t>'</w:t>
      </w:r>
      <w:r w:rsidRPr="00630AA3">
        <w:rPr>
          <w:lang w:eastAsia="ar-SA"/>
        </w:rPr>
        <w:t xml:space="preserve">article 48 de la Constitution </w:t>
      </w:r>
      <w:r w:rsidRPr="00630AA3">
        <w:rPr>
          <w:color w:val="000000"/>
        </w:rPr>
        <w:t>qui sont présentes</w:t>
      </w:r>
      <w:r w:rsidR="00507214" w:rsidRPr="00630AA3">
        <w:rPr>
          <w:lang w:eastAsia="ar-SA"/>
        </w:rPr>
        <w:t xml:space="preserve"> </w:t>
      </w:r>
      <w:r w:rsidRPr="00630AA3">
        <w:rPr>
          <w:lang w:eastAsia="ar-SA"/>
        </w:rPr>
        <w:t>à bord du ou des satellites</w:t>
      </w:r>
      <w:r w:rsidR="004859E5" w:rsidRPr="00630AA3">
        <w:rPr>
          <w:lang w:eastAsia="ar-SA"/>
        </w:rPr>
        <w:t>.</w:t>
      </w:r>
    </w:p>
    <w:p w14:paraId="797AD044" w14:textId="10ACB2B3" w:rsidR="006248B5" w:rsidRPr="00630AA3" w:rsidRDefault="005650A7" w:rsidP="00747A74">
      <w:pPr>
        <w:rPr>
          <w:lang w:eastAsia="ar-SA"/>
        </w:rPr>
      </w:pPr>
      <w:r w:rsidRPr="00630AA3">
        <w:rPr>
          <w:lang w:eastAsia="ar-SA"/>
        </w:rPr>
        <w:t xml:space="preserve">On trouvera ci-dessous plusieurs </w:t>
      </w:r>
      <w:r w:rsidR="00C4720D" w:rsidRPr="00630AA3">
        <w:rPr>
          <w:lang w:eastAsia="ar-SA"/>
        </w:rPr>
        <w:t>idées possibles pour gérer l</w:t>
      </w:r>
      <w:r w:rsidR="007100D3" w:rsidRPr="00630AA3">
        <w:rPr>
          <w:lang w:eastAsia="ar-SA"/>
        </w:rPr>
        <w:t>'</w:t>
      </w:r>
      <w:r w:rsidR="00C4720D" w:rsidRPr="00630AA3">
        <w:rPr>
          <w:lang w:eastAsia="ar-SA"/>
        </w:rPr>
        <w:t>utilisation de</w:t>
      </w:r>
      <w:r w:rsidR="00507214" w:rsidRPr="00630AA3">
        <w:rPr>
          <w:lang w:eastAsia="ar-SA"/>
        </w:rPr>
        <w:t xml:space="preserve"> </w:t>
      </w:r>
      <w:r w:rsidR="00C4720D" w:rsidRPr="00630AA3">
        <w:rPr>
          <w:lang w:eastAsia="ar-SA"/>
        </w:rPr>
        <w:t>l</w:t>
      </w:r>
      <w:r w:rsidR="007100D3" w:rsidRPr="00630AA3">
        <w:rPr>
          <w:lang w:eastAsia="ar-SA"/>
        </w:rPr>
        <w:t>'</w:t>
      </w:r>
      <w:r w:rsidR="00CB44C8" w:rsidRPr="00630AA3">
        <w:rPr>
          <w:lang w:eastAsia="ar-SA"/>
        </w:rPr>
        <w:t>article 48 de la Constitution</w:t>
      </w:r>
      <w:r w:rsidR="00C4720D" w:rsidRPr="00630AA3">
        <w:rPr>
          <w:lang w:eastAsia="ar-SA"/>
        </w:rPr>
        <w:t>:</w:t>
      </w:r>
    </w:p>
    <w:p w14:paraId="7794BC8E" w14:textId="368E0FFB" w:rsidR="006248B5" w:rsidRPr="00630AA3" w:rsidRDefault="006248B5" w:rsidP="00747A74">
      <w:pPr>
        <w:pStyle w:val="enumlev1"/>
      </w:pPr>
      <w:r w:rsidRPr="00630AA3">
        <w:t>–</w:t>
      </w:r>
      <w:r w:rsidRPr="00630AA3">
        <w:tab/>
      </w:r>
      <w:r w:rsidR="005650A7" w:rsidRPr="00630AA3">
        <w:t xml:space="preserve">Pas de </w:t>
      </w:r>
      <w:r w:rsidR="005650A7" w:rsidRPr="00630AA3">
        <w:rPr>
          <w:color w:val="000000"/>
        </w:rPr>
        <w:t xml:space="preserve">fiches de notification destinées à un </w:t>
      </w:r>
      <w:r w:rsidR="00C4720D" w:rsidRPr="00630AA3">
        <w:rPr>
          <w:color w:val="000000"/>
        </w:rPr>
        <w:t>«</w:t>
      </w:r>
      <w:r w:rsidR="005650A7" w:rsidRPr="00630AA3">
        <w:rPr>
          <w:color w:val="000000"/>
        </w:rPr>
        <w:t>double usage</w:t>
      </w:r>
      <w:r w:rsidR="00C4720D" w:rsidRPr="00630AA3">
        <w:rPr>
          <w:color w:val="000000"/>
        </w:rPr>
        <w:t>».</w:t>
      </w:r>
      <w:r w:rsidR="00507214" w:rsidRPr="00630AA3">
        <w:t xml:space="preserve"> </w:t>
      </w:r>
      <w:r w:rsidR="00C4720D" w:rsidRPr="00630AA3">
        <w:t>Si l</w:t>
      </w:r>
      <w:r w:rsidR="007100D3" w:rsidRPr="00630AA3">
        <w:t>'</w:t>
      </w:r>
      <w:r w:rsidRPr="00630AA3">
        <w:t xml:space="preserve"> </w:t>
      </w:r>
      <w:r w:rsidR="00CB44C8" w:rsidRPr="00630AA3">
        <w:t xml:space="preserve">article 48 de la Constitution </w:t>
      </w:r>
      <w:r w:rsidR="00C4720D" w:rsidRPr="00630AA3">
        <w:t>est invoqué pour une fiche de notification de</w:t>
      </w:r>
      <w:r w:rsidR="00507214" w:rsidRPr="00630AA3">
        <w:t xml:space="preserve"> </w:t>
      </w:r>
      <w:r w:rsidR="00C4720D" w:rsidRPr="00630AA3">
        <w:t>l</w:t>
      </w:r>
      <w:r w:rsidR="007100D3" w:rsidRPr="00630AA3">
        <w:t>'</w:t>
      </w:r>
      <w:r w:rsidR="00C4720D" w:rsidRPr="00630AA3">
        <w:t>UIT concernant un réseau à satellite ou un système à satellites, aucun trafic commercial ne devrait être associé à cette fiche de notification de l</w:t>
      </w:r>
      <w:r w:rsidR="007100D3" w:rsidRPr="00630AA3">
        <w:t>'</w:t>
      </w:r>
      <w:r w:rsidR="00C4720D" w:rsidRPr="00630AA3">
        <w:t>UIT</w:t>
      </w:r>
      <w:r w:rsidR="00763DA1" w:rsidRPr="00630AA3">
        <w:t>.</w:t>
      </w:r>
      <w:r w:rsidR="00C4720D" w:rsidRPr="00630AA3">
        <w:t xml:space="preserve"> En d</w:t>
      </w:r>
      <w:r w:rsidR="007100D3" w:rsidRPr="00630AA3">
        <w:t>'</w:t>
      </w:r>
      <w:r w:rsidR="00C4720D" w:rsidRPr="00630AA3">
        <w:t>autres termes, une fiche de notification de l</w:t>
      </w:r>
      <w:r w:rsidR="007100D3" w:rsidRPr="00630AA3">
        <w:t>'</w:t>
      </w:r>
      <w:r w:rsidR="00C4720D" w:rsidRPr="00630AA3">
        <w:t>UIT visée</w:t>
      </w:r>
      <w:r w:rsidR="00507214" w:rsidRPr="00630AA3">
        <w:t xml:space="preserve"> </w:t>
      </w:r>
      <w:r w:rsidR="00C4720D" w:rsidRPr="00630AA3">
        <w:t>par</w:t>
      </w:r>
      <w:r w:rsidR="00507214" w:rsidRPr="00630AA3">
        <w:t xml:space="preserve"> </w:t>
      </w:r>
      <w:r w:rsidR="00C4720D" w:rsidRPr="00630AA3">
        <w:t>l</w:t>
      </w:r>
      <w:r w:rsidR="007100D3" w:rsidRPr="00630AA3">
        <w:t>'</w:t>
      </w:r>
      <w:r w:rsidR="00CB44C8" w:rsidRPr="00630AA3">
        <w:t>article 48 de la Constitution</w:t>
      </w:r>
      <w:r w:rsidR="00C4720D" w:rsidRPr="00630AA3">
        <w:t xml:space="preserve"> devrait constituer une fiche de notification distincte de l</w:t>
      </w:r>
      <w:r w:rsidR="007100D3" w:rsidRPr="00630AA3">
        <w:t>'</w:t>
      </w:r>
      <w:r w:rsidR="00C4720D" w:rsidRPr="00630AA3">
        <w:t>UIT, et non pas une fiche de notification précédente de l</w:t>
      </w:r>
      <w:r w:rsidR="007100D3" w:rsidRPr="00630AA3">
        <w:t>'</w:t>
      </w:r>
      <w:r w:rsidR="00C4720D" w:rsidRPr="00630AA3">
        <w:t>UIT utilisée à des fins autres que militaires</w:t>
      </w:r>
      <w:r w:rsidRPr="00630AA3">
        <w:t>.</w:t>
      </w:r>
    </w:p>
    <w:p w14:paraId="20129D88" w14:textId="1FC3B2EE" w:rsidR="006248B5" w:rsidRPr="00630AA3" w:rsidRDefault="006248B5" w:rsidP="00747A74">
      <w:pPr>
        <w:pStyle w:val="enumlev1"/>
      </w:pPr>
      <w:r w:rsidRPr="00630AA3">
        <w:t>–</w:t>
      </w:r>
      <w:r w:rsidRPr="00630AA3">
        <w:tab/>
      </w:r>
      <w:r w:rsidR="00C4720D" w:rsidRPr="00630AA3">
        <w:t>D</w:t>
      </w:r>
      <w:r w:rsidR="007100D3" w:rsidRPr="00630AA3">
        <w:t>'</w:t>
      </w:r>
      <w:r w:rsidR="00C4720D" w:rsidRPr="00630AA3">
        <w:t>une manière générale, une fiche de notification de</w:t>
      </w:r>
      <w:r w:rsidR="00507214" w:rsidRPr="00630AA3">
        <w:t xml:space="preserve"> </w:t>
      </w:r>
      <w:r w:rsidR="00C4720D" w:rsidRPr="00630AA3">
        <w:t>l</w:t>
      </w:r>
      <w:r w:rsidR="007100D3" w:rsidRPr="00630AA3">
        <w:t>'</w:t>
      </w:r>
      <w:r w:rsidR="00C4720D" w:rsidRPr="00630AA3">
        <w:t>UIT concernant un réseau à satellite ou un système à satellites pour lequel l</w:t>
      </w:r>
      <w:r w:rsidR="007100D3" w:rsidRPr="00630AA3">
        <w:t>'</w:t>
      </w:r>
      <w:r w:rsidR="00C4720D" w:rsidRPr="00630AA3">
        <w:t>article 48 de la Constitution a été invoqué ne devrait pas pouvoir devenir ultérieurement</w:t>
      </w:r>
      <w:r w:rsidR="00507214" w:rsidRPr="00630AA3">
        <w:t xml:space="preserve"> </w:t>
      </w:r>
      <w:r w:rsidR="00C4720D" w:rsidRPr="00630AA3">
        <w:t>une fiche de notification ne relevant pas de l</w:t>
      </w:r>
      <w:r w:rsidR="007100D3" w:rsidRPr="00630AA3">
        <w:t>'</w:t>
      </w:r>
      <w:r w:rsidR="00C4720D" w:rsidRPr="00630AA3">
        <w:t>article 48 de la Constitution</w:t>
      </w:r>
      <w:r w:rsidR="00763DA1" w:rsidRPr="00630AA3">
        <w:t>.</w:t>
      </w:r>
      <w:r w:rsidR="00C4720D" w:rsidRPr="00630AA3">
        <w:t xml:space="preserve"> Aux États-Unis, la législation autorise le Président </w:t>
      </w:r>
      <w:r w:rsidR="00361392" w:rsidRPr="00630AA3">
        <w:t>à exploiter en temps de guerre des satellites commerciaux américains dans l</w:t>
      </w:r>
      <w:r w:rsidR="007100D3" w:rsidRPr="00630AA3">
        <w:t>'</w:t>
      </w:r>
      <w:r w:rsidR="00361392" w:rsidRPr="00630AA3">
        <w:t>espace. Par la suite, ces réseaux sont à nouveau placés sous contrôle civil (commercial).</w:t>
      </w:r>
    </w:p>
    <w:p w14:paraId="05322D52" w14:textId="28146A95" w:rsidR="006248B5" w:rsidRPr="00630AA3" w:rsidRDefault="006248B5" w:rsidP="00747A74">
      <w:pPr>
        <w:pStyle w:val="enumlev1"/>
      </w:pPr>
      <w:r w:rsidRPr="00630AA3">
        <w:t>–</w:t>
      </w:r>
      <w:r w:rsidRPr="00630AA3">
        <w:tab/>
      </w:r>
      <w:r w:rsidR="00361392" w:rsidRPr="00630AA3">
        <w:t>D</w:t>
      </w:r>
      <w:r w:rsidR="007100D3" w:rsidRPr="00630AA3">
        <w:t>'</w:t>
      </w:r>
      <w:r w:rsidR="00361392" w:rsidRPr="00630AA3">
        <w:t>une manière générale,</w:t>
      </w:r>
      <w:r w:rsidR="00507214" w:rsidRPr="00630AA3">
        <w:t xml:space="preserve"> </w:t>
      </w:r>
      <w:r w:rsidR="00361392" w:rsidRPr="00630AA3">
        <w:t>l</w:t>
      </w:r>
      <w:r w:rsidR="007100D3" w:rsidRPr="00630AA3">
        <w:t>'</w:t>
      </w:r>
      <w:r w:rsidR="00CB44C8" w:rsidRPr="00630AA3">
        <w:t>article 48 de la Constitution</w:t>
      </w:r>
      <w:r w:rsidR="00361392" w:rsidRPr="00630AA3">
        <w:t xml:space="preserve"> doit être invoqué</w:t>
      </w:r>
      <w:r w:rsidR="00507214" w:rsidRPr="00630AA3">
        <w:t xml:space="preserve"> </w:t>
      </w:r>
      <w:r w:rsidR="00361392" w:rsidRPr="00630AA3">
        <w:t>avant la fin du délai réglementaire de sept ans. En ce qui concerne les États-Unis,</w:t>
      </w:r>
      <w:r w:rsidRPr="00630AA3">
        <w:t xml:space="preserve"> </w:t>
      </w:r>
      <w:r w:rsidR="00361392" w:rsidRPr="00630AA3">
        <w:t>l</w:t>
      </w:r>
      <w:r w:rsidR="007100D3" w:rsidRPr="00630AA3">
        <w:t>'</w:t>
      </w:r>
      <w:r w:rsidR="00CB44C8" w:rsidRPr="00630AA3">
        <w:t xml:space="preserve">article 48 de la Constitution </w:t>
      </w:r>
      <w:r w:rsidR="00361392" w:rsidRPr="00630AA3">
        <w:t>est habituellement invoqué au stade de la notification. Il peut y avoir des exceptions lorsqu</w:t>
      </w:r>
      <w:r w:rsidR="007100D3" w:rsidRPr="00630AA3">
        <w:t>'</w:t>
      </w:r>
      <w:r w:rsidR="00361392" w:rsidRPr="00630AA3">
        <w:t>une fiche de notification concernant un satellite commercial est utilisée pour des communications militaires.</w:t>
      </w:r>
    </w:p>
    <w:p w14:paraId="71015E21" w14:textId="739D427E" w:rsidR="006248B5" w:rsidRPr="00630AA3" w:rsidRDefault="006248B5" w:rsidP="00747A74">
      <w:pPr>
        <w:pStyle w:val="enumlev1"/>
      </w:pPr>
      <w:r w:rsidRPr="00630AA3">
        <w:t>–</w:t>
      </w:r>
      <w:r w:rsidRPr="00630AA3">
        <w:tab/>
      </w:r>
      <w:r w:rsidR="00361392" w:rsidRPr="00630AA3">
        <w:t>L</w:t>
      </w:r>
      <w:r w:rsidR="007100D3" w:rsidRPr="00630AA3">
        <w:t>'</w:t>
      </w:r>
      <w:r w:rsidR="00CB44C8" w:rsidRPr="00630AA3">
        <w:t>UIT</w:t>
      </w:r>
      <w:r w:rsidRPr="00630AA3">
        <w:t xml:space="preserve"> </w:t>
      </w:r>
      <w:r w:rsidR="00361392" w:rsidRPr="00630AA3">
        <w:t>devrait publier une liste des fiches de notification de réseaux à satellite ou de systèmes à satellites visés par l</w:t>
      </w:r>
      <w:r w:rsidR="007100D3" w:rsidRPr="00630AA3">
        <w:t>'</w:t>
      </w:r>
      <w:r w:rsidR="00CB44C8" w:rsidRPr="00630AA3">
        <w:t xml:space="preserve">article 48 de la Constitution </w:t>
      </w:r>
      <w:r w:rsidR="00361392" w:rsidRPr="00630AA3">
        <w:t>dans un souci de transparence.</w:t>
      </w:r>
    </w:p>
    <w:p w14:paraId="4ED43089" w14:textId="77777777" w:rsidR="004859E5" w:rsidRPr="00630AA3" w:rsidRDefault="004859E5">
      <w:pPr>
        <w:jc w:val="center"/>
      </w:pPr>
      <w:r w:rsidRPr="00630AA3">
        <w:t>______________</w:t>
      </w:r>
    </w:p>
    <w:sectPr w:rsidR="004859E5" w:rsidRPr="00630A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85DBA" w14:textId="77777777" w:rsidR="00C4720D" w:rsidRDefault="00C4720D">
      <w:r>
        <w:separator/>
      </w:r>
    </w:p>
  </w:endnote>
  <w:endnote w:type="continuationSeparator" w:id="0">
    <w:p w14:paraId="26C5FBA9" w14:textId="77777777" w:rsidR="00C4720D" w:rsidRDefault="00C4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BA18" w14:textId="33698FA5" w:rsidR="00C4720D" w:rsidRDefault="00C4720D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62F4A">
      <w:rPr>
        <w:noProof/>
        <w:lang w:val="en-US"/>
      </w:rPr>
      <w:t>P:\FRA\ITU-R\CONF-R\CMR19\000\010ADD23F.docx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2F4A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2F4A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27EE" w14:textId="082EA2CF" w:rsidR="00C4720D" w:rsidRDefault="00D34462" w:rsidP="00507214">
    <w:pPr>
      <w:pStyle w:val="Footer"/>
      <w:rPr>
        <w:lang w:val="en-US"/>
      </w:rPr>
    </w:pPr>
    <w:r>
      <w:fldChar w:fldCharType="begin"/>
    </w:r>
    <w:r w:rsidRPr="0015262C">
      <w:rPr>
        <w:lang w:val="en-GB"/>
      </w:rPr>
      <w:instrText xml:space="preserve"> FILENAME \p  \* MERGEFORMAT </w:instrText>
    </w:r>
    <w:r>
      <w:fldChar w:fldCharType="separate"/>
    </w:r>
    <w:r w:rsidR="00062F4A">
      <w:rPr>
        <w:lang w:val="en-GB"/>
      </w:rPr>
      <w:t>P:\FRA\ITU-R\CONF-R\CMR19\000\010ADD23F.docx</w:t>
    </w:r>
    <w:r>
      <w:fldChar w:fldCharType="end"/>
    </w:r>
    <w:r w:rsidR="00507214" w:rsidRPr="0015262C">
      <w:rPr>
        <w:lang w:val="en-GB"/>
      </w:rPr>
      <w:t xml:space="preserve"> (462108)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BB99" w14:textId="2DC99CF4" w:rsidR="00507214" w:rsidRDefault="00062F4A" w:rsidP="00507214">
    <w:pPr>
      <w:pStyle w:val="Footer"/>
      <w:rPr>
        <w:lang w:val="en-US"/>
      </w:rPr>
    </w:pPr>
    <w:r>
      <w:fldChar w:fldCharType="begin"/>
    </w:r>
    <w:r w:rsidRPr="0015262C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P:\FRA\ITU-R\CONF-R\CMR19\000\010ADD23F.docx</w:t>
    </w:r>
    <w:r>
      <w:fldChar w:fldCharType="end"/>
    </w:r>
    <w:r w:rsidR="00507214" w:rsidRPr="0015262C">
      <w:rPr>
        <w:lang w:val="en-GB"/>
      </w:rPr>
      <w:t xml:space="preserve"> (462108)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6D89E" w14:textId="77777777" w:rsidR="00C4720D" w:rsidRDefault="00C4720D">
      <w:r>
        <w:rPr>
          <w:b/>
        </w:rPr>
        <w:t>_______________</w:t>
      </w:r>
    </w:p>
  </w:footnote>
  <w:footnote w:type="continuationSeparator" w:id="0">
    <w:p w14:paraId="5D1F470A" w14:textId="77777777" w:rsidR="00C4720D" w:rsidRDefault="00C4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42B7" w14:textId="77777777" w:rsidR="00C4720D" w:rsidRDefault="00C4720D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1861A1A" w14:textId="634CA62A" w:rsidR="00C4720D" w:rsidRDefault="00C4720D" w:rsidP="00587A4E">
    <w:pPr>
      <w:pStyle w:val="Header"/>
    </w:pPr>
    <w:r>
      <w:t>CMR19/10(Add.23)-F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4476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5CC6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E8B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14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C8E6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451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6A2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E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20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53"/>
    <w:rsid w:val="00016648"/>
    <w:rsid w:val="0003522F"/>
    <w:rsid w:val="00042C59"/>
    <w:rsid w:val="00062F4A"/>
    <w:rsid w:val="00080E2C"/>
    <w:rsid w:val="000A3CA0"/>
    <w:rsid w:val="000A4755"/>
    <w:rsid w:val="000B2E0C"/>
    <w:rsid w:val="000B3D0C"/>
    <w:rsid w:val="001167B9"/>
    <w:rsid w:val="001267A0"/>
    <w:rsid w:val="00133F1B"/>
    <w:rsid w:val="00134655"/>
    <w:rsid w:val="0015262C"/>
    <w:rsid w:val="00160C64"/>
    <w:rsid w:val="0019352B"/>
    <w:rsid w:val="001960D0"/>
    <w:rsid w:val="00232FD2"/>
    <w:rsid w:val="00285CD2"/>
    <w:rsid w:val="002A4622"/>
    <w:rsid w:val="002B17E5"/>
    <w:rsid w:val="002B3DFB"/>
    <w:rsid w:val="002C0EBF"/>
    <w:rsid w:val="002C5FCD"/>
    <w:rsid w:val="002C72C2"/>
    <w:rsid w:val="002F3CFA"/>
    <w:rsid w:val="00315AFE"/>
    <w:rsid w:val="00327045"/>
    <w:rsid w:val="003606A6"/>
    <w:rsid w:val="00361392"/>
    <w:rsid w:val="003660B7"/>
    <w:rsid w:val="0036650C"/>
    <w:rsid w:val="0038241C"/>
    <w:rsid w:val="0039529D"/>
    <w:rsid w:val="003A583E"/>
    <w:rsid w:val="003B040A"/>
    <w:rsid w:val="003E112B"/>
    <w:rsid w:val="003E5876"/>
    <w:rsid w:val="003E5E3D"/>
    <w:rsid w:val="00416F68"/>
    <w:rsid w:val="00423292"/>
    <w:rsid w:val="00454F86"/>
    <w:rsid w:val="00457428"/>
    <w:rsid w:val="00466211"/>
    <w:rsid w:val="004859E5"/>
    <w:rsid w:val="00493996"/>
    <w:rsid w:val="004D01FC"/>
    <w:rsid w:val="004E28C3"/>
    <w:rsid w:val="004F1F8E"/>
    <w:rsid w:val="00507214"/>
    <w:rsid w:val="00554D96"/>
    <w:rsid w:val="005650A7"/>
    <w:rsid w:val="00584FF8"/>
    <w:rsid w:val="00586CF2"/>
    <w:rsid w:val="00587A4E"/>
    <w:rsid w:val="005C3768"/>
    <w:rsid w:val="005C6C3F"/>
    <w:rsid w:val="005F0634"/>
    <w:rsid w:val="00613635"/>
    <w:rsid w:val="0062093D"/>
    <w:rsid w:val="006248B5"/>
    <w:rsid w:val="00630AA3"/>
    <w:rsid w:val="00637ECF"/>
    <w:rsid w:val="00647B59"/>
    <w:rsid w:val="00650257"/>
    <w:rsid w:val="00654E39"/>
    <w:rsid w:val="00673A06"/>
    <w:rsid w:val="00675D8D"/>
    <w:rsid w:val="00696BBF"/>
    <w:rsid w:val="006B11E6"/>
    <w:rsid w:val="006B2FD1"/>
    <w:rsid w:val="006D4BBE"/>
    <w:rsid w:val="006F73CA"/>
    <w:rsid w:val="00701BAE"/>
    <w:rsid w:val="007100D3"/>
    <w:rsid w:val="00714E81"/>
    <w:rsid w:val="00717E21"/>
    <w:rsid w:val="00730E95"/>
    <w:rsid w:val="00747A74"/>
    <w:rsid w:val="00763DA1"/>
    <w:rsid w:val="00774362"/>
    <w:rsid w:val="0078377D"/>
    <w:rsid w:val="00784087"/>
    <w:rsid w:val="00791E9A"/>
    <w:rsid w:val="007A04E8"/>
    <w:rsid w:val="007C75DA"/>
    <w:rsid w:val="007E713E"/>
    <w:rsid w:val="0083042B"/>
    <w:rsid w:val="0084553F"/>
    <w:rsid w:val="008965B2"/>
    <w:rsid w:val="008A3120"/>
    <w:rsid w:val="008B12B7"/>
    <w:rsid w:val="008C000E"/>
    <w:rsid w:val="008D1F0A"/>
    <w:rsid w:val="008D41BE"/>
    <w:rsid w:val="008D58D3"/>
    <w:rsid w:val="00913C0F"/>
    <w:rsid w:val="00923064"/>
    <w:rsid w:val="00936D25"/>
    <w:rsid w:val="00941EA5"/>
    <w:rsid w:val="00966C16"/>
    <w:rsid w:val="00970FDE"/>
    <w:rsid w:val="009749CC"/>
    <w:rsid w:val="009765A8"/>
    <w:rsid w:val="00980B56"/>
    <w:rsid w:val="0098732F"/>
    <w:rsid w:val="009C7E7C"/>
    <w:rsid w:val="009F21B7"/>
    <w:rsid w:val="00A00473"/>
    <w:rsid w:val="00A03C9B"/>
    <w:rsid w:val="00A44077"/>
    <w:rsid w:val="00A54180"/>
    <w:rsid w:val="00A606C3"/>
    <w:rsid w:val="00A83B09"/>
    <w:rsid w:val="00A84541"/>
    <w:rsid w:val="00AC6872"/>
    <w:rsid w:val="00AE36A0"/>
    <w:rsid w:val="00AE4B17"/>
    <w:rsid w:val="00AF5E53"/>
    <w:rsid w:val="00B00294"/>
    <w:rsid w:val="00B11330"/>
    <w:rsid w:val="00B6313F"/>
    <w:rsid w:val="00B64FD0"/>
    <w:rsid w:val="00BB5AEB"/>
    <w:rsid w:val="00BF26E7"/>
    <w:rsid w:val="00BF55AC"/>
    <w:rsid w:val="00C01C69"/>
    <w:rsid w:val="00C35A47"/>
    <w:rsid w:val="00C4720D"/>
    <w:rsid w:val="00C814B9"/>
    <w:rsid w:val="00CB2591"/>
    <w:rsid w:val="00CB44C8"/>
    <w:rsid w:val="00CD516F"/>
    <w:rsid w:val="00CE2C8D"/>
    <w:rsid w:val="00CE6A1C"/>
    <w:rsid w:val="00D119A7"/>
    <w:rsid w:val="00D25FBA"/>
    <w:rsid w:val="00D34462"/>
    <w:rsid w:val="00D512BC"/>
    <w:rsid w:val="00D66EAC"/>
    <w:rsid w:val="00D730DF"/>
    <w:rsid w:val="00D772F0"/>
    <w:rsid w:val="00D77BDC"/>
    <w:rsid w:val="00D8241C"/>
    <w:rsid w:val="00DC402B"/>
    <w:rsid w:val="00DE0932"/>
    <w:rsid w:val="00E049F1"/>
    <w:rsid w:val="00E34B31"/>
    <w:rsid w:val="00E37A25"/>
    <w:rsid w:val="00E70A31"/>
    <w:rsid w:val="00E764AF"/>
    <w:rsid w:val="00E85474"/>
    <w:rsid w:val="00E977A2"/>
    <w:rsid w:val="00EA3F38"/>
    <w:rsid w:val="00EA5AB6"/>
    <w:rsid w:val="00EC7615"/>
    <w:rsid w:val="00ED14ED"/>
    <w:rsid w:val="00ED16AA"/>
    <w:rsid w:val="00ED2943"/>
    <w:rsid w:val="00EF662E"/>
    <w:rsid w:val="00F148F1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170B52"/>
  <w15:docId w15:val="{570E26E5-7108-481C-84A3-0E696CC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link w:val="enumlev1Char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link w:val="NormalaftertitleChar"/>
    <w:qFormat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customStyle="1" w:styleId="NormalaftertitleChar">
    <w:name w:val="Normal after title Char"/>
    <w:basedOn w:val="DefaultParagraphFont"/>
    <w:link w:val="Normalaftertitle"/>
    <w:qFormat/>
    <w:rsid w:val="00675D8D"/>
    <w:rPr>
      <w:rFonts w:ascii="Times New Roman" w:hAnsi="Times New Roman"/>
      <w:sz w:val="24"/>
      <w:lang w:val="fr-FR" w:eastAsia="en-US"/>
    </w:rPr>
  </w:style>
  <w:style w:type="character" w:customStyle="1" w:styleId="href">
    <w:name w:val="href"/>
    <w:uiPriority w:val="99"/>
    <w:rsid w:val="002C72C2"/>
    <w:rPr>
      <w:rFonts w:cs="Times New Roman"/>
    </w:rPr>
  </w:style>
  <w:style w:type="character" w:customStyle="1" w:styleId="enumlev1Char">
    <w:name w:val="enumlev1 Char"/>
    <w:link w:val="enumlev1"/>
    <w:locked/>
    <w:rsid w:val="00AE4B17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uiPriority w:val="99"/>
    <w:rsid w:val="00AE4B1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64</TotalTime>
  <Pages>1</Pages>
  <Words>2416</Words>
  <Characters>13575</Characters>
  <Application>Microsoft Office Word</Application>
  <DocSecurity>0</DocSecurity>
  <Lines>212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15949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French</dc:creator>
  <cp:keywords/>
  <cp:lastModifiedBy>French1</cp:lastModifiedBy>
  <cp:revision>41</cp:revision>
  <cp:lastPrinted>2019-10-21T11:36:00Z</cp:lastPrinted>
  <dcterms:created xsi:type="dcterms:W3CDTF">2019-10-21T05:44:00Z</dcterms:created>
  <dcterms:modified xsi:type="dcterms:W3CDTF">2019-10-21T11:36:00Z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