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7"/>
        <w:gridCol w:w="3055"/>
      </w:tblGrid>
      <w:tr w:rsidR="00280E04" w:rsidTr="00AC617A">
        <w:trPr>
          <w:cantSplit/>
          <w:trHeight w:val="20"/>
        </w:trPr>
        <w:tc>
          <w:tcPr>
            <w:tcW w:w="6425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AC617A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AC617A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AC617A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2967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AC617A">
        <w:trPr>
          <w:cantSplit/>
          <w:trHeight w:val="20"/>
        </w:trPr>
        <w:tc>
          <w:tcPr>
            <w:tcW w:w="6425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AC617A">
        <w:trPr>
          <w:cantSplit/>
          <w:trHeight w:val="20"/>
        </w:trPr>
        <w:tc>
          <w:tcPr>
            <w:tcW w:w="6425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7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C617A" w:rsidTr="00AC617A">
        <w:trPr>
          <w:cantSplit/>
        </w:trPr>
        <w:tc>
          <w:tcPr>
            <w:tcW w:w="6425" w:type="dxa"/>
          </w:tcPr>
          <w:p w:rsidR="00AC617A" w:rsidRPr="00547575" w:rsidRDefault="00AC617A" w:rsidP="00AC617A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7" w:type="dxa"/>
            <w:vAlign w:val="center"/>
          </w:tcPr>
          <w:p w:rsidR="00AC617A" w:rsidRPr="00547575" w:rsidRDefault="00AC617A" w:rsidP="00AC617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>
              <w:rPr>
                <w:rFonts w:ascii="Verdana" w:hAnsi="Verdana"/>
              </w:rPr>
              <w:t>12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11-A</w:t>
            </w:r>
          </w:p>
        </w:tc>
      </w:tr>
      <w:tr w:rsidR="00AC617A" w:rsidTr="00AC617A">
        <w:trPr>
          <w:cantSplit/>
        </w:trPr>
        <w:tc>
          <w:tcPr>
            <w:tcW w:w="6425" w:type="dxa"/>
          </w:tcPr>
          <w:p w:rsidR="00AC617A" w:rsidRPr="00547575" w:rsidRDefault="00AC617A" w:rsidP="00AC617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2967" w:type="dxa"/>
            <w:vAlign w:val="center"/>
          </w:tcPr>
          <w:p w:rsidR="00AC617A" w:rsidRPr="00547575" w:rsidRDefault="00AC617A" w:rsidP="00AC617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AC617A" w:rsidTr="00AC617A">
        <w:trPr>
          <w:cantSplit/>
        </w:trPr>
        <w:tc>
          <w:tcPr>
            <w:tcW w:w="6425" w:type="dxa"/>
          </w:tcPr>
          <w:p w:rsidR="00AC617A" w:rsidRPr="00547575" w:rsidRDefault="00AC617A" w:rsidP="00AC617A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2967" w:type="dxa"/>
            <w:vAlign w:val="center"/>
          </w:tcPr>
          <w:p w:rsidR="00AC617A" w:rsidRPr="00547575" w:rsidRDefault="00AC617A" w:rsidP="00AC617A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AC617A">
        <w:trPr>
          <w:cantSplit/>
        </w:trPr>
        <w:tc>
          <w:tcPr>
            <w:tcW w:w="939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AC617A" w:rsidTr="00AC617A">
        <w:trPr>
          <w:cantSplit/>
        </w:trPr>
        <w:tc>
          <w:tcPr>
            <w:tcW w:w="9392" w:type="dxa"/>
            <w:gridSpan w:val="2"/>
          </w:tcPr>
          <w:p w:rsidR="00AC617A" w:rsidRPr="00E621A3" w:rsidRDefault="00AC617A" w:rsidP="00AC617A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AC617A" w:rsidTr="00AC617A">
        <w:trPr>
          <w:cantSplit/>
        </w:trPr>
        <w:tc>
          <w:tcPr>
            <w:tcW w:w="9392" w:type="dxa"/>
            <w:gridSpan w:val="2"/>
          </w:tcPr>
          <w:p w:rsidR="00AC617A" w:rsidRPr="00BD6EF3" w:rsidRDefault="00AC617A" w:rsidP="00AC617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AC617A">
        <w:trPr>
          <w:cantSplit/>
        </w:trPr>
        <w:tc>
          <w:tcPr>
            <w:tcW w:w="939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AC617A">
        <w:trPr>
          <w:cantSplit/>
        </w:trPr>
        <w:tc>
          <w:tcPr>
            <w:tcW w:w="9392" w:type="dxa"/>
            <w:gridSpan w:val="2"/>
          </w:tcPr>
          <w:p w:rsidR="00764079" w:rsidRPr="00AC617A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AC617A">
              <w:rPr>
                <w:rFonts w:hint="cs"/>
                <w:rtl/>
              </w:rPr>
              <w:t xml:space="preserve"> </w:t>
            </w:r>
            <w:r w:rsidR="00AC617A">
              <w:rPr>
                <w:lang w:val="en-US"/>
              </w:rPr>
              <w:t>12.1</w:t>
            </w:r>
          </w:p>
        </w:tc>
      </w:tr>
    </w:tbl>
    <w:p w:rsidR="001D597A" w:rsidRPr="008213CF" w:rsidRDefault="00085586" w:rsidP="00AC617A">
      <w:pPr>
        <w:pStyle w:val="Normalaftertitle"/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12.1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إلى أقصى حد ممكن في </w:t>
      </w:r>
      <w:r w:rsidRPr="00723691">
        <w:rPr>
          <w:rFonts w:eastAsia="SimSun"/>
          <w:rtl/>
          <w:lang w:eastAsia="zh-CN"/>
        </w:rPr>
        <w:t xml:space="preserve">نطاقات التردد المنسّقة </w:t>
      </w:r>
      <w:r w:rsidRPr="00723691">
        <w:rPr>
          <w:rFonts w:eastAsia="SimSun" w:hint="cs"/>
          <w:rtl/>
          <w:lang w:eastAsia="zh-CN"/>
        </w:rPr>
        <w:t xml:space="preserve">الممكنة العالمية </w:t>
      </w:r>
      <w:r w:rsidRPr="00723691">
        <w:rPr>
          <w:rFonts w:eastAsia="SimSun"/>
          <w:rtl/>
          <w:lang w:eastAsia="zh-CN"/>
        </w:rPr>
        <w:t xml:space="preserve">أو </w:t>
      </w:r>
      <w:r w:rsidRPr="00723691">
        <w:rPr>
          <w:rFonts w:eastAsia="SimSun" w:hint="cs"/>
          <w:rtl/>
          <w:lang w:eastAsia="zh-CN"/>
        </w:rPr>
        <w:t>الإقليمية لتنفيذ أنظمة النقل الذكية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(ITS)</w:t>
      </w:r>
      <w:r w:rsidRPr="00723691">
        <w:rPr>
          <w:rFonts w:eastAsia="SimSun" w:hint="cs"/>
          <w:rtl/>
          <w:lang w:eastAsia="zh-CN"/>
        </w:rPr>
        <w:t xml:space="preserve"> الآخذة في التطور في إطار التوزيعات الحالية للخدمة المتنقلة، وفقاً </w:t>
      </w:r>
      <w:r w:rsidRPr="008213CF">
        <w:rPr>
          <w:rFonts w:eastAsia="SimSun" w:hint="cs"/>
          <w:rtl/>
          <w:lang w:eastAsia="zh-CN"/>
        </w:rPr>
        <w:t>للقرار</w:t>
      </w:r>
      <w:r w:rsidRPr="008213CF">
        <w:rPr>
          <w:rFonts w:eastAsia="SimSun" w:hint="eastAsia"/>
          <w:rtl/>
          <w:lang w:eastAsia="zh-CN"/>
        </w:rPr>
        <w:t> </w:t>
      </w:r>
      <w:r w:rsidRPr="008213CF">
        <w:rPr>
          <w:rFonts w:eastAsia="SimSun"/>
          <w:b/>
          <w:bCs/>
          <w:lang w:eastAsia="zh-CN" w:bidi="ar-SY"/>
        </w:rPr>
        <w:t>237 (WRC</w:t>
      </w:r>
      <w:r w:rsidRPr="008213CF">
        <w:rPr>
          <w:rFonts w:eastAsia="SimSun"/>
          <w:b/>
          <w:bCs/>
          <w:lang w:eastAsia="zh-CN" w:bidi="ar-SY"/>
        </w:rPr>
        <w:noBreakHyphen/>
        <w:t>15</w:t>
      </w:r>
      <w:proofErr w:type="gramStart"/>
      <w:r w:rsidRPr="008213CF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F16602" w:rsidRDefault="00085586" w:rsidP="00085586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085586" w:rsidRPr="00BC1531" w:rsidRDefault="00BC1531" w:rsidP="004C7BEF">
      <w:pPr>
        <w:rPr>
          <w:rtl/>
        </w:rPr>
      </w:pPr>
      <w:r>
        <w:rPr>
          <w:rFonts w:hint="cs"/>
          <w:rtl/>
        </w:rPr>
        <w:t xml:space="preserve">تستعمل أنظمة النقل الذكية </w:t>
      </w:r>
      <w:r>
        <w:t>(ITS)</w:t>
      </w:r>
      <w:r w:rsidR="00085586" w:rsidRPr="00BC1531">
        <w:rPr>
          <w:rFonts w:hint="cs"/>
          <w:rtl/>
        </w:rPr>
        <w:t xml:space="preserve"> </w:t>
      </w:r>
      <w:r>
        <w:rPr>
          <w:rFonts w:hint="cs"/>
          <w:rtl/>
        </w:rPr>
        <w:t>تكنولوجيات الاتصالات والحوسبة ل</w:t>
      </w:r>
      <w:r w:rsidR="00085586" w:rsidRPr="00BC1531">
        <w:rPr>
          <w:rFonts w:hint="cs"/>
          <w:rtl/>
        </w:rPr>
        <w:t xml:space="preserve">تحسين </w:t>
      </w:r>
      <w:r>
        <w:rPr>
          <w:rFonts w:hint="cs"/>
          <w:rtl/>
        </w:rPr>
        <w:t xml:space="preserve">تطبيقات النقل </w:t>
      </w:r>
      <w:r w:rsidR="00050432">
        <w:rPr>
          <w:rFonts w:hint="cs"/>
          <w:rtl/>
        </w:rPr>
        <w:t>ك</w:t>
      </w:r>
      <w:r>
        <w:rPr>
          <w:rFonts w:hint="cs"/>
          <w:rtl/>
        </w:rPr>
        <w:t xml:space="preserve">القيادة الآمنة وتعزيز الإنتاجية من خلال </w:t>
      </w:r>
      <w:r w:rsidR="001F10CB">
        <w:rPr>
          <w:rFonts w:hint="cs"/>
          <w:rtl/>
        </w:rPr>
        <w:t>إدماج</w:t>
      </w:r>
      <w:r>
        <w:rPr>
          <w:rFonts w:hint="cs"/>
          <w:rtl/>
        </w:rPr>
        <w:t xml:space="preserve"> تكنولوجيات الاتصالات المتقدمة في البنية التحتية للنقل والمركبات </w:t>
      </w:r>
      <w:r w:rsidR="0024402B">
        <w:rPr>
          <w:rFonts w:hint="cs"/>
          <w:rtl/>
        </w:rPr>
        <w:t>و</w:t>
      </w:r>
      <w:r w:rsidR="004C7BEF">
        <w:rPr>
          <w:rFonts w:hint="cs"/>
          <w:rtl/>
        </w:rPr>
        <w:t xml:space="preserve">غيرها من </w:t>
      </w:r>
      <w:r w:rsidR="0024402B">
        <w:rPr>
          <w:rFonts w:hint="cs"/>
          <w:rtl/>
        </w:rPr>
        <w:t xml:space="preserve">معدات </w:t>
      </w:r>
      <w:r w:rsidR="004C7BEF">
        <w:rPr>
          <w:rFonts w:hint="cs"/>
          <w:rtl/>
        </w:rPr>
        <w:t>ال</w:t>
      </w:r>
      <w:r w:rsidR="0024402B">
        <w:rPr>
          <w:rFonts w:hint="cs"/>
          <w:rtl/>
        </w:rPr>
        <w:t>مستعمل النهائي</w:t>
      </w:r>
      <w:r>
        <w:rPr>
          <w:rFonts w:hint="cs"/>
          <w:rtl/>
        </w:rPr>
        <w:t>.</w:t>
      </w:r>
      <w:r w:rsidR="001F10CB">
        <w:rPr>
          <w:rFonts w:hint="cs"/>
          <w:rtl/>
        </w:rPr>
        <w:t xml:space="preserve"> وتشمل أنظمة النقل الذكية مجموعة واسعة من التكنولوجيات السلكية واللاسلكية المتعلقة بالمعلومات والإلكترونيات.</w:t>
      </w:r>
    </w:p>
    <w:p w:rsidR="00085586" w:rsidRDefault="0019700D" w:rsidP="00655234">
      <w:pPr>
        <w:rPr>
          <w:rtl/>
        </w:rPr>
      </w:pPr>
      <w:r>
        <w:rPr>
          <w:rFonts w:hint="cs"/>
          <w:rtl/>
        </w:rPr>
        <w:t xml:space="preserve">وجاء البند </w:t>
      </w:r>
      <w:r>
        <w:t>12.1</w:t>
      </w:r>
      <w:r>
        <w:rPr>
          <w:rFonts w:hint="cs"/>
          <w:rtl/>
        </w:rPr>
        <w:t xml:space="preserve"> من جدول أعمال المؤتمر العالمي للاتصالات الراديوية</w:t>
      </w:r>
      <w:r w:rsidR="00655234">
        <w:rPr>
          <w:rFonts w:hint="cs"/>
          <w:rtl/>
          <w:lang w:bidi="ar-EG"/>
        </w:rPr>
        <w:t xml:space="preserve"> لعام </w:t>
      </w:r>
      <w:r w:rsidR="00655234">
        <w:rPr>
          <w:lang w:bidi="ar-EG"/>
        </w:rPr>
        <w:t>2019</w:t>
      </w:r>
      <w:r>
        <w:rPr>
          <w:rFonts w:hint="cs"/>
          <w:rtl/>
        </w:rPr>
        <w:t xml:space="preserve"> </w:t>
      </w:r>
      <w:r>
        <w:t>(WRC-19)</w:t>
      </w:r>
      <w:r>
        <w:rPr>
          <w:rFonts w:hint="cs"/>
          <w:rtl/>
        </w:rPr>
        <w:t xml:space="preserve"> والقرار </w:t>
      </w:r>
      <w:r w:rsidRPr="00621DEA">
        <w:rPr>
          <w:b/>
          <w:bCs/>
        </w:rPr>
        <w:t>237 (WRC-15)</w:t>
      </w:r>
      <w:r>
        <w:rPr>
          <w:rFonts w:hint="cs"/>
          <w:rtl/>
        </w:rPr>
        <w:t xml:space="preserve"> المرتبط</w:t>
      </w:r>
      <w:r w:rsidR="00655234">
        <w:rPr>
          <w:rFonts w:hint="eastAsia"/>
          <w:rtl/>
        </w:rPr>
        <w:t> </w:t>
      </w:r>
      <w:bookmarkStart w:id="1" w:name="_GoBack"/>
      <w:bookmarkEnd w:id="1"/>
      <w:r>
        <w:rPr>
          <w:rFonts w:hint="cs"/>
          <w:rtl/>
        </w:rPr>
        <w:t xml:space="preserve">به نتيجة جهود تبذلها بعض الإدارات في سبيل تنسيق الطيف من أجل أنظمة النقل الذكية </w:t>
      </w:r>
      <w:r>
        <w:t>(ITS)</w:t>
      </w:r>
      <w:r>
        <w:rPr>
          <w:rFonts w:hint="cs"/>
          <w:rtl/>
        </w:rPr>
        <w:t xml:space="preserve">. ومنذ أن بدأ الاتحاد دراسات بشأن أنظمة النقل الذكية في تسعينيات القرن الماضي، طرأت </w:t>
      </w:r>
      <w:r w:rsidR="00050432">
        <w:rPr>
          <w:rFonts w:hint="cs"/>
          <w:rtl/>
        </w:rPr>
        <w:t>عدة تغييرات</w:t>
      </w:r>
      <w:r>
        <w:rPr>
          <w:rFonts w:hint="cs"/>
          <w:rtl/>
        </w:rPr>
        <w:t xml:space="preserve"> ف</w:t>
      </w:r>
      <w:r w:rsidR="00C243D8">
        <w:rPr>
          <w:rFonts w:hint="cs"/>
          <w:rtl/>
        </w:rPr>
        <w:t xml:space="preserve">ي بيئة أنظمة النقل الذكية، منها </w:t>
      </w:r>
      <w:r w:rsidR="004E0FF8">
        <w:rPr>
          <w:rFonts w:hint="cs"/>
          <w:rtl/>
        </w:rPr>
        <w:t>ال</w:t>
      </w:r>
      <w:r w:rsidR="00C243D8">
        <w:rPr>
          <w:rFonts w:hint="cs"/>
          <w:rtl/>
        </w:rPr>
        <w:t xml:space="preserve">تنفيذ </w:t>
      </w:r>
      <w:r w:rsidR="00621DEA">
        <w:rPr>
          <w:rFonts w:hint="cs"/>
          <w:rtl/>
        </w:rPr>
        <w:t>المخطط له</w:t>
      </w:r>
      <w:r w:rsidR="00C243D8">
        <w:rPr>
          <w:rFonts w:hint="cs"/>
          <w:rtl/>
        </w:rPr>
        <w:t xml:space="preserve"> لتكنولوجيات جديدة واستخدام </w:t>
      </w:r>
      <w:r w:rsidR="0078197B">
        <w:rPr>
          <w:rFonts w:hint="cs"/>
          <w:rtl/>
        </w:rPr>
        <w:t xml:space="preserve">مديات </w:t>
      </w:r>
      <w:r w:rsidR="00621DEA">
        <w:rPr>
          <w:rFonts w:hint="cs"/>
          <w:rtl/>
          <w:lang w:bidi="ar-EG"/>
        </w:rPr>
        <w:t>ال</w:t>
      </w:r>
      <w:r w:rsidR="0078197B">
        <w:rPr>
          <w:rFonts w:hint="cs"/>
          <w:rtl/>
        </w:rPr>
        <w:t xml:space="preserve">تردد </w:t>
      </w:r>
      <w:r w:rsidR="00621DEA">
        <w:rPr>
          <w:rFonts w:hint="cs"/>
          <w:rtl/>
        </w:rPr>
        <w:t>ال</w:t>
      </w:r>
      <w:r w:rsidR="0078197B">
        <w:rPr>
          <w:rFonts w:hint="cs"/>
          <w:rtl/>
        </w:rPr>
        <w:t>مختلفة.</w:t>
      </w:r>
    </w:p>
    <w:p w:rsidR="0078197B" w:rsidRPr="0078197B" w:rsidRDefault="0078197B" w:rsidP="00621DEA">
      <w:pPr>
        <w:pStyle w:val="Headingb"/>
        <w:rPr>
          <w:rtl/>
        </w:rPr>
      </w:pPr>
      <w:r w:rsidRPr="0078197B">
        <w:rPr>
          <w:rFonts w:hint="cs"/>
          <w:rtl/>
        </w:rPr>
        <w:lastRenderedPageBreak/>
        <w:t>مقترحات البلدان الأمريكية</w:t>
      </w:r>
    </w:p>
    <w:p w:rsidR="00ED2EA5" w:rsidRDefault="00085586">
      <w:pPr>
        <w:pStyle w:val="Proposal"/>
      </w:pPr>
      <w:r>
        <w:rPr>
          <w:u w:val="single"/>
        </w:rPr>
        <w:t>NOC</w:t>
      </w:r>
      <w:r>
        <w:tab/>
        <w:t>IAP/11A12/1</w:t>
      </w:r>
    </w:p>
    <w:p w:rsidR="00FA7BB0" w:rsidRDefault="00085586" w:rsidP="00621DEA">
      <w:pPr>
        <w:pStyle w:val="Volumetitle"/>
        <w:keepNext/>
        <w:rPr>
          <w:b/>
          <w:bCs/>
          <w:sz w:val="34"/>
          <w:szCs w:val="44"/>
        </w:rPr>
      </w:pPr>
      <w:bookmarkStart w:id="2" w:name="_Toc331055718"/>
      <w:r w:rsidRPr="004A5F82">
        <w:rPr>
          <w:rFonts w:hint="cs"/>
          <w:b/>
          <w:bCs/>
          <w:sz w:val="34"/>
          <w:szCs w:val="44"/>
          <w:rtl/>
        </w:rPr>
        <w:t>المــواد</w:t>
      </w:r>
      <w:bookmarkEnd w:id="2"/>
    </w:p>
    <w:p w:rsidR="0078197B" w:rsidRPr="00DC1A61" w:rsidRDefault="00085586" w:rsidP="00621DEA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78197B">
        <w:rPr>
          <w:rFonts w:hint="cs"/>
          <w:b w:val="0"/>
          <w:bCs w:val="0"/>
          <w:rtl/>
        </w:rPr>
        <w:t xml:space="preserve">لا يلزم أن يُحدد الطيف بشكل خاص لأنظمة النقل الذكية، ويمكن تحقيق التنسيق على الصعيدين الإقليمي والعالمي من خلال تقارير وتوصيات قطاع الاتصالات الراديوية المطبقة. ولذلك، لا يلزم أي تغيير </w:t>
      </w:r>
      <w:r w:rsidR="00621DEA">
        <w:rPr>
          <w:rFonts w:hint="cs"/>
          <w:b w:val="0"/>
          <w:bCs w:val="0"/>
          <w:rtl/>
        </w:rPr>
        <w:t>في</w:t>
      </w:r>
      <w:r w:rsidR="0078197B">
        <w:rPr>
          <w:rFonts w:hint="cs"/>
          <w:b w:val="0"/>
          <w:bCs w:val="0"/>
          <w:rtl/>
        </w:rPr>
        <w:t xml:space="preserve"> لوائح الراديو أو أي إجراء تنظيمي بموجب هذا البند من جدول الأعمال.</w:t>
      </w:r>
    </w:p>
    <w:p w:rsidR="00ED2EA5" w:rsidRDefault="00085586">
      <w:pPr>
        <w:pStyle w:val="Proposal"/>
      </w:pPr>
      <w:r>
        <w:rPr>
          <w:u w:val="single"/>
        </w:rPr>
        <w:t>NOC</w:t>
      </w:r>
      <w:r>
        <w:tab/>
        <w:t>IAP/11A12/2</w:t>
      </w:r>
    </w:p>
    <w:p w:rsidR="00A3480C" w:rsidRPr="00730EC7" w:rsidRDefault="00085586" w:rsidP="00730EC7">
      <w:pPr>
        <w:pStyle w:val="Volumetitle"/>
        <w:rPr>
          <w:b/>
          <w:bCs/>
          <w:sz w:val="44"/>
          <w:szCs w:val="44"/>
        </w:rPr>
      </w:pPr>
      <w:proofErr w:type="spellStart"/>
      <w:r w:rsidRPr="00730EC7">
        <w:rPr>
          <w:rFonts w:hint="cs"/>
          <w:b/>
          <w:bCs/>
          <w:sz w:val="44"/>
          <w:szCs w:val="44"/>
          <w:rtl/>
        </w:rPr>
        <w:t>التذييـلات</w:t>
      </w:r>
      <w:proofErr w:type="spellEnd"/>
    </w:p>
    <w:p w:rsidR="00515E99" w:rsidRPr="00DC1A61" w:rsidRDefault="00085586" w:rsidP="00621DEA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515E99">
        <w:rPr>
          <w:rFonts w:hint="cs"/>
          <w:b w:val="0"/>
          <w:bCs w:val="0"/>
          <w:rtl/>
        </w:rPr>
        <w:t xml:space="preserve">لا يلزم أن يُحدد الطيف بشكل خاص لأنظمة النقل الذكية، ويمكن تحقيق التنسيق على الصعيدين الإقليمي والعالمي من خلال تقارير وتوصيات قطاع الاتصالات الراديوية المطبقة. ولذلك، لا يلزم أي تغيير </w:t>
      </w:r>
      <w:r w:rsidR="00621DEA">
        <w:rPr>
          <w:rFonts w:hint="cs"/>
          <w:b w:val="0"/>
          <w:bCs w:val="0"/>
          <w:rtl/>
        </w:rPr>
        <w:t>في</w:t>
      </w:r>
      <w:r w:rsidR="00515E99">
        <w:rPr>
          <w:rFonts w:hint="cs"/>
          <w:b w:val="0"/>
          <w:bCs w:val="0"/>
          <w:rtl/>
        </w:rPr>
        <w:t xml:space="preserve"> لوائح الراديو أو أي إجراء تنظيمي بموجب هذا البند من جدول الأعمال.</w:t>
      </w:r>
    </w:p>
    <w:p w:rsidR="00ED2EA5" w:rsidRDefault="00085586">
      <w:pPr>
        <w:pStyle w:val="Proposal"/>
      </w:pPr>
      <w:r>
        <w:t>SUP</w:t>
      </w:r>
      <w:r>
        <w:tab/>
        <w:t>IAP/11A12/3</w:t>
      </w:r>
    </w:p>
    <w:p w:rsidR="00FC1116" w:rsidRPr="004763BC" w:rsidRDefault="00085586" w:rsidP="00FC1116">
      <w:pPr>
        <w:pStyle w:val="ResNo"/>
        <w:rPr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>قرار</w:t>
      </w:r>
      <w:r w:rsidRPr="004763BC">
        <w:rPr>
          <w:rFonts w:hint="cs"/>
          <w:rtl/>
        </w:rPr>
        <w:t xml:space="preserve"> </w:t>
      </w:r>
      <w:r w:rsidRPr="00F82F17">
        <w:rPr>
          <w:rStyle w:val="href"/>
        </w:rPr>
        <w:t>237</w:t>
      </w:r>
      <w:r w:rsidRPr="004763BC">
        <w:t xml:space="preserve"> (WRC</w:t>
      </w:r>
      <w:r w:rsidRPr="004763BC">
        <w:noBreakHyphen/>
        <w:t>15)</w:t>
      </w:r>
    </w:p>
    <w:p w:rsidR="00FC1116" w:rsidRPr="004763BC" w:rsidRDefault="00085586" w:rsidP="00FC1116">
      <w:pPr>
        <w:pStyle w:val="Restitle"/>
        <w:rPr>
          <w:rtl/>
        </w:rPr>
      </w:pPr>
      <w:r w:rsidRPr="004763BC">
        <w:rPr>
          <w:rFonts w:hint="cs"/>
          <w:rtl/>
        </w:rPr>
        <w:t>تطبيقات أنظمة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النقل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الذكية</w:t>
      </w:r>
    </w:p>
    <w:p w:rsidR="00ED2EA5" w:rsidRDefault="00085586" w:rsidP="009B1A6F">
      <w:pPr>
        <w:pStyle w:val="Reasons"/>
        <w:rPr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9B1A6F" w:rsidRPr="000E64AE">
        <w:rPr>
          <w:rFonts w:hint="cs"/>
          <w:b w:val="0"/>
          <w:bCs w:val="0"/>
          <w:rtl/>
          <w:lang w:bidi="ar-EG"/>
        </w:rPr>
        <w:t xml:space="preserve">يمكن </w:t>
      </w:r>
      <w:r w:rsidR="009B1A6F">
        <w:rPr>
          <w:rFonts w:hint="cs"/>
          <w:b w:val="0"/>
          <w:bCs w:val="0"/>
          <w:rtl/>
          <w:lang w:bidi="ar-EG"/>
        </w:rPr>
        <w:t xml:space="preserve">إجراء الدراسات الرامية إلى </w:t>
      </w:r>
      <w:r w:rsidR="008F1329">
        <w:rPr>
          <w:rFonts w:hint="cs"/>
          <w:b w:val="0"/>
          <w:bCs w:val="0"/>
          <w:rtl/>
          <w:lang w:bidi="ar-EG"/>
        </w:rPr>
        <w:t xml:space="preserve">تحقيق </w:t>
      </w:r>
      <w:r w:rsidR="009B1A6F">
        <w:rPr>
          <w:rFonts w:hint="cs"/>
          <w:b w:val="0"/>
          <w:bCs w:val="0"/>
          <w:rtl/>
          <w:lang w:bidi="ar-EG"/>
        </w:rPr>
        <w:t>التنسيق على الصعيدين الإقليمي والعالمي من خلال إعداد توصيات وتقارير لقطاع الاتصالات الراديوية</w:t>
      </w:r>
      <w:r w:rsidR="009B1A6F">
        <w:rPr>
          <w:rFonts w:hint="cs"/>
          <w:rtl/>
          <w:lang w:bidi="ar-EG"/>
        </w:rPr>
        <w:t>.</w:t>
      </w:r>
    </w:p>
    <w:p w:rsidR="00085586" w:rsidRPr="00085586" w:rsidRDefault="00085586" w:rsidP="00085586">
      <w:pPr>
        <w:spacing w:before="600"/>
        <w:jc w:val="center"/>
      </w:pPr>
      <w:r>
        <w:rPr>
          <w:rFonts w:hint="cs"/>
          <w:rtl/>
        </w:rPr>
        <w:t>___________</w:t>
      </w:r>
    </w:p>
    <w:sectPr w:rsidR="00085586" w:rsidRPr="00085586" w:rsidSect="00AC617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A4" w:rsidRDefault="007D41A4" w:rsidP="002919E1">
      <w:r>
        <w:separator/>
      </w:r>
    </w:p>
    <w:p w:rsidR="007D41A4" w:rsidRDefault="007D41A4" w:rsidP="002919E1"/>
    <w:p w:rsidR="007D41A4" w:rsidRDefault="007D41A4" w:rsidP="002919E1"/>
    <w:p w:rsidR="007D41A4" w:rsidRDefault="007D41A4"/>
  </w:endnote>
  <w:end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8558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21DEA">
      <w:rPr>
        <w:noProof/>
        <w:lang w:val="es-ES"/>
      </w:rPr>
      <w:t>P:\ARA\ITU-R\CONF-R\CMR19\000\011ADD12A.docx</w:t>
    </w:r>
    <w:r w:rsidRPr="00CB4300">
      <w:fldChar w:fldCharType="end"/>
    </w:r>
    <w:r w:rsidRPr="00CB4300">
      <w:rPr>
        <w:lang w:val="es-ES"/>
      </w:rPr>
      <w:t xml:space="preserve">  (</w:t>
    </w:r>
    <w:r w:rsidR="00085586">
      <w:rPr>
        <w:lang w:val="es-ES"/>
      </w:rPr>
      <w:t>457766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55234">
      <w:rPr>
        <w:noProof/>
      </w:rPr>
      <w:t>16.07.19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8558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21DEA">
      <w:rPr>
        <w:noProof/>
        <w:lang w:val="es-ES"/>
      </w:rPr>
      <w:t>P:\ARA\ITU-R\CONF-R\CMR19\000\011ADD12A.docx</w:t>
    </w:r>
    <w:r>
      <w:fldChar w:fldCharType="end"/>
    </w:r>
    <w:r w:rsidRPr="00CB4300">
      <w:rPr>
        <w:lang w:val="es-ES"/>
      </w:rPr>
      <w:t xml:space="preserve">   (</w:t>
    </w:r>
    <w:r w:rsidR="00085586">
      <w:rPr>
        <w:lang w:val="es-ES"/>
      </w:rPr>
      <w:t>457766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55234">
      <w:rPr>
        <w:noProof/>
      </w:rPr>
      <w:t>16.07.19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A4" w:rsidRDefault="007D41A4" w:rsidP="002919E1">
      <w:r>
        <w:t>___________________</w:t>
      </w:r>
    </w:p>
  </w:footnote>
  <w:foot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5523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77C"/>
    <w:rsid w:val="00040C94"/>
    <w:rsid w:val="000425FC"/>
    <w:rsid w:val="00044D43"/>
    <w:rsid w:val="00050432"/>
    <w:rsid w:val="00051907"/>
    <w:rsid w:val="00075A3F"/>
    <w:rsid w:val="00085586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53939"/>
    <w:rsid w:val="001629EC"/>
    <w:rsid w:val="00167364"/>
    <w:rsid w:val="0018214A"/>
    <w:rsid w:val="001903B2"/>
    <w:rsid w:val="0019700D"/>
    <w:rsid w:val="001E190C"/>
    <w:rsid w:val="001E54F6"/>
    <w:rsid w:val="001E5A8C"/>
    <w:rsid w:val="001F10CB"/>
    <w:rsid w:val="00201A0A"/>
    <w:rsid w:val="002075D4"/>
    <w:rsid w:val="00211B2A"/>
    <w:rsid w:val="00211D84"/>
    <w:rsid w:val="002333A0"/>
    <w:rsid w:val="0024402B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56CFA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7BEF"/>
    <w:rsid w:val="004D3017"/>
    <w:rsid w:val="004D4AE6"/>
    <w:rsid w:val="004E0FF8"/>
    <w:rsid w:val="004E34FA"/>
    <w:rsid w:val="00505445"/>
    <w:rsid w:val="00505FCA"/>
    <w:rsid w:val="00510C2D"/>
    <w:rsid w:val="00515E99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21DEA"/>
    <w:rsid w:val="006315B5"/>
    <w:rsid w:val="00635DE6"/>
    <w:rsid w:val="0065110E"/>
    <w:rsid w:val="00651343"/>
    <w:rsid w:val="00655234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197B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0059"/>
    <w:rsid w:val="008F1329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A3D30"/>
    <w:rsid w:val="009B0BD8"/>
    <w:rsid w:val="009B1A6F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617A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1531"/>
    <w:rsid w:val="00BD6EF3"/>
    <w:rsid w:val="00BE69C3"/>
    <w:rsid w:val="00C1165E"/>
    <w:rsid w:val="00C22074"/>
    <w:rsid w:val="00C2377B"/>
    <w:rsid w:val="00C243D8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2EA5"/>
    <w:rsid w:val="00ED4B29"/>
    <w:rsid w:val="00EF38AF"/>
    <w:rsid w:val="00F055F8"/>
    <w:rsid w:val="00F10CB4"/>
    <w:rsid w:val="00F11B3D"/>
    <w:rsid w:val="00F14603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R16-WRC19-C-0011!A12!MSW-A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B887E1-3FD4-4B64-8B49-DF58F73EFB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E2F98E-B9C8-49E0-8646-0DB39AFA4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1C2802-37C8-4225-9161-B71EEE26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1751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R16-WRC19-C-0011!A12!MSW-A</vt:lpstr>
    </vt:vector>
  </TitlesOfParts>
  <Manager>General Secretariat - Pool</Manager>
  <Company>International Telecommunication Union (ITU)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R16-WRC19-C-0011!A12!MSW-A</dc:title>
  <dc:subject>World Radiocommunication Conference - 2019</dc:subject>
  <dc:creator>Documents Proposals Manager (DPM)</dc:creator>
  <cp:keywords>DPM_v2019.6.28.1_prod</cp:keywords>
  <cp:lastModifiedBy>Awad, Samy</cp:lastModifiedBy>
  <cp:revision>4</cp:revision>
  <cp:lastPrinted>2011-11-07T13:53:00Z</cp:lastPrinted>
  <dcterms:created xsi:type="dcterms:W3CDTF">2019-07-16T08:46:00Z</dcterms:created>
  <dcterms:modified xsi:type="dcterms:W3CDTF">2019-07-19T12:26:00Z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