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909CC95" w14:textId="77777777" w:rsidTr="00006E88">
        <w:trPr>
          <w:cantSplit/>
        </w:trPr>
        <w:tc>
          <w:tcPr>
            <w:tcW w:w="6804" w:type="dxa"/>
          </w:tcPr>
          <w:p w14:paraId="3A9C89B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225BDBB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2D16B23" wp14:editId="67080A4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8515356" w14:textId="77777777" w:rsidTr="00006E8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7FA51A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91C937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E197AF7" w14:textId="77777777" w:rsidTr="00006E8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2F6B25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D24212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D74FE91" w14:textId="77777777" w:rsidTr="00006E88">
        <w:trPr>
          <w:cantSplit/>
          <w:trHeight w:val="23"/>
        </w:trPr>
        <w:tc>
          <w:tcPr>
            <w:tcW w:w="6804" w:type="dxa"/>
          </w:tcPr>
          <w:p w14:paraId="228F116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659A59D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(Add.13)(Add.5)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11DC3BE" w14:textId="77777777" w:rsidTr="00006E88">
        <w:trPr>
          <w:cantSplit/>
          <w:trHeight w:val="23"/>
        </w:trPr>
        <w:tc>
          <w:tcPr>
            <w:tcW w:w="6804" w:type="dxa"/>
          </w:tcPr>
          <w:p w14:paraId="3C56F7B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F6AD943" w14:textId="1B4257FE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DC115D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E62D5F5" w14:textId="77777777" w:rsidTr="00006E88">
        <w:trPr>
          <w:cantSplit/>
          <w:trHeight w:val="23"/>
        </w:trPr>
        <w:tc>
          <w:tcPr>
            <w:tcW w:w="6804" w:type="dxa"/>
          </w:tcPr>
          <w:p w14:paraId="1DEB392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3FC3AA6" w14:textId="69E7807B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DC115D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DC115D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58C1569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0B7082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28E113E" w14:textId="77777777">
        <w:trPr>
          <w:cantSplit/>
        </w:trPr>
        <w:tc>
          <w:tcPr>
            <w:tcW w:w="10031" w:type="dxa"/>
            <w:gridSpan w:val="2"/>
          </w:tcPr>
          <w:p w14:paraId="0C242AE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9F6737" w14:paraId="055D9F9A" w14:textId="77777777">
        <w:trPr>
          <w:cantSplit/>
        </w:trPr>
        <w:tc>
          <w:tcPr>
            <w:tcW w:w="10031" w:type="dxa"/>
            <w:gridSpan w:val="2"/>
          </w:tcPr>
          <w:p w14:paraId="136ADAEE" w14:textId="0CAE4217" w:rsidR="009F6737" w:rsidRDefault="009F6737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9F6737" w14:paraId="3B1B3376" w14:textId="77777777">
        <w:trPr>
          <w:cantSplit/>
        </w:trPr>
        <w:tc>
          <w:tcPr>
            <w:tcW w:w="10031" w:type="dxa"/>
            <w:gridSpan w:val="2"/>
          </w:tcPr>
          <w:p w14:paraId="73C080D4" w14:textId="77777777" w:rsidR="009F6737" w:rsidRDefault="009F6737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9F6737" w14:paraId="05F5F580" w14:textId="77777777">
        <w:trPr>
          <w:cantSplit/>
        </w:trPr>
        <w:tc>
          <w:tcPr>
            <w:tcW w:w="10031" w:type="dxa"/>
            <w:gridSpan w:val="2"/>
          </w:tcPr>
          <w:p w14:paraId="1D9205D1" w14:textId="77777777" w:rsidR="009F6737" w:rsidRDefault="009F6737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5DCEF40A" w14:textId="77777777" w:rsidR="008B60D0" w:rsidRPr="00331A64" w:rsidRDefault="007442B9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626EE270" w14:textId="7FABCA55" w:rsidR="00DC115D" w:rsidRDefault="009F6737" w:rsidP="00DC115D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DC115D" w:rsidRPr="00C91940">
        <w:rPr>
          <w:lang w:val="en-US" w:eastAsia="zh-CN"/>
        </w:rPr>
        <w:t>5</w:t>
      </w:r>
      <w:r>
        <w:rPr>
          <w:rFonts w:hint="eastAsia"/>
          <w:lang w:val="en-US" w:eastAsia="zh-CN"/>
        </w:rPr>
        <w:t>部分</w:t>
      </w:r>
      <w:r w:rsidR="00DC115D" w:rsidRPr="00C91940">
        <w:rPr>
          <w:lang w:val="en-US" w:eastAsia="zh-CN"/>
        </w:rPr>
        <w:t xml:space="preserve"> –</w:t>
      </w:r>
      <w:r w:rsidR="009739C8">
        <w:rPr>
          <w:lang w:val="en-US" w:eastAsia="zh-CN"/>
        </w:rPr>
        <w:t xml:space="preserve"> </w:t>
      </w:r>
      <w:r w:rsidR="00DC115D" w:rsidRPr="00C91940">
        <w:rPr>
          <w:lang w:val="en-US" w:eastAsia="zh-CN"/>
        </w:rPr>
        <w:t>66-71 GHz</w:t>
      </w:r>
      <w:r>
        <w:rPr>
          <w:rFonts w:hint="eastAsia"/>
          <w:lang w:val="en-US" w:eastAsia="zh-CN"/>
        </w:rPr>
        <w:t>频段</w:t>
      </w:r>
    </w:p>
    <w:p w14:paraId="52F1C7EA" w14:textId="660CDC4E" w:rsidR="00DC115D" w:rsidRPr="003752FC" w:rsidRDefault="009F6737" w:rsidP="00DC115D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208F450F" w14:textId="3FC57EFC" w:rsidR="00DC115D" w:rsidRPr="00462E79" w:rsidRDefault="009F6737" w:rsidP="001024A7">
      <w:pPr>
        <w:ind w:firstLineChars="200" w:firstLine="480"/>
        <w:rPr>
          <w:lang w:eastAsia="zh-CN"/>
        </w:rPr>
      </w:pPr>
      <w:r w:rsidRPr="009F6737">
        <w:rPr>
          <w:rFonts w:hint="eastAsia"/>
          <w:lang w:eastAsia="zh-CN"/>
        </w:rPr>
        <w:t>66-71 GHz</w:t>
      </w:r>
      <w:r>
        <w:rPr>
          <w:rFonts w:hint="eastAsia"/>
          <w:lang w:eastAsia="zh-CN"/>
        </w:rPr>
        <w:t>频段划分给作为主要业务的</w:t>
      </w:r>
      <w:r w:rsidRPr="009F6737">
        <w:rPr>
          <w:rFonts w:hint="eastAsia"/>
          <w:lang w:eastAsia="zh-CN"/>
        </w:rPr>
        <w:t>卫星间、卫星移动无线电导航卫星、移动和无线电导航</w:t>
      </w:r>
      <w:r w:rsidR="00644D14">
        <w:rPr>
          <w:rFonts w:hint="eastAsia"/>
          <w:lang w:eastAsia="zh-CN"/>
        </w:rPr>
        <w:t>业</w:t>
      </w:r>
      <w:r w:rsidRPr="009F6737">
        <w:rPr>
          <w:rFonts w:hint="eastAsia"/>
          <w:lang w:eastAsia="zh-CN"/>
        </w:rPr>
        <w:t>务。迄今为止，作为</w:t>
      </w:r>
      <w:r w:rsidRPr="009F6737">
        <w:rPr>
          <w:rFonts w:hint="eastAsia"/>
          <w:lang w:eastAsia="zh-CN"/>
        </w:rPr>
        <w:t>2019</w:t>
      </w:r>
      <w:r w:rsidRPr="009F6737">
        <w:rPr>
          <w:rFonts w:hint="eastAsia"/>
          <w:lang w:eastAsia="zh-CN"/>
        </w:rPr>
        <w:t>年世界无线电通信大会</w:t>
      </w:r>
      <w:r w:rsidR="001825DA">
        <w:rPr>
          <w:rFonts w:hint="eastAsia"/>
          <w:lang w:eastAsia="zh-CN"/>
        </w:rPr>
        <w:t>（</w:t>
      </w:r>
      <w:r w:rsidRPr="009F6737">
        <w:rPr>
          <w:rFonts w:hint="eastAsia"/>
          <w:lang w:eastAsia="zh-CN"/>
        </w:rPr>
        <w:t>WRC-19</w:t>
      </w:r>
      <w:r w:rsidR="001825DA">
        <w:rPr>
          <w:rFonts w:hint="eastAsia"/>
          <w:lang w:eastAsia="zh-CN"/>
        </w:rPr>
        <w:t>）</w:t>
      </w:r>
      <w:r w:rsidRPr="009F6737">
        <w:rPr>
          <w:rFonts w:hint="eastAsia"/>
          <w:lang w:eastAsia="zh-CN"/>
        </w:rPr>
        <w:t>议项</w:t>
      </w:r>
      <w:r w:rsidRPr="009F6737">
        <w:rPr>
          <w:rFonts w:hint="eastAsia"/>
          <w:lang w:eastAsia="zh-CN"/>
        </w:rPr>
        <w:t>1.13</w:t>
      </w:r>
      <w:r w:rsidRPr="009F6737">
        <w:rPr>
          <w:rFonts w:hint="eastAsia"/>
          <w:lang w:eastAsia="zh-CN"/>
        </w:rPr>
        <w:t>筹备工作的一部分，</w:t>
      </w:r>
      <w:r>
        <w:rPr>
          <w:rFonts w:hint="eastAsia"/>
          <w:lang w:eastAsia="zh-CN"/>
        </w:rPr>
        <w:t>为</w:t>
      </w:r>
      <w:r w:rsidRPr="009F6737">
        <w:rPr>
          <w:rFonts w:hint="eastAsia"/>
          <w:lang w:eastAsia="zh-CN"/>
        </w:rPr>
        <w:t>确认</w:t>
      </w:r>
      <w:r w:rsidRPr="009F6737">
        <w:rPr>
          <w:rFonts w:hint="eastAsia"/>
          <w:lang w:eastAsia="zh-CN"/>
        </w:rPr>
        <w:t>IMT</w:t>
      </w:r>
      <w:r w:rsidRPr="009F6737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在这些划分下</w:t>
      </w:r>
      <w:r w:rsidRPr="009F6737">
        <w:rPr>
          <w:rFonts w:hint="eastAsia"/>
          <w:lang w:eastAsia="zh-CN"/>
        </w:rPr>
        <w:t>运作的</w:t>
      </w:r>
      <w:r>
        <w:rPr>
          <w:rFonts w:hint="eastAsia"/>
          <w:lang w:eastAsia="zh-CN"/>
        </w:rPr>
        <w:t>部分</w:t>
      </w:r>
      <w:r w:rsidRPr="009F6737">
        <w:rPr>
          <w:rFonts w:hint="eastAsia"/>
          <w:lang w:eastAsia="zh-CN"/>
        </w:rPr>
        <w:t>现有或</w:t>
      </w:r>
      <w:r>
        <w:rPr>
          <w:rFonts w:hint="eastAsia"/>
          <w:lang w:eastAsia="zh-CN"/>
        </w:rPr>
        <w:t>拟用</w:t>
      </w:r>
      <w:r w:rsidRPr="009F6737">
        <w:rPr>
          <w:rFonts w:hint="eastAsia"/>
          <w:lang w:eastAsia="zh-CN"/>
        </w:rPr>
        <w:t>网络的兼容性</w:t>
      </w:r>
      <w:r>
        <w:rPr>
          <w:rFonts w:hint="eastAsia"/>
          <w:lang w:eastAsia="zh-CN"/>
        </w:rPr>
        <w:t>而</w:t>
      </w:r>
      <w:r w:rsidRPr="009F6737">
        <w:rPr>
          <w:rFonts w:hint="eastAsia"/>
          <w:lang w:eastAsia="zh-CN"/>
        </w:rPr>
        <w:t>开展的研究很少。</w:t>
      </w:r>
    </w:p>
    <w:p w14:paraId="33591D40" w14:textId="5D7A6798" w:rsidR="00DC115D" w:rsidRPr="00462E79" w:rsidRDefault="009F6737" w:rsidP="001024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无需牌照的</w:t>
      </w:r>
      <w:r w:rsidRPr="009F6737">
        <w:rPr>
          <w:rFonts w:hint="eastAsia"/>
          <w:lang w:eastAsia="zh-CN"/>
        </w:rPr>
        <w:t>频谱</w:t>
      </w:r>
      <w:r>
        <w:rPr>
          <w:rFonts w:hint="eastAsia"/>
          <w:lang w:eastAsia="zh-CN"/>
        </w:rPr>
        <w:t>接入</w:t>
      </w:r>
      <w:r w:rsidRPr="009F6737">
        <w:rPr>
          <w:rFonts w:hint="eastAsia"/>
          <w:lang w:eastAsia="zh-CN"/>
        </w:rPr>
        <w:t>在为全球用户提供连接方面发挥着至关重要的作用。</w:t>
      </w:r>
      <w:r>
        <w:rPr>
          <w:rFonts w:hint="eastAsia"/>
          <w:lang w:eastAsia="zh-CN"/>
        </w:rPr>
        <w:t>鉴于</w:t>
      </w:r>
      <w:r w:rsidRPr="009F6737">
        <w:rPr>
          <w:rFonts w:hint="eastAsia"/>
          <w:lang w:eastAsia="zh-CN"/>
        </w:rPr>
        <w:t>这一事实，多国已经将</w:t>
      </w:r>
      <w:r>
        <w:rPr>
          <w:rFonts w:hint="eastAsia"/>
          <w:lang w:eastAsia="zh-CN"/>
        </w:rPr>
        <w:t>此</w:t>
      </w:r>
      <w:r w:rsidRPr="009F6737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Pr="009F6737">
        <w:rPr>
          <w:rFonts w:hint="eastAsia"/>
          <w:lang w:eastAsia="zh-CN"/>
        </w:rPr>
        <w:t>指定为</w:t>
      </w:r>
      <w:r w:rsidR="00B06F18">
        <w:rPr>
          <w:rFonts w:hint="eastAsia"/>
          <w:lang w:eastAsia="zh-CN"/>
        </w:rPr>
        <w:t>无</w:t>
      </w:r>
      <w:r>
        <w:rPr>
          <w:rFonts w:hint="eastAsia"/>
          <w:lang w:eastAsia="zh-CN"/>
        </w:rPr>
        <w:t>需牌照（</w:t>
      </w:r>
      <w:r w:rsidRPr="009F6737">
        <w:rPr>
          <w:rFonts w:hint="eastAsia"/>
          <w:lang w:eastAsia="zh-CN"/>
        </w:rPr>
        <w:t>例如</w:t>
      </w:r>
      <w:proofErr w:type="spellStart"/>
      <w:r w:rsidRPr="009F6737">
        <w:rPr>
          <w:rFonts w:hint="eastAsia"/>
          <w:lang w:eastAsia="zh-CN"/>
        </w:rPr>
        <w:t>WiGig</w:t>
      </w:r>
      <w:proofErr w:type="spellEnd"/>
      <w:r>
        <w:rPr>
          <w:rFonts w:hint="eastAsia"/>
          <w:lang w:eastAsia="zh-CN"/>
        </w:rPr>
        <w:t>）的</w:t>
      </w:r>
      <w:r w:rsidRPr="009F6737">
        <w:rPr>
          <w:rFonts w:hint="eastAsia"/>
          <w:lang w:eastAsia="zh-CN"/>
        </w:rPr>
        <w:t>技术。在美国，联邦通信委员会决定维持</w:t>
      </w:r>
      <w:r>
        <w:rPr>
          <w:rFonts w:hint="eastAsia"/>
          <w:lang w:eastAsia="zh-CN"/>
        </w:rPr>
        <w:t>在不需牌照的情况下使用</w:t>
      </w:r>
      <w:r w:rsidRPr="009F6737">
        <w:rPr>
          <w:rFonts w:hint="eastAsia"/>
          <w:lang w:eastAsia="zh-CN"/>
        </w:rPr>
        <w:t>64-71</w:t>
      </w:r>
      <w:r w:rsidRPr="009F6737">
        <w:rPr>
          <w:lang w:eastAsia="zh-CN"/>
        </w:rPr>
        <w:t xml:space="preserve"> </w:t>
      </w:r>
      <w:r w:rsidRPr="00462E79"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 w:rsidRPr="0040688A">
        <w:rPr>
          <w:rStyle w:val="FootnoteReference"/>
        </w:rPr>
        <w:footnoteReference w:id="1"/>
      </w:r>
      <w:r>
        <w:rPr>
          <w:rFonts w:hint="eastAsia"/>
          <w:lang w:eastAsia="zh-CN"/>
        </w:rPr>
        <w:t>。</w:t>
      </w:r>
    </w:p>
    <w:p w14:paraId="030440E6" w14:textId="1902FE03" w:rsidR="00A65898" w:rsidRDefault="009F6737" w:rsidP="001024A7">
      <w:pPr>
        <w:ind w:firstLineChars="200" w:firstLine="480"/>
        <w:rPr>
          <w:lang w:eastAsia="zh-CN"/>
        </w:rPr>
      </w:pPr>
      <w:r w:rsidRPr="009F6737">
        <w:rPr>
          <w:rFonts w:hint="eastAsia"/>
          <w:lang w:eastAsia="zh-CN"/>
        </w:rPr>
        <w:t>许多</w:t>
      </w:r>
      <w:r>
        <w:rPr>
          <w:rFonts w:hint="eastAsia"/>
          <w:lang w:eastAsia="zh-CN"/>
        </w:rPr>
        <w:t>主管部门</w:t>
      </w:r>
      <w:r w:rsidR="00B06F18">
        <w:rPr>
          <w:rFonts w:hint="eastAsia"/>
          <w:lang w:eastAsia="zh-CN"/>
        </w:rPr>
        <w:t>的</w:t>
      </w:r>
      <w:r w:rsidRPr="009F6737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业</w:t>
      </w:r>
      <w:r w:rsidRPr="009F6737">
        <w:rPr>
          <w:rFonts w:hint="eastAsia"/>
          <w:lang w:eastAsia="zh-CN"/>
        </w:rPr>
        <w:t>务应用对</w:t>
      </w:r>
      <w:r w:rsidRPr="009F6737">
        <w:rPr>
          <w:rFonts w:hint="eastAsia"/>
          <w:lang w:eastAsia="zh-CN"/>
        </w:rPr>
        <w:t>66-71</w:t>
      </w:r>
      <w:r w:rsidRPr="009F6737">
        <w:rPr>
          <w:lang w:eastAsia="zh-CN"/>
        </w:rPr>
        <w:t xml:space="preserve"> </w:t>
      </w:r>
      <w:r w:rsidRPr="00462E79">
        <w:rPr>
          <w:lang w:eastAsia="zh-CN"/>
        </w:rPr>
        <w:t>GHz</w:t>
      </w:r>
      <w:r w:rsidRPr="009F6737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</w:t>
      </w:r>
      <w:r w:rsidRPr="009F6737">
        <w:rPr>
          <w:rFonts w:hint="eastAsia"/>
          <w:lang w:eastAsia="zh-CN"/>
        </w:rPr>
        <w:t>的使用是在</w:t>
      </w:r>
      <w:r>
        <w:rPr>
          <w:rFonts w:hint="eastAsia"/>
          <w:lang w:eastAsia="zh-CN"/>
        </w:rPr>
        <w:t>不需牌照</w:t>
      </w:r>
      <w:r w:rsidRPr="009F6737">
        <w:rPr>
          <w:rFonts w:hint="eastAsia"/>
          <w:lang w:eastAsia="zh-CN"/>
        </w:rPr>
        <w:t>、技术中立的基础上进行管理，</w:t>
      </w:r>
      <w:r>
        <w:rPr>
          <w:rFonts w:hint="eastAsia"/>
          <w:lang w:eastAsia="zh-CN"/>
        </w:rPr>
        <w:t>这与</w:t>
      </w:r>
      <w:r w:rsidRPr="009F6737">
        <w:rPr>
          <w:rFonts w:hint="eastAsia"/>
          <w:lang w:eastAsia="zh-CN"/>
        </w:rPr>
        <w:t>于</w:t>
      </w:r>
      <w:r w:rsidRPr="00462E79">
        <w:rPr>
          <w:lang w:eastAsia="zh-CN"/>
        </w:rPr>
        <w:t>2.4 GHz</w:t>
      </w:r>
      <w:r>
        <w:rPr>
          <w:rFonts w:hint="eastAsia"/>
          <w:lang w:eastAsia="zh-CN"/>
        </w:rPr>
        <w:t>和</w:t>
      </w:r>
      <w:r w:rsidRPr="00462E79">
        <w:rPr>
          <w:lang w:eastAsia="zh-CN"/>
        </w:rPr>
        <w:t>5 GHz</w:t>
      </w:r>
      <w:r>
        <w:rPr>
          <w:rFonts w:hint="eastAsia"/>
          <w:lang w:eastAsia="zh-CN"/>
        </w:rPr>
        <w:t>频段类似</w:t>
      </w:r>
      <w:r w:rsidRPr="009F6737">
        <w:rPr>
          <w:rFonts w:hint="eastAsia"/>
          <w:lang w:eastAsia="zh-CN"/>
        </w:rPr>
        <w:t>。在</w:t>
      </w:r>
      <w:r>
        <w:rPr>
          <w:rFonts w:hint="eastAsia"/>
          <w:lang w:eastAsia="zh-CN"/>
        </w:rPr>
        <w:t>此</w:t>
      </w:r>
      <w:r w:rsidRPr="009F6737">
        <w:rPr>
          <w:rFonts w:hint="eastAsia"/>
          <w:lang w:eastAsia="zh-CN"/>
        </w:rPr>
        <w:t>方法下，监管机构通过了针对未授权设备的规则，这些规则旨在通过限制发射机功率和杂散发射来防止对授权无线电</w:t>
      </w:r>
      <w:r w:rsidR="00A65898">
        <w:rPr>
          <w:rFonts w:hint="eastAsia"/>
          <w:lang w:eastAsia="zh-CN"/>
        </w:rPr>
        <w:t>业</w:t>
      </w:r>
      <w:r w:rsidRPr="009F6737">
        <w:rPr>
          <w:rFonts w:hint="eastAsia"/>
          <w:lang w:eastAsia="zh-CN"/>
        </w:rPr>
        <w:t>务的有害干扰，而</w:t>
      </w:r>
      <w:r w:rsidR="00A65898">
        <w:rPr>
          <w:rFonts w:hint="eastAsia"/>
          <w:lang w:eastAsia="zh-CN"/>
        </w:rPr>
        <w:t>电信</w:t>
      </w:r>
      <w:r w:rsidRPr="009F6737">
        <w:rPr>
          <w:rFonts w:hint="eastAsia"/>
          <w:lang w:eastAsia="zh-CN"/>
        </w:rPr>
        <w:t>业在这些规则框架内制定</w:t>
      </w:r>
      <w:r w:rsidR="00A65898">
        <w:rPr>
          <w:rFonts w:hint="eastAsia"/>
          <w:lang w:eastAsia="zh-CN"/>
        </w:rPr>
        <w:t>的</w:t>
      </w:r>
      <w:r w:rsidRPr="009F6737">
        <w:rPr>
          <w:rFonts w:hint="eastAsia"/>
          <w:lang w:eastAsia="zh-CN"/>
        </w:rPr>
        <w:t>标准，通常是为了确保</w:t>
      </w:r>
      <w:r w:rsidR="00A65898">
        <w:rPr>
          <w:rFonts w:hint="eastAsia"/>
          <w:lang w:eastAsia="zh-CN"/>
        </w:rPr>
        <w:t>无牌照</w:t>
      </w:r>
      <w:r w:rsidRPr="009F6737">
        <w:rPr>
          <w:rFonts w:hint="eastAsia"/>
          <w:lang w:eastAsia="zh-CN"/>
        </w:rPr>
        <w:t>设备</w:t>
      </w:r>
      <w:r w:rsidR="00A65898">
        <w:rPr>
          <w:rFonts w:hint="eastAsia"/>
          <w:lang w:eastAsia="zh-CN"/>
        </w:rPr>
        <w:t>能够</w:t>
      </w:r>
      <w:r w:rsidRPr="009F6737">
        <w:rPr>
          <w:rFonts w:hint="eastAsia"/>
          <w:lang w:eastAsia="zh-CN"/>
        </w:rPr>
        <w:t>合作共</w:t>
      </w:r>
      <w:r w:rsidR="00A65898">
        <w:rPr>
          <w:rFonts w:hint="eastAsia"/>
          <w:lang w:eastAsia="zh-CN"/>
        </w:rPr>
        <w:t>用</w:t>
      </w:r>
      <w:r w:rsidR="00B06F18">
        <w:rPr>
          <w:rFonts w:hint="eastAsia"/>
          <w:lang w:eastAsia="zh-CN"/>
        </w:rPr>
        <w:t>相关</w:t>
      </w:r>
      <w:r w:rsidRPr="009F6737">
        <w:rPr>
          <w:rFonts w:hint="eastAsia"/>
          <w:lang w:eastAsia="zh-CN"/>
        </w:rPr>
        <w:t>频谱。</w:t>
      </w:r>
      <w:r w:rsidR="00A65898" w:rsidRPr="00A65898">
        <w:rPr>
          <w:rFonts w:hint="eastAsia"/>
          <w:lang w:eastAsia="zh-CN"/>
        </w:rPr>
        <w:t>这种方法为消费者带来了许多好处和创新产品。在</w:t>
      </w:r>
      <w:r w:rsidR="00A65898" w:rsidRPr="00A65898">
        <w:rPr>
          <w:rFonts w:hint="eastAsia"/>
          <w:lang w:eastAsia="zh-CN"/>
        </w:rPr>
        <w:t>WRC</w:t>
      </w:r>
      <w:r w:rsidR="00A65898" w:rsidRPr="00462E79">
        <w:rPr>
          <w:lang w:eastAsia="zh-CN"/>
        </w:rPr>
        <w:t>-</w:t>
      </w:r>
      <w:r w:rsidR="00A65898" w:rsidRPr="00A65898">
        <w:rPr>
          <w:rFonts w:hint="eastAsia"/>
          <w:lang w:eastAsia="zh-CN"/>
        </w:rPr>
        <w:t>19</w:t>
      </w:r>
      <w:r w:rsidR="00A65898" w:rsidRPr="00A65898">
        <w:rPr>
          <w:rFonts w:hint="eastAsia"/>
          <w:lang w:eastAsia="zh-CN"/>
        </w:rPr>
        <w:t>号</w:t>
      </w:r>
      <w:r w:rsidR="00A65898">
        <w:rPr>
          <w:rFonts w:hint="eastAsia"/>
          <w:lang w:eastAsia="zh-CN"/>
        </w:rPr>
        <w:t>期</w:t>
      </w:r>
      <w:r w:rsidR="00A65898">
        <w:rPr>
          <w:rFonts w:hint="eastAsia"/>
          <w:lang w:eastAsia="zh-CN"/>
        </w:rPr>
        <w:lastRenderedPageBreak/>
        <w:t>间确定将</w:t>
      </w:r>
      <w:r w:rsidR="00A65898" w:rsidRPr="00A65898">
        <w:rPr>
          <w:rFonts w:hint="eastAsia"/>
          <w:lang w:eastAsia="zh-CN"/>
        </w:rPr>
        <w:t>66-71</w:t>
      </w:r>
      <w:r w:rsidR="00A65898" w:rsidRPr="00A65898">
        <w:rPr>
          <w:lang w:eastAsia="zh-CN"/>
        </w:rPr>
        <w:t xml:space="preserve"> </w:t>
      </w:r>
      <w:r w:rsidR="00A65898" w:rsidRPr="00462E79">
        <w:rPr>
          <w:lang w:eastAsia="zh-CN"/>
        </w:rPr>
        <w:t>GHz</w:t>
      </w:r>
      <w:r w:rsidR="00A65898">
        <w:rPr>
          <w:rFonts w:hint="eastAsia"/>
          <w:lang w:eastAsia="zh-CN"/>
        </w:rPr>
        <w:t>用于</w:t>
      </w:r>
      <w:r w:rsidR="00A65898">
        <w:rPr>
          <w:rFonts w:hint="eastAsia"/>
          <w:lang w:eastAsia="zh-CN"/>
        </w:rPr>
        <w:t>I</w:t>
      </w:r>
      <w:r w:rsidR="00A65898">
        <w:rPr>
          <w:lang w:eastAsia="zh-CN"/>
        </w:rPr>
        <w:t>MT</w:t>
      </w:r>
      <w:r w:rsidR="00A65898">
        <w:rPr>
          <w:rFonts w:hint="eastAsia"/>
          <w:lang w:eastAsia="zh-CN"/>
        </w:rPr>
        <w:t>存在巨大风险</w:t>
      </w:r>
      <w:r w:rsidR="00A65898" w:rsidRPr="00A65898">
        <w:rPr>
          <w:rFonts w:hint="eastAsia"/>
          <w:lang w:eastAsia="zh-CN"/>
        </w:rPr>
        <w:t>，</w:t>
      </w:r>
      <w:r w:rsidR="00A65898">
        <w:rPr>
          <w:rFonts w:hint="eastAsia"/>
          <w:lang w:eastAsia="zh-CN"/>
        </w:rPr>
        <w:t>因为</w:t>
      </w:r>
      <w:r w:rsidR="00A65898" w:rsidRPr="00A65898">
        <w:rPr>
          <w:rFonts w:hint="eastAsia"/>
          <w:lang w:eastAsia="zh-CN"/>
        </w:rPr>
        <w:t>这意味着</w:t>
      </w:r>
      <w:r w:rsidR="00A65898">
        <w:rPr>
          <w:rFonts w:hint="eastAsia"/>
          <w:lang w:eastAsia="zh-CN"/>
        </w:rPr>
        <w:t>针对某一</w:t>
      </w:r>
      <w:r w:rsidR="00A65898" w:rsidRPr="00A65898">
        <w:rPr>
          <w:rFonts w:hint="eastAsia"/>
          <w:lang w:eastAsia="zh-CN"/>
        </w:rPr>
        <w:t>移动</w:t>
      </w:r>
      <w:r w:rsidR="00A65898">
        <w:rPr>
          <w:rFonts w:hint="eastAsia"/>
          <w:lang w:eastAsia="zh-CN"/>
        </w:rPr>
        <w:t>业</w:t>
      </w:r>
      <w:r w:rsidR="00A65898" w:rsidRPr="00A65898">
        <w:rPr>
          <w:rFonts w:hint="eastAsia"/>
          <w:lang w:eastAsia="zh-CN"/>
        </w:rPr>
        <w:t>务应用程序</w:t>
      </w:r>
      <w:r w:rsidR="001825DA">
        <w:rPr>
          <w:rFonts w:hint="eastAsia"/>
          <w:lang w:eastAsia="zh-CN"/>
        </w:rPr>
        <w:t>（</w:t>
      </w:r>
      <w:r w:rsidR="00A65898" w:rsidRPr="00A65898">
        <w:rPr>
          <w:rFonts w:hint="eastAsia"/>
          <w:lang w:eastAsia="zh-CN"/>
        </w:rPr>
        <w:t>即</w:t>
      </w:r>
      <w:r w:rsidR="00A65898" w:rsidRPr="00462E79">
        <w:rPr>
          <w:lang w:eastAsia="zh-CN"/>
        </w:rPr>
        <w:t>IMT</w:t>
      </w:r>
      <w:r w:rsidR="001825DA">
        <w:rPr>
          <w:rFonts w:hint="eastAsia"/>
          <w:lang w:eastAsia="zh-CN"/>
        </w:rPr>
        <w:t>）</w:t>
      </w:r>
      <w:r w:rsidR="00A65898">
        <w:rPr>
          <w:rFonts w:hint="eastAsia"/>
          <w:lang w:eastAsia="zh-CN"/>
        </w:rPr>
        <w:t>应用一种不同的规则</w:t>
      </w:r>
      <w:r w:rsidR="00A65898" w:rsidRPr="00A65898">
        <w:rPr>
          <w:rFonts w:hint="eastAsia"/>
          <w:lang w:eastAsia="zh-CN"/>
        </w:rPr>
        <w:t>制度</w:t>
      </w:r>
      <w:r w:rsidR="00A65898">
        <w:rPr>
          <w:rFonts w:hint="eastAsia"/>
          <w:lang w:eastAsia="zh-CN"/>
        </w:rPr>
        <w:t>，从而</w:t>
      </w:r>
      <w:r w:rsidR="00A65898" w:rsidRPr="00A65898">
        <w:rPr>
          <w:rFonts w:hint="eastAsia"/>
          <w:lang w:eastAsia="zh-CN"/>
        </w:rPr>
        <w:t>破坏</w:t>
      </w:r>
      <w:r w:rsidR="00A65898">
        <w:rPr>
          <w:rFonts w:hint="eastAsia"/>
          <w:lang w:eastAsia="zh-CN"/>
        </w:rPr>
        <w:t>了相应的</w:t>
      </w:r>
      <w:r w:rsidR="00A65898" w:rsidRPr="00A65898">
        <w:rPr>
          <w:rFonts w:hint="eastAsia"/>
          <w:lang w:eastAsia="zh-CN"/>
        </w:rPr>
        <w:t>动态</w:t>
      </w:r>
      <w:r w:rsidR="00A65898">
        <w:rPr>
          <w:rFonts w:hint="eastAsia"/>
          <w:lang w:eastAsia="zh-CN"/>
        </w:rPr>
        <w:t>系统</w:t>
      </w:r>
      <w:r w:rsidR="00A65898" w:rsidRPr="00A65898">
        <w:rPr>
          <w:rFonts w:hint="eastAsia"/>
          <w:lang w:eastAsia="zh-CN"/>
        </w:rPr>
        <w:t>。</w:t>
      </w:r>
    </w:p>
    <w:p w14:paraId="06696A01" w14:textId="3E0E6780" w:rsidR="00DC115D" w:rsidRPr="00462E79" w:rsidRDefault="00A65898" w:rsidP="001024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同样重要的是</w:t>
      </w:r>
      <w:r w:rsidRPr="00A65898">
        <w:rPr>
          <w:rFonts w:hint="eastAsia"/>
          <w:lang w:eastAsia="zh-CN"/>
        </w:rPr>
        <w:t>认识到</w:t>
      </w:r>
      <w:r w:rsidRPr="00A65898">
        <w:rPr>
          <w:rFonts w:hint="eastAsia"/>
          <w:lang w:eastAsia="zh-CN"/>
        </w:rPr>
        <w:t>60/70 GHz</w:t>
      </w:r>
      <w:r w:rsidRPr="00A65898">
        <w:rPr>
          <w:rFonts w:hint="eastAsia"/>
          <w:lang w:eastAsia="zh-CN"/>
        </w:rPr>
        <w:t>频率范围内</w:t>
      </w:r>
      <w:r w:rsidR="00DD156D">
        <w:rPr>
          <w:rFonts w:hint="eastAsia"/>
          <w:lang w:eastAsia="zh-CN"/>
        </w:rPr>
        <w:t>不需牌照的</w:t>
      </w:r>
      <w:r w:rsidRPr="00A65898">
        <w:rPr>
          <w:rFonts w:hint="eastAsia"/>
          <w:lang w:eastAsia="zh-CN"/>
        </w:rPr>
        <w:t>生态系统</w:t>
      </w:r>
      <w:r w:rsidR="00DD156D">
        <w:rPr>
          <w:rFonts w:hint="eastAsia"/>
          <w:lang w:eastAsia="zh-CN"/>
        </w:rPr>
        <w:t>还处于</w:t>
      </w:r>
      <w:r w:rsidRPr="00A65898">
        <w:rPr>
          <w:rFonts w:hint="eastAsia"/>
          <w:lang w:eastAsia="zh-CN"/>
        </w:rPr>
        <w:t>新生状态。</w:t>
      </w:r>
      <w:r w:rsidR="00DD156D">
        <w:rPr>
          <w:rFonts w:hint="eastAsia"/>
          <w:lang w:eastAsia="zh-CN"/>
        </w:rPr>
        <w:t>数</w:t>
      </w:r>
      <w:r w:rsidR="00DD156D" w:rsidRPr="00DD156D">
        <w:rPr>
          <w:rFonts w:hint="eastAsia"/>
          <w:lang w:eastAsia="zh-CN"/>
        </w:rPr>
        <w:t>千</w:t>
      </w:r>
      <w:r w:rsidR="00DD156D">
        <w:rPr>
          <w:rFonts w:hint="eastAsia"/>
          <w:lang w:eastAsia="zh-CN"/>
        </w:rPr>
        <w:t>兆比的</w:t>
      </w:r>
      <w:r w:rsidRPr="00A65898">
        <w:rPr>
          <w:rFonts w:hint="eastAsia"/>
          <w:lang w:eastAsia="zh-CN"/>
        </w:rPr>
        <w:t>设备刚开始引入市场。不断增长的需求推动了技术发展，使吞吐量</w:t>
      </w:r>
      <w:r w:rsidR="001825DA">
        <w:rPr>
          <w:rFonts w:hint="eastAsia"/>
          <w:lang w:eastAsia="zh-CN"/>
        </w:rPr>
        <w:t>（</w:t>
      </w:r>
      <w:r w:rsidRPr="00A65898">
        <w:rPr>
          <w:rFonts w:hint="eastAsia"/>
          <w:lang w:eastAsia="zh-CN"/>
        </w:rPr>
        <w:t>20 Gbps</w:t>
      </w:r>
      <w:r w:rsidRPr="00A65898">
        <w:rPr>
          <w:rFonts w:hint="eastAsia"/>
          <w:lang w:eastAsia="zh-CN"/>
        </w:rPr>
        <w:t>及更高</w:t>
      </w:r>
      <w:r w:rsidR="001825DA">
        <w:rPr>
          <w:rFonts w:hint="eastAsia"/>
          <w:lang w:eastAsia="zh-CN"/>
        </w:rPr>
        <w:t>）</w:t>
      </w:r>
      <w:r w:rsidRPr="00A65898">
        <w:rPr>
          <w:rFonts w:hint="eastAsia"/>
          <w:lang w:eastAsia="zh-CN"/>
        </w:rPr>
        <w:t>大幅提高，而这只有通过相应的频谱容量才能实现。</w:t>
      </w:r>
      <w:r w:rsidR="00DD156D" w:rsidRPr="00462E79">
        <w:rPr>
          <w:lang w:eastAsia="zh-CN"/>
        </w:rPr>
        <w:t>ITU-R</w:t>
      </w:r>
      <w:r w:rsidRPr="00A65898">
        <w:rPr>
          <w:rFonts w:hint="eastAsia"/>
          <w:lang w:eastAsia="zh-CN"/>
        </w:rPr>
        <w:t>正在大力推进</w:t>
      </w:r>
      <w:r w:rsidRPr="00A65898">
        <w:rPr>
          <w:rFonts w:hint="eastAsia"/>
          <w:lang w:eastAsia="zh-CN"/>
        </w:rPr>
        <w:t>66-71</w:t>
      </w:r>
      <w:r w:rsidR="00DD156D" w:rsidRPr="00DD156D">
        <w:rPr>
          <w:lang w:eastAsia="zh-CN"/>
        </w:rPr>
        <w:t xml:space="preserve"> </w:t>
      </w:r>
      <w:r w:rsidR="00DD156D" w:rsidRPr="00462E79">
        <w:rPr>
          <w:lang w:eastAsia="zh-CN"/>
        </w:rPr>
        <w:t>GHz</w:t>
      </w:r>
      <w:r w:rsidRPr="00A65898">
        <w:rPr>
          <w:rFonts w:hint="eastAsia"/>
          <w:lang w:eastAsia="zh-CN"/>
        </w:rPr>
        <w:t>频</w:t>
      </w:r>
      <w:r w:rsidR="00DD156D">
        <w:rPr>
          <w:rFonts w:hint="eastAsia"/>
          <w:lang w:eastAsia="zh-CN"/>
        </w:rPr>
        <w:t>段</w:t>
      </w:r>
      <w:r w:rsidR="00DD156D" w:rsidRPr="00A65898">
        <w:rPr>
          <w:rFonts w:hint="eastAsia"/>
          <w:lang w:eastAsia="zh-CN"/>
        </w:rPr>
        <w:t>实施</w:t>
      </w:r>
      <w:r w:rsidR="00DD156D">
        <w:rPr>
          <w:rFonts w:hint="eastAsia"/>
          <w:lang w:eastAsia="zh-CN"/>
        </w:rPr>
        <w:t>数</w:t>
      </w:r>
      <w:r w:rsidRPr="00A65898">
        <w:rPr>
          <w:rFonts w:hint="eastAsia"/>
          <w:lang w:eastAsia="zh-CN"/>
        </w:rPr>
        <w:t>千</w:t>
      </w:r>
      <w:r w:rsidR="00DD156D">
        <w:rPr>
          <w:rFonts w:hint="eastAsia"/>
          <w:lang w:eastAsia="zh-CN"/>
        </w:rPr>
        <w:t>兆比的</w:t>
      </w:r>
      <w:r w:rsidRPr="00A65898">
        <w:rPr>
          <w:rFonts w:hint="eastAsia"/>
          <w:lang w:eastAsia="zh-CN"/>
        </w:rPr>
        <w:t>无线系统</w:t>
      </w:r>
      <w:r w:rsidR="00DD156D">
        <w:rPr>
          <w:rFonts w:hint="eastAsia"/>
          <w:lang w:eastAsia="zh-CN"/>
        </w:rPr>
        <w:t>（</w:t>
      </w:r>
      <w:r w:rsidR="00DD156D">
        <w:rPr>
          <w:rFonts w:hint="eastAsia"/>
          <w:lang w:eastAsia="zh-CN"/>
        </w:rPr>
        <w:t>M</w:t>
      </w:r>
      <w:r w:rsidR="00DD156D">
        <w:rPr>
          <w:lang w:eastAsia="zh-CN"/>
        </w:rPr>
        <w:t>GWS</w:t>
      </w:r>
      <w:r w:rsidR="00DD156D">
        <w:rPr>
          <w:rFonts w:hint="eastAsia"/>
          <w:lang w:eastAsia="zh-CN"/>
        </w:rPr>
        <w:t>）</w:t>
      </w:r>
      <w:r w:rsidRPr="00A65898">
        <w:rPr>
          <w:rFonts w:hint="eastAsia"/>
          <w:lang w:eastAsia="zh-CN"/>
        </w:rPr>
        <w:t>。</w:t>
      </w:r>
      <w:r w:rsidR="00DC115D" w:rsidRPr="00462E79">
        <w:rPr>
          <w:vertAlign w:val="superscript"/>
        </w:rPr>
        <w:footnoteReference w:id="2"/>
      </w:r>
    </w:p>
    <w:p w14:paraId="67751885" w14:textId="46E5B45F" w:rsidR="00622560" w:rsidRDefault="00DD156D" w:rsidP="001024A7">
      <w:pPr>
        <w:ind w:firstLineChars="200" w:firstLine="480"/>
        <w:rPr>
          <w:lang w:eastAsia="zh-CN"/>
        </w:rPr>
      </w:pPr>
      <w:r w:rsidRPr="00DD156D">
        <w:rPr>
          <w:rFonts w:hint="eastAsia"/>
          <w:lang w:eastAsia="zh-CN"/>
        </w:rPr>
        <w:t>很难预测技术、频谱需求、市场需求和其他因素将如何在</w:t>
      </w:r>
      <w:r>
        <w:rPr>
          <w:rFonts w:hint="eastAsia"/>
          <w:lang w:eastAsia="zh-CN"/>
        </w:rPr>
        <w:t>此</w:t>
      </w:r>
      <w:r w:rsidRPr="00DD156D">
        <w:rPr>
          <w:rFonts w:hint="eastAsia"/>
          <w:lang w:eastAsia="zh-CN"/>
        </w:rPr>
        <w:t>频率范围内演变。</w:t>
      </w:r>
      <w:r>
        <w:rPr>
          <w:rFonts w:hint="eastAsia"/>
          <w:lang w:eastAsia="zh-CN"/>
        </w:rPr>
        <w:t>在没有此类认知的情况下</w:t>
      </w:r>
      <w:r w:rsidRPr="00DD156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由</w:t>
      </w:r>
      <w:r w:rsidRPr="00DD156D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通过</w:t>
      </w:r>
      <w:r w:rsidRPr="00DD156D">
        <w:rPr>
          <w:rFonts w:hint="eastAsia"/>
          <w:lang w:eastAsia="zh-CN"/>
        </w:rPr>
        <w:t>议项</w:t>
      </w:r>
      <w:r w:rsidRPr="00DD156D"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针对</w:t>
      </w:r>
      <w:r w:rsidRPr="00DD156D">
        <w:rPr>
          <w:rFonts w:hint="eastAsia"/>
          <w:lang w:eastAsia="zh-CN"/>
        </w:rPr>
        <w:t>66-71</w:t>
      </w:r>
      <w:r w:rsidRPr="00DD156D">
        <w:rPr>
          <w:lang w:eastAsia="zh-CN"/>
        </w:rPr>
        <w:t xml:space="preserve"> </w:t>
      </w:r>
      <w:r w:rsidRPr="00462E79">
        <w:rPr>
          <w:lang w:eastAsia="zh-CN"/>
        </w:rPr>
        <w:t>GHz</w:t>
      </w:r>
      <w:r>
        <w:rPr>
          <w:rFonts w:hint="eastAsia"/>
          <w:lang w:eastAsia="zh-CN"/>
        </w:rPr>
        <w:t>频</w:t>
      </w:r>
      <w:r w:rsidRPr="00DD156D">
        <w:rPr>
          <w:rFonts w:hint="eastAsia"/>
          <w:lang w:eastAsia="zh-CN"/>
        </w:rPr>
        <w:t>段采取国际条约</w:t>
      </w:r>
      <w:r>
        <w:rPr>
          <w:rFonts w:hint="eastAsia"/>
          <w:lang w:eastAsia="zh-CN"/>
        </w:rPr>
        <w:t>层面</w:t>
      </w:r>
      <w:r w:rsidRPr="00DD156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监管</w:t>
      </w:r>
      <w:r w:rsidRPr="00DD156D">
        <w:rPr>
          <w:rFonts w:hint="eastAsia"/>
          <w:lang w:eastAsia="zh-CN"/>
        </w:rPr>
        <w:t>行动</w:t>
      </w:r>
      <w:r>
        <w:rPr>
          <w:rFonts w:hint="eastAsia"/>
          <w:lang w:eastAsia="zh-CN"/>
        </w:rPr>
        <w:t>，尚</w:t>
      </w:r>
      <w:r w:rsidRPr="00DD156D">
        <w:rPr>
          <w:rFonts w:hint="eastAsia"/>
          <w:lang w:eastAsia="zh-CN"/>
        </w:rPr>
        <w:t>为时过早</w:t>
      </w:r>
      <w:r>
        <w:rPr>
          <w:rFonts w:hint="eastAsia"/>
          <w:lang w:eastAsia="zh-CN"/>
        </w:rPr>
        <w:t>并将</w:t>
      </w:r>
      <w:r w:rsidRPr="00DD156D">
        <w:rPr>
          <w:rFonts w:hint="eastAsia"/>
          <w:lang w:eastAsia="zh-CN"/>
        </w:rPr>
        <w:t>适得其反。</w:t>
      </w:r>
      <w:r>
        <w:rPr>
          <w:rFonts w:hint="eastAsia"/>
          <w:lang w:eastAsia="zh-CN"/>
        </w:rPr>
        <w:t>确定将</w:t>
      </w:r>
      <w:r w:rsidRPr="00DD156D">
        <w:rPr>
          <w:rFonts w:hint="eastAsia"/>
          <w:lang w:eastAsia="zh-CN"/>
        </w:rPr>
        <w:t>66-71</w:t>
      </w:r>
      <w:r w:rsidRPr="00DD156D">
        <w:rPr>
          <w:lang w:eastAsia="zh-CN"/>
        </w:rPr>
        <w:t xml:space="preserve"> </w:t>
      </w:r>
      <w:r w:rsidRPr="00462E79">
        <w:rPr>
          <w:lang w:eastAsia="zh-CN"/>
        </w:rPr>
        <w:t>GHz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DD156D">
        <w:rPr>
          <w:rFonts w:hint="eastAsia"/>
          <w:lang w:eastAsia="zh-CN"/>
        </w:rPr>
        <w:t>无助于实现国际协调。相反，这种行动将对现有业务造成严重破坏，并</w:t>
      </w:r>
      <w:r>
        <w:rPr>
          <w:rFonts w:hint="eastAsia"/>
          <w:lang w:eastAsia="zh-CN"/>
        </w:rPr>
        <w:t>会</w:t>
      </w:r>
      <w:r w:rsidRPr="00DD156D">
        <w:rPr>
          <w:rFonts w:hint="eastAsia"/>
          <w:lang w:eastAsia="zh-CN"/>
        </w:rPr>
        <w:t>阻碍正在进行的其他类型</w:t>
      </w:r>
      <w:r>
        <w:rPr>
          <w:rFonts w:hint="eastAsia"/>
          <w:lang w:eastAsia="zh-CN"/>
        </w:rPr>
        <w:t>数</w:t>
      </w:r>
      <w:r w:rsidRPr="00DD156D">
        <w:rPr>
          <w:rFonts w:hint="eastAsia"/>
          <w:lang w:eastAsia="zh-CN"/>
        </w:rPr>
        <w:t>千</w:t>
      </w:r>
      <w:r>
        <w:rPr>
          <w:rFonts w:hint="eastAsia"/>
          <w:lang w:eastAsia="zh-CN"/>
        </w:rPr>
        <w:t>兆比</w:t>
      </w:r>
      <w:r w:rsidRPr="00DD156D">
        <w:rPr>
          <w:rFonts w:hint="eastAsia"/>
          <w:lang w:eastAsia="zh-CN"/>
        </w:rPr>
        <w:t>技术的研发。</w:t>
      </w:r>
    </w:p>
    <w:p w14:paraId="123A8DF2" w14:textId="77777777" w:rsidR="00B868FC" w:rsidRDefault="00B868FC" w:rsidP="00EB4F0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B643868" w14:textId="77777777" w:rsidR="00F56974" w:rsidRDefault="007442B9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ED4D029" w14:textId="77777777" w:rsidR="00F56974" w:rsidRDefault="007442B9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542A1C4" w14:textId="77777777" w:rsidR="00F56974" w:rsidRDefault="007442B9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844B332" w14:textId="77777777" w:rsidR="00476E70" w:rsidRDefault="007442B9">
      <w:pPr>
        <w:pStyle w:val="Proposal"/>
      </w:pPr>
      <w:r>
        <w:rPr>
          <w:u w:val="single"/>
        </w:rPr>
        <w:t>NOC</w:t>
      </w:r>
      <w:r>
        <w:tab/>
        <w:t>IAP/11A13A5/1</w:t>
      </w:r>
    </w:p>
    <w:p w14:paraId="6E9B5A94" w14:textId="77777777" w:rsidR="00F56974" w:rsidRDefault="007442B9" w:rsidP="00F56974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5F7A7A2F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58EEE2AA" w14:textId="77777777" w:rsidR="00F56974" w:rsidRDefault="007442B9" w:rsidP="00CC31E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F56974" w14:paraId="06908D79" w14:textId="77777777" w:rsidTr="00CD777B">
        <w:trPr>
          <w:cantSplit/>
          <w:jc w:val="center"/>
        </w:trPr>
        <w:tc>
          <w:tcPr>
            <w:tcW w:w="3118" w:type="dxa"/>
          </w:tcPr>
          <w:p w14:paraId="78AE4286" w14:textId="77777777" w:rsidR="00F56974" w:rsidRDefault="007442B9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503B0CA2" w14:textId="77777777" w:rsidR="00F56974" w:rsidRDefault="007442B9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046089BB" w14:textId="77777777" w:rsidR="00F56974" w:rsidRDefault="007442B9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7CDD674C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29019D2" w14:textId="77777777" w:rsidR="00F56974" w:rsidRPr="008E2DCC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66-71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卫星间</w:t>
            </w:r>
          </w:p>
          <w:p w14:paraId="1D3B7657" w14:textId="77777777" w:rsidR="00F56974" w:rsidRPr="008E2DCC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  <w:r w:rsidRPr="008E2DCC">
              <w:rPr>
                <w:lang w:eastAsia="zh-CN"/>
              </w:rPr>
              <w:t xml:space="preserve">  5.553  5.558</w:t>
            </w:r>
          </w:p>
          <w:p w14:paraId="0D37B48F" w14:textId="77777777" w:rsidR="00F56974" w:rsidRPr="00BE0201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</w:p>
          <w:p w14:paraId="2D169A55" w14:textId="77777777" w:rsidR="00F56974" w:rsidRPr="00BE0201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无线电导航</w:t>
            </w:r>
          </w:p>
          <w:p w14:paraId="572B7430" w14:textId="77777777" w:rsidR="00F56974" w:rsidRPr="00BE0201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卫星无线电导航</w:t>
            </w:r>
          </w:p>
          <w:p w14:paraId="39152FF4" w14:textId="77777777" w:rsidR="00F56974" w:rsidRPr="008E2DCC" w:rsidRDefault="007442B9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tab/>
            </w:r>
            <w:r w:rsidRPr="008E2DCC">
              <w:tab/>
              <w:t>5.554</w:t>
            </w:r>
          </w:p>
        </w:tc>
      </w:tr>
    </w:tbl>
    <w:p w14:paraId="582A88DD" w14:textId="14176292" w:rsidR="00476E70" w:rsidRDefault="007442B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B4F04" w:rsidRPr="00EB4F04">
        <w:rPr>
          <w:rFonts w:hint="eastAsia"/>
          <w:lang w:eastAsia="zh-CN"/>
        </w:rPr>
        <w:t>WRC-19</w:t>
      </w:r>
      <w:r w:rsidR="00EB4F04">
        <w:rPr>
          <w:rFonts w:hint="eastAsia"/>
          <w:lang w:eastAsia="zh-CN"/>
        </w:rPr>
        <w:t>的筹备过程中尚未开展相关</w:t>
      </w:r>
      <w:r w:rsidR="00EB4F04" w:rsidRPr="00EB4F04">
        <w:rPr>
          <w:rFonts w:hint="eastAsia"/>
          <w:lang w:eastAsia="zh-CN"/>
        </w:rPr>
        <w:t>研究</w:t>
      </w:r>
      <w:r w:rsidR="00EB4F04">
        <w:rPr>
          <w:rFonts w:hint="eastAsia"/>
          <w:lang w:eastAsia="zh-CN"/>
        </w:rPr>
        <w:t>，以证明</w:t>
      </w:r>
      <w:r w:rsidR="00EB4F04">
        <w:rPr>
          <w:rFonts w:hint="eastAsia"/>
          <w:lang w:eastAsia="zh-CN"/>
        </w:rPr>
        <w:t>I</w:t>
      </w:r>
      <w:r w:rsidR="00EB4F04">
        <w:rPr>
          <w:lang w:eastAsia="zh-CN"/>
        </w:rPr>
        <w:t>MT</w:t>
      </w:r>
      <w:r w:rsidR="00EB4F04">
        <w:rPr>
          <w:rFonts w:hint="eastAsia"/>
          <w:lang w:eastAsia="zh-CN"/>
        </w:rPr>
        <w:t>可</w:t>
      </w:r>
      <w:r w:rsidR="00EB4F04" w:rsidRPr="00EB4F04">
        <w:rPr>
          <w:rFonts w:hint="eastAsia"/>
          <w:lang w:eastAsia="zh-CN"/>
        </w:rPr>
        <w:t>与现有</w:t>
      </w:r>
      <w:r w:rsidR="00EB4F04">
        <w:rPr>
          <w:rFonts w:hint="eastAsia"/>
          <w:lang w:eastAsia="zh-CN"/>
        </w:rPr>
        <w:t>和拟议的</w:t>
      </w:r>
      <w:r w:rsidR="00EB4F04" w:rsidRPr="00EB4F04">
        <w:rPr>
          <w:rFonts w:hint="eastAsia"/>
          <w:lang w:eastAsia="zh-CN"/>
        </w:rPr>
        <w:t>空间</w:t>
      </w:r>
      <w:r w:rsidR="00EB4F04">
        <w:rPr>
          <w:rFonts w:hint="eastAsia"/>
          <w:lang w:eastAsia="zh-CN"/>
        </w:rPr>
        <w:t>业</w:t>
      </w:r>
      <w:r w:rsidR="00EB4F04" w:rsidRPr="00EB4F04">
        <w:rPr>
          <w:rFonts w:hint="eastAsia"/>
          <w:lang w:eastAsia="zh-CN"/>
        </w:rPr>
        <w:t>务</w:t>
      </w:r>
      <w:r w:rsidR="00B06F18">
        <w:rPr>
          <w:rFonts w:hint="eastAsia"/>
          <w:lang w:eastAsia="zh-CN"/>
        </w:rPr>
        <w:t>网络</w:t>
      </w:r>
      <w:r w:rsidR="00EB4F04">
        <w:rPr>
          <w:rFonts w:hint="eastAsia"/>
          <w:lang w:eastAsia="zh-CN"/>
        </w:rPr>
        <w:t>以及</w:t>
      </w:r>
      <w:r w:rsidR="00EB4F04" w:rsidRPr="00DC115D">
        <w:rPr>
          <w:lang w:eastAsia="zh-CN"/>
        </w:rPr>
        <w:t>66-71 GHz</w:t>
      </w:r>
      <w:r w:rsidR="00EB4F04">
        <w:rPr>
          <w:rFonts w:hint="eastAsia"/>
          <w:lang w:eastAsia="zh-CN"/>
        </w:rPr>
        <w:t>频</w:t>
      </w:r>
      <w:r w:rsidR="00EB4F04" w:rsidRPr="00EB4F04">
        <w:rPr>
          <w:rFonts w:hint="eastAsia"/>
          <w:lang w:eastAsia="zh-CN"/>
        </w:rPr>
        <w:t>段无线电导航系统兼容。</w:t>
      </w:r>
      <w:r w:rsidR="00EB4F04">
        <w:rPr>
          <w:rFonts w:hint="eastAsia"/>
          <w:lang w:eastAsia="zh-CN"/>
        </w:rPr>
        <w:t>确定将</w:t>
      </w:r>
      <w:r w:rsidR="00EB4F04" w:rsidRPr="00DC115D">
        <w:rPr>
          <w:lang w:eastAsia="zh-CN"/>
        </w:rPr>
        <w:t>66-71 GHz</w:t>
      </w:r>
      <w:r w:rsidR="00EB4F04">
        <w:rPr>
          <w:rFonts w:hint="eastAsia"/>
          <w:lang w:eastAsia="zh-CN"/>
        </w:rPr>
        <w:t>频</w:t>
      </w:r>
      <w:r w:rsidR="00EB4F04" w:rsidRPr="00EB4F04">
        <w:rPr>
          <w:rFonts w:hint="eastAsia"/>
          <w:lang w:eastAsia="zh-CN"/>
        </w:rPr>
        <w:t>段</w:t>
      </w:r>
      <w:r w:rsidR="00EB4F04">
        <w:rPr>
          <w:rFonts w:hint="eastAsia"/>
          <w:lang w:eastAsia="zh-CN"/>
        </w:rPr>
        <w:t>用于</w:t>
      </w:r>
      <w:r w:rsidR="00EB4F04">
        <w:rPr>
          <w:rFonts w:hint="eastAsia"/>
          <w:lang w:eastAsia="zh-CN"/>
        </w:rPr>
        <w:t>I</w:t>
      </w:r>
      <w:r w:rsidR="00EB4F04">
        <w:rPr>
          <w:lang w:eastAsia="zh-CN"/>
        </w:rPr>
        <w:t>MT</w:t>
      </w:r>
      <w:r w:rsidR="00EB4F04" w:rsidRPr="00EB4F04">
        <w:rPr>
          <w:rFonts w:hint="eastAsia"/>
          <w:lang w:eastAsia="zh-CN"/>
        </w:rPr>
        <w:t>不利于实现国际协调，因为许多</w:t>
      </w:r>
      <w:r w:rsidR="00EB4F04">
        <w:rPr>
          <w:rFonts w:hint="eastAsia"/>
          <w:lang w:eastAsia="zh-CN"/>
        </w:rPr>
        <w:t>主管</w:t>
      </w:r>
      <w:r w:rsidR="00EB4F04" w:rsidRPr="00EB4F04">
        <w:rPr>
          <w:rFonts w:hint="eastAsia"/>
          <w:lang w:eastAsia="zh-CN"/>
        </w:rPr>
        <w:t>部门</w:t>
      </w:r>
      <w:r w:rsidR="00EB4F04">
        <w:rPr>
          <w:rFonts w:hint="eastAsia"/>
          <w:lang w:eastAsia="zh-CN"/>
        </w:rPr>
        <w:t>已</w:t>
      </w:r>
      <w:r w:rsidR="00EB4F04" w:rsidRPr="00EB4F04">
        <w:rPr>
          <w:rFonts w:hint="eastAsia"/>
          <w:lang w:eastAsia="zh-CN"/>
        </w:rPr>
        <w:t>确认</w:t>
      </w:r>
      <w:r w:rsidR="00EB4F04">
        <w:rPr>
          <w:rFonts w:hint="eastAsia"/>
          <w:lang w:eastAsia="zh-CN"/>
        </w:rPr>
        <w:t>了采用无牌照</w:t>
      </w:r>
      <w:r w:rsidR="00EB4F04" w:rsidRPr="00EB4F04">
        <w:rPr>
          <w:rFonts w:hint="eastAsia"/>
          <w:lang w:eastAsia="zh-CN"/>
        </w:rPr>
        <w:t>技术的计划，</w:t>
      </w:r>
      <w:r w:rsidR="00EB4F04">
        <w:rPr>
          <w:rFonts w:hint="eastAsia"/>
          <w:lang w:eastAsia="zh-CN"/>
        </w:rPr>
        <w:t>例如数</w:t>
      </w:r>
      <w:r w:rsidR="00EB4F04" w:rsidRPr="00DD156D">
        <w:rPr>
          <w:rFonts w:hint="eastAsia"/>
          <w:lang w:eastAsia="zh-CN"/>
        </w:rPr>
        <w:t>千</w:t>
      </w:r>
      <w:r w:rsidR="00EB4F04">
        <w:rPr>
          <w:rFonts w:hint="eastAsia"/>
          <w:lang w:eastAsia="zh-CN"/>
        </w:rPr>
        <w:t>兆比无线</w:t>
      </w:r>
      <w:r w:rsidR="00EB4F04" w:rsidRPr="00EB4F04">
        <w:rPr>
          <w:rFonts w:hint="eastAsia"/>
          <w:lang w:eastAsia="zh-CN"/>
        </w:rPr>
        <w:t>系统</w:t>
      </w:r>
      <w:r w:rsidR="001825DA">
        <w:rPr>
          <w:lang w:eastAsia="zh-CN"/>
        </w:rPr>
        <w:t>（</w:t>
      </w:r>
      <w:r w:rsidR="00EB4F04" w:rsidRPr="00DC115D">
        <w:rPr>
          <w:lang w:eastAsia="zh-CN"/>
        </w:rPr>
        <w:t>MGWS</w:t>
      </w:r>
      <w:r w:rsidR="001825DA">
        <w:rPr>
          <w:lang w:eastAsia="zh-CN"/>
        </w:rPr>
        <w:t>）</w:t>
      </w:r>
      <w:r w:rsidR="00EB4F04" w:rsidRPr="00EB4F04">
        <w:rPr>
          <w:rFonts w:hint="eastAsia"/>
          <w:lang w:eastAsia="zh-CN"/>
        </w:rPr>
        <w:t>。</w:t>
      </w:r>
    </w:p>
    <w:p w14:paraId="418DA301" w14:textId="77777777" w:rsidR="000845AD" w:rsidRDefault="000845AD">
      <w:pPr>
        <w:jc w:val="center"/>
      </w:pPr>
      <w:bookmarkStart w:id="9" w:name="_GoBack"/>
      <w:bookmarkEnd w:id="9"/>
      <w:r>
        <w:t>______________</w:t>
      </w:r>
    </w:p>
    <w:sectPr w:rsidR="000845AD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A9999" w14:textId="77777777" w:rsidR="00B6115E" w:rsidRDefault="00B6115E">
      <w:r>
        <w:separator/>
      </w:r>
    </w:p>
  </w:endnote>
  <w:endnote w:type="continuationSeparator" w:id="0">
    <w:p w14:paraId="6CEFA0A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8FF4" w14:textId="2A0BB973" w:rsidR="00B851D4" w:rsidRPr="00365168" w:rsidRDefault="00365168" w:rsidP="0036516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1115">
      <w:rPr>
        <w:lang w:val="en-US"/>
      </w:rPr>
      <w:t>P:\CHI\ITU-R\CONF-R\CMR19\000\011ADD13ADD05V2C.DOCX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460781)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7B86E" w14:textId="23D73B8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1115">
      <w:rPr>
        <w:lang w:val="en-US"/>
      </w:rPr>
      <w:t>P:\CHI\ITU-R\CONF-R\CMR19\000\011ADD13ADD05V2C.DOCX</w:t>
    </w:r>
    <w:r>
      <w:fldChar w:fldCharType="end"/>
    </w:r>
    <w:r w:rsidR="00365168">
      <w:rPr>
        <w:rFonts w:hint="eastAsia"/>
        <w:lang w:eastAsia="zh-CN"/>
      </w:rPr>
      <w:t xml:space="preserve"> (</w:t>
    </w:r>
    <w:r w:rsidR="00365168">
      <w:rPr>
        <w:lang w:eastAsia="zh-CN"/>
      </w:rPr>
      <w:t>460781)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F7400" w14:textId="77777777" w:rsidR="00B6115E" w:rsidRDefault="00B6115E">
      <w:r>
        <w:t>____________________</w:t>
      </w:r>
    </w:p>
  </w:footnote>
  <w:footnote w:type="continuationSeparator" w:id="0">
    <w:p w14:paraId="6B92BDF4" w14:textId="77777777" w:rsidR="00B6115E" w:rsidRDefault="00B6115E">
      <w:r>
        <w:continuationSeparator/>
      </w:r>
    </w:p>
  </w:footnote>
  <w:footnote w:id="1">
    <w:p w14:paraId="48D33923" w14:textId="74455CA7" w:rsidR="009F6737" w:rsidRDefault="009F6737" w:rsidP="00B15007">
      <w:pPr>
        <w:pStyle w:val="FootnoteText"/>
        <w:rPr>
          <w:sz w:val="20"/>
        </w:rPr>
      </w:pPr>
      <w:r>
        <w:rPr>
          <w:rStyle w:val="FootnoteReference"/>
        </w:rPr>
        <w:footnoteRef/>
      </w:r>
      <w:r>
        <w:tab/>
      </w:r>
      <w:r>
        <w:rPr>
          <w:rFonts w:hint="eastAsia"/>
          <w:lang w:eastAsia="zh-CN"/>
        </w:rPr>
        <w:t>见</w:t>
      </w:r>
      <w:hyperlink r:id="rId1" w:history="1">
        <w:r w:rsidR="00B15007" w:rsidRPr="00903BD4">
          <w:rPr>
            <w:rStyle w:val="Hyperlink"/>
          </w:rPr>
          <w:t>https://apps.fcc.gov/edocs_public/attachmatch/DOC-347449A1.pdf</w:t>
        </w:r>
      </w:hyperlink>
    </w:p>
  </w:footnote>
  <w:footnote w:id="2">
    <w:p w14:paraId="230763AF" w14:textId="08FDE35B" w:rsidR="00DC115D" w:rsidRDefault="00DC115D" w:rsidP="00DC115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DD156D" w:rsidRPr="00DD156D">
        <w:rPr>
          <w:rFonts w:ascii="STKaiti" w:eastAsia="STKaiti" w:hAnsi="STKaiti" w:hint="eastAsia"/>
          <w:iCs/>
          <w:lang w:eastAsia="zh-CN"/>
        </w:rPr>
        <w:t>见</w:t>
      </w:r>
      <w:r>
        <w:rPr>
          <w:lang w:eastAsia="zh-CN"/>
        </w:rPr>
        <w:t>ITU-R 5-1/32</w:t>
      </w:r>
      <w:r w:rsidR="00EB4F04">
        <w:rPr>
          <w:rFonts w:hint="eastAsia"/>
          <w:lang w:eastAsia="zh-CN"/>
        </w:rPr>
        <w:t>号文件、</w:t>
      </w:r>
      <w:r>
        <w:rPr>
          <w:lang w:eastAsia="zh-CN"/>
        </w:rPr>
        <w:t xml:space="preserve">ITU-R </w:t>
      </w:r>
      <w:hyperlink r:id="rId2" w:history="1">
        <w:r>
          <w:rPr>
            <w:rStyle w:val="Hyperlink"/>
            <w:lang w:eastAsia="zh-CN"/>
          </w:rPr>
          <w:t>M.2003</w:t>
        </w:r>
      </w:hyperlink>
      <w:r>
        <w:rPr>
          <w:lang w:eastAsia="zh-CN"/>
        </w:rPr>
        <w:t>-2</w:t>
      </w:r>
      <w:r w:rsidR="00EB4F04">
        <w:rPr>
          <w:rFonts w:hint="eastAsia"/>
          <w:lang w:eastAsia="zh-CN"/>
        </w:rPr>
        <w:t>建议书和</w:t>
      </w:r>
      <w:r>
        <w:rPr>
          <w:lang w:eastAsia="zh-CN"/>
        </w:rPr>
        <w:t>ITU</w:t>
      </w:r>
      <w:r>
        <w:rPr>
          <w:lang w:eastAsia="zh-CN"/>
        </w:rPr>
        <w:noBreakHyphen/>
        <w:t xml:space="preserve">R </w:t>
      </w:r>
      <w:hyperlink r:id="rId3" w:history="1">
        <w:r>
          <w:rPr>
            <w:rStyle w:val="Hyperlink"/>
            <w:lang w:eastAsia="zh-CN"/>
          </w:rPr>
          <w:t>M.2227-2</w:t>
        </w:r>
      </w:hyperlink>
      <w:r w:rsidR="00EB4F04" w:rsidRPr="00EB4F04">
        <w:rPr>
          <w:lang w:eastAsia="zh-CN"/>
        </w:rPr>
        <w:t>号报告。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D86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11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3166E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11(Add.13</w:t>
    </w:r>
    <w:proofErr w:type="gramStart"/>
    <w:r w:rsidR="00C929E0">
      <w:t>)(</w:t>
    </w:r>
    <w:proofErr w:type="gramEnd"/>
    <w:r w:rsidR="00C929E0">
      <w:t>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6E88"/>
    <w:rsid w:val="000264C2"/>
    <w:rsid w:val="000273B7"/>
    <w:rsid w:val="00037C90"/>
    <w:rsid w:val="00060B2F"/>
    <w:rsid w:val="000845AD"/>
    <w:rsid w:val="000C0212"/>
    <w:rsid w:val="000C09BA"/>
    <w:rsid w:val="000C1F1E"/>
    <w:rsid w:val="000C6AA7"/>
    <w:rsid w:val="000E26F6"/>
    <w:rsid w:val="001024A7"/>
    <w:rsid w:val="00106535"/>
    <w:rsid w:val="00123C07"/>
    <w:rsid w:val="00166859"/>
    <w:rsid w:val="001765EC"/>
    <w:rsid w:val="001825DA"/>
    <w:rsid w:val="001853E8"/>
    <w:rsid w:val="001A4E73"/>
    <w:rsid w:val="001B6360"/>
    <w:rsid w:val="001F4EA6"/>
    <w:rsid w:val="00214959"/>
    <w:rsid w:val="0022272C"/>
    <w:rsid w:val="002260A6"/>
    <w:rsid w:val="0023592E"/>
    <w:rsid w:val="00251E78"/>
    <w:rsid w:val="002742B3"/>
    <w:rsid w:val="002A4C9C"/>
    <w:rsid w:val="002B509B"/>
    <w:rsid w:val="002E2A59"/>
    <w:rsid w:val="002E4507"/>
    <w:rsid w:val="00305254"/>
    <w:rsid w:val="003169D2"/>
    <w:rsid w:val="00330EEF"/>
    <w:rsid w:val="00365168"/>
    <w:rsid w:val="003B4BEF"/>
    <w:rsid w:val="003B6399"/>
    <w:rsid w:val="003C6B45"/>
    <w:rsid w:val="003E48E2"/>
    <w:rsid w:val="003E5931"/>
    <w:rsid w:val="0041282E"/>
    <w:rsid w:val="00437869"/>
    <w:rsid w:val="00465A34"/>
    <w:rsid w:val="00476E70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4D14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442B9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39C8"/>
    <w:rsid w:val="0099525B"/>
    <w:rsid w:val="009A0966"/>
    <w:rsid w:val="009C72B7"/>
    <w:rsid w:val="009F6737"/>
    <w:rsid w:val="00A0052C"/>
    <w:rsid w:val="00A31B14"/>
    <w:rsid w:val="00A323DC"/>
    <w:rsid w:val="00A466E6"/>
    <w:rsid w:val="00A60381"/>
    <w:rsid w:val="00A65898"/>
    <w:rsid w:val="00A67417"/>
    <w:rsid w:val="00A71115"/>
    <w:rsid w:val="00A815BE"/>
    <w:rsid w:val="00A93295"/>
    <w:rsid w:val="00AA5DA1"/>
    <w:rsid w:val="00AC2C94"/>
    <w:rsid w:val="00AE369F"/>
    <w:rsid w:val="00B026CB"/>
    <w:rsid w:val="00B06F18"/>
    <w:rsid w:val="00B15007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115D"/>
    <w:rsid w:val="00DD13B7"/>
    <w:rsid w:val="00DD156D"/>
    <w:rsid w:val="00DF3B0C"/>
    <w:rsid w:val="00E14984"/>
    <w:rsid w:val="00E22A25"/>
    <w:rsid w:val="00E560F1"/>
    <w:rsid w:val="00E92319"/>
    <w:rsid w:val="00EB4F0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0AB1E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C115D"/>
    <w:rPr>
      <w:rFonts w:ascii="Times New Roman" w:hAnsi="Times New Roman"/>
      <w:sz w:val="22"/>
      <w:lang w:val="en-GB" w:eastAsia="en-US"/>
    </w:rPr>
  </w:style>
  <w:style w:type="character" w:styleId="Hyperlink">
    <w:name w:val="Hyperlink"/>
    <w:aliases w:val="超级链接,CEO_Hyperlink"/>
    <w:uiPriority w:val="99"/>
    <w:unhideWhenUsed/>
    <w:qFormat/>
    <w:rsid w:val="00DC1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pub/R-REP-M.2227" TargetMode="External"/><Relationship Id="rId2" Type="http://schemas.openxmlformats.org/officeDocument/2006/relationships/hyperlink" Target="http://www.itu.int/rec/R-REC-M.2003/en" TargetMode="External"/><Relationship Id="rId1" Type="http://schemas.openxmlformats.org/officeDocument/2006/relationships/hyperlink" Target="https://apps.fcc.gov/edocs_public/attachmatch/DOC-347449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dc2148-c095-466c-9905-4782c0813371">DPM</DPM_x0020_Author>
    <DPM_x0020_File_x0020_name xmlns="46dc2148-c095-466c-9905-4782c0813371">R16-WRC19-C-0011!A13-A5!MSW-C</DPM_x0020_File_x0020_name>
    <DPM_x0020_Version xmlns="46dc2148-c095-466c-9905-4782c0813371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dc2148-c095-466c-9905-4782c0813371" targetNamespace="http://schemas.microsoft.com/office/2006/metadata/properties" ma:root="true" ma:fieldsID="d41af5c836d734370eb92e7ee5f83852" ns2:_="" ns3:_="">
    <xsd:import namespace="996b2e75-67fd-4955-a3b0-5ab9934cb50b"/>
    <xsd:import namespace="46dc2148-c095-466c-9905-4782c08133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2148-c095-466c-9905-4782c08133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c2148-c095-466c-9905-4782c0813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dc2148-c095-466c-9905-4782c0813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20DFDD-2C7C-4ADA-B273-15859428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1041</Words>
  <Characters>1281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R16-WRC19-C-0011!A13-A5!MSW-C</vt:lpstr>
    </vt:vector>
  </TitlesOfParts>
  <Manager>General Secretariat - Pool</Manager>
  <Company>International Telecommunication Union (ITU)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R16-WRC19-C-0011!A13-A5!MSW-C</dc:title>
  <dc:subject>World Radiocommunication Conference - 2019</dc:subject>
  <dc:creator>Documents Proposals Manager (DPM)</dc:creator>
  <cp:keywords>DPM_v2019.9.18.2_prod</cp:keywords>
  <dc:description/>
  <cp:lastModifiedBy>Liu, Jing</cp:lastModifiedBy>
  <cp:revision>5</cp:revision>
  <cp:lastPrinted>2019-10-04T12:06:00Z</cp:lastPrinted>
  <dcterms:created xsi:type="dcterms:W3CDTF">2019-10-04T12:05:00Z</dcterms:created>
  <dcterms:modified xsi:type="dcterms:W3CDTF">2019-10-04T12:06:00Z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