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43DDE05" w14:textId="77777777" w:rsidTr="0050008E">
        <w:trPr>
          <w:cantSplit/>
        </w:trPr>
        <w:tc>
          <w:tcPr>
            <w:tcW w:w="6911" w:type="dxa"/>
          </w:tcPr>
          <w:p w14:paraId="232AEF14"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1228465"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37CA8563" wp14:editId="6F6BE71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20C3CC2D" w14:textId="77777777" w:rsidTr="0050008E">
        <w:trPr>
          <w:cantSplit/>
        </w:trPr>
        <w:tc>
          <w:tcPr>
            <w:tcW w:w="6911" w:type="dxa"/>
            <w:tcBorders>
              <w:bottom w:val="single" w:sz="12" w:space="0" w:color="auto"/>
            </w:tcBorders>
          </w:tcPr>
          <w:p w14:paraId="347B6306" w14:textId="77777777" w:rsidR="00BB1D82" w:rsidRPr="002A6F8F" w:rsidRDefault="00BB1D82" w:rsidP="00BB1D82">
            <w:pPr>
              <w:spacing w:before="0" w:after="48" w:line="240" w:lineRule="atLeast"/>
              <w:rPr>
                <w:b/>
                <w:smallCaps/>
                <w:szCs w:val="24"/>
                <w:lang w:val="en-US"/>
              </w:rPr>
            </w:pPr>
            <w:bookmarkStart w:id="0" w:name="dhead"/>
          </w:p>
        </w:tc>
        <w:tc>
          <w:tcPr>
            <w:tcW w:w="3120" w:type="dxa"/>
            <w:tcBorders>
              <w:bottom w:val="single" w:sz="12" w:space="0" w:color="auto"/>
            </w:tcBorders>
          </w:tcPr>
          <w:p w14:paraId="7C92A4A8" w14:textId="77777777" w:rsidR="00BB1D82" w:rsidRPr="002A6F8F" w:rsidRDefault="00BB1D82" w:rsidP="00BB1D82">
            <w:pPr>
              <w:spacing w:before="0" w:line="240" w:lineRule="atLeast"/>
              <w:rPr>
                <w:rFonts w:ascii="Verdana" w:hAnsi="Verdana"/>
                <w:szCs w:val="24"/>
                <w:lang w:val="en-US"/>
              </w:rPr>
            </w:pPr>
          </w:p>
        </w:tc>
      </w:tr>
      <w:tr w:rsidR="00BB1D82" w:rsidRPr="002A6F8F" w14:paraId="4D370944" w14:textId="77777777" w:rsidTr="00BB1D82">
        <w:trPr>
          <w:cantSplit/>
        </w:trPr>
        <w:tc>
          <w:tcPr>
            <w:tcW w:w="6911" w:type="dxa"/>
            <w:tcBorders>
              <w:top w:val="single" w:sz="12" w:space="0" w:color="auto"/>
            </w:tcBorders>
          </w:tcPr>
          <w:p w14:paraId="127C99AA"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511FD4E4" w14:textId="77777777" w:rsidR="00BB1D82" w:rsidRPr="002A6F8F" w:rsidRDefault="00BB1D82" w:rsidP="00BB1D82">
            <w:pPr>
              <w:spacing w:before="0" w:line="240" w:lineRule="atLeast"/>
              <w:rPr>
                <w:rFonts w:ascii="Verdana" w:hAnsi="Verdana"/>
                <w:sz w:val="20"/>
                <w:lang w:val="en-US"/>
              </w:rPr>
            </w:pPr>
          </w:p>
        </w:tc>
      </w:tr>
      <w:tr w:rsidR="00BB1D82" w:rsidRPr="002A6F8F" w14:paraId="1A598091" w14:textId="77777777" w:rsidTr="00BB1D82">
        <w:trPr>
          <w:cantSplit/>
        </w:trPr>
        <w:tc>
          <w:tcPr>
            <w:tcW w:w="6911" w:type="dxa"/>
          </w:tcPr>
          <w:p w14:paraId="536B58C2"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838E942" w14:textId="77777777" w:rsidR="00BB1D82" w:rsidRPr="00636F41" w:rsidRDefault="006D4724" w:rsidP="00BA5BD0">
            <w:pPr>
              <w:spacing w:before="0"/>
              <w:rPr>
                <w:rFonts w:ascii="Verdana" w:hAnsi="Verdana"/>
                <w:sz w:val="20"/>
              </w:rPr>
            </w:pPr>
            <w:r w:rsidRPr="00636F41">
              <w:rPr>
                <w:rFonts w:ascii="Verdana" w:hAnsi="Verdana"/>
                <w:b/>
                <w:sz w:val="20"/>
              </w:rPr>
              <w:t>Addendum 5 au</w:t>
            </w:r>
            <w:r w:rsidRPr="00636F41">
              <w:rPr>
                <w:rFonts w:ascii="Verdana" w:hAnsi="Verdana"/>
                <w:b/>
                <w:sz w:val="20"/>
              </w:rPr>
              <w:br/>
              <w:t>Document 11(Add.13)</w:t>
            </w:r>
            <w:r w:rsidR="00BB1D82" w:rsidRPr="00636F41">
              <w:rPr>
                <w:rFonts w:ascii="Verdana" w:hAnsi="Verdana"/>
                <w:b/>
                <w:sz w:val="20"/>
              </w:rPr>
              <w:t>-</w:t>
            </w:r>
            <w:r w:rsidRPr="00636F41">
              <w:rPr>
                <w:rFonts w:ascii="Verdana" w:hAnsi="Verdana"/>
                <w:b/>
                <w:sz w:val="20"/>
              </w:rPr>
              <w:t>F</w:t>
            </w:r>
          </w:p>
        </w:tc>
      </w:tr>
      <w:tr w:rsidR="00690C7B" w:rsidRPr="002A6F8F" w14:paraId="0ABAD255" w14:textId="77777777" w:rsidTr="00BB1D82">
        <w:trPr>
          <w:cantSplit/>
        </w:trPr>
        <w:tc>
          <w:tcPr>
            <w:tcW w:w="6911" w:type="dxa"/>
          </w:tcPr>
          <w:p w14:paraId="76A5EA41" w14:textId="77777777" w:rsidR="00690C7B" w:rsidRPr="00636F41" w:rsidRDefault="00690C7B" w:rsidP="00BA5BD0">
            <w:pPr>
              <w:spacing w:before="0"/>
              <w:rPr>
                <w:rFonts w:ascii="Verdana" w:hAnsi="Verdana"/>
                <w:b/>
                <w:sz w:val="20"/>
              </w:rPr>
            </w:pPr>
            <w:bookmarkStart w:id="1" w:name="_GoBack"/>
            <w:bookmarkEnd w:id="0"/>
            <w:bookmarkEnd w:id="1"/>
          </w:p>
        </w:tc>
        <w:tc>
          <w:tcPr>
            <w:tcW w:w="3120" w:type="dxa"/>
          </w:tcPr>
          <w:p w14:paraId="5618A690" w14:textId="40CBA1E2" w:rsidR="00690C7B" w:rsidRPr="002A6F8F" w:rsidRDefault="00636F41" w:rsidP="00BA5BD0">
            <w:pPr>
              <w:spacing w:before="0"/>
              <w:rPr>
                <w:rFonts w:ascii="Verdana" w:hAnsi="Verdana"/>
                <w:b/>
                <w:sz w:val="20"/>
                <w:lang w:val="en-US"/>
              </w:rPr>
            </w:pPr>
            <w:r>
              <w:rPr>
                <w:rFonts w:ascii="Verdana" w:hAnsi="Verdana"/>
                <w:b/>
                <w:sz w:val="20"/>
                <w:lang w:val="en-US"/>
              </w:rPr>
              <w:t>13</w:t>
            </w:r>
            <w:r w:rsidR="00690C7B" w:rsidRPr="002A6F8F">
              <w:rPr>
                <w:rFonts w:ascii="Verdana" w:hAnsi="Verdana"/>
                <w:b/>
                <w:sz w:val="20"/>
                <w:lang w:val="en-US"/>
              </w:rPr>
              <w:t xml:space="preserve"> septembre 2019</w:t>
            </w:r>
          </w:p>
        </w:tc>
      </w:tr>
      <w:tr w:rsidR="00690C7B" w:rsidRPr="002A6F8F" w14:paraId="27331C62" w14:textId="77777777" w:rsidTr="00BB1D82">
        <w:trPr>
          <w:cantSplit/>
        </w:trPr>
        <w:tc>
          <w:tcPr>
            <w:tcW w:w="6911" w:type="dxa"/>
          </w:tcPr>
          <w:p w14:paraId="3C23CF8F" w14:textId="77777777" w:rsidR="00690C7B" w:rsidRPr="002A6F8F" w:rsidRDefault="00690C7B" w:rsidP="00BA5BD0">
            <w:pPr>
              <w:spacing w:before="0" w:after="48"/>
              <w:rPr>
                <w:rFonts w:ascii="Verdana" w:hAnsi="Verdana"/>
                <w:b/>
                <w:smallCaps/>
                <w:sz w:val="20"/>
                <w:lang w:val="en-US"/>
              </w:rPr>
            </w:pPr>
          </w:p>
        </w:tc>
        <w:tc>
          <w:tcPr>
            <w:tcW w:w="3120" w:type="dxa"/>
          </w:tcPr>
          <w:p w14:paraId="7871CE3A" w14:textId="77777777" w:rsidR="00B61A60" w:rsidRDefault="00690C7B" w:rsidP="00BA5BD0">
            <w:pPr>
              <w:spacing w:before="0"/>
              <w:rPr>
                <w:rFonts w:ascii="Verdana" w:hAnsi="Verdana"/>
                <w:b/>
                <w:sz w:val="20"/>
                <w:lang w:val="en-US"/>
              </w:rPr>
            </w:pPr>
            <w:r w:rsidRPr="002A6F8F">
              <w:rPr>
                <w:rFonts w:ascii="Verdana" w:hAnsi="Verdana"/>
                <w:b/>
                <w:sz w:val="20"/>
                <w:lang w:val="en-US"/>
              </w:rPr>
              <w:t>Original:</w:t>
            </w:r>
          </w:p>
          <w:p w14:paraId="44DE8222" w14:textId="1BB13603" w:rsidR="00690C7B" w:rsidRPr="002A6F8F" w:rsidRDefault="00690C7B" w:rsidP="00BA5BD0">
            <w:pPr>
              <w:spacing w:before="0"/>
              <w:rPr>
                <w:rFonts w:ascii="Verdana" w:hAnsi="Verdana"/>
                <w:b/>
                <w:sz w:val="20"/>
                <w:lang w:val="en-US"/>
              </w:rPr>
            </w:pPr>
            <w:r w:rsidRPr="002A6F8F">
              <w:rPr>
                <w:rFonts w:ascii="Verdana" w:hAnsi="Verdana"/>
                <w:b/>
                <w:sz w:val="20"/>
                <w:lang w:val="en-US"/>
              </w:rPr>
              <w:t>anglais</w:t>
            </w:r>
            <w:r w:rsidR="00636F41">
              <w:rPr>
                <w:rFonts w:ascii="Verdana" w:hAnsi="Verdana"/>
                <w:b/>
                <w:sz w:val="20"/>
                <w:lang w:val="en-US"/>
              </w:rPr>
              <w:t>/espagnol</w:t>
            </w:r>
          </w:p>
        </w:tc>
      </w:tr>
      <w:tr w:rsidR="00690C7B" w:rsidRPr="002A6F8F" w14:paraId="6E28256A" w14:textId="77777777" w:rsidTr="00C11970">
        <w:trPr>
          <w:cantSplit/>
        </w:trPr>
        <w:tc>
          <w:tcPr>
            <w:tcW w:w="10031" w:type="dxa"/>
            <w:gridSpan w:val="2"/>
          </w:tcPr>
          <w:p w14:paraId="6ED4A0C2" w14:textId="77777777" w:rsidR="00690C7B" w:rsidRPr="002A6F8F" w:rsidRDefault="00690C7B" w:rsidP="00BA5BD0">
            <w:pPr>
              <w:spacing w:before="0"/>
              <w:rPr>
                <w:rFonts w:ascii="Verdana" w:hAnsi="Verdana"/>
                <w:b/>
                <w:sz w:val="20"/>
                <w:lang w:val="en-US"/>
              </w:rPr>
            </w:pPr>
          </w:p>
        </w:tc>
      </w:tr>
      <w:tr w:rsidR="00690C7B" w:rsidRPr="002A6F8F" w14:paraId="77F756A8" w14:textId="77777777" w:rsidTr="0050008E">
        <w:trPr>
          <w:cantSplit/>
        </w:trPr>
        <w:tc>
          <w:tcPr>
            <w:tcW w:w="10031" w:type="dxa"/>
            <w:gridSpan w:val="2"/>
          </w:tcPr>
          <w:p w14:paraId="153045ED" w14:textId="77777777" w:rsidR="00690C7B" w:rsidRPr="00636F41" w:rsidRDefault="00690C7B" w:rsidP="00690C7B">
            <w:pPr>
              <w:pStyle w:val="Source"/>
            </w:pPr>
            <w:bookmarkStart w:id="2" w:name="dsource" w:colFirst="0" w:colLast="0"/>
            <w:r w:rsidRPr="00636F41">
              <w:t>États Membres de la Commission interaméricaine des télécommunications (CITEL)</w:t>
            </w:r>
          </w:p>
        </w:tc>
      </w:tr>
      <w:tr w:rsidR="00690C7B" w:rsidRPr="00636F41" w14:paraId="17F3D2E4" w14:textId="77777777" w:rsidTr="0050008E">
        <w:trPr>
          <w:cantSplit/>
        </w:trPr>
        <w:tc>
          <w:tcPr>
            <w:tcW w:w="10031" w:type="dxa"/>
            <w:gridSpan w:val="2"/>
          </w:tcPr>
          <w:p w14:paraId="66C468C2" w14:textId="35C54214" w:rsidR="00690C7B" w:rsidRPr="00636F41" w:rsidRDefault="00636F41" w:rsidP="00690C7B">
            <w:pPr>
              <w:pStyle w:val="Title1"/>
            </w:pPr>
            <w:bookmarkStart w:id="3" w:name="dtitle1" w:colFirst="0" w:colLast="0"/>
            <w:bookmarkEnd w:id="2"/>
            <w:r w:rsidRPr="003242AB">
              <w:t>PROPOSITIONS POUR LES TRAVAUX DE LA CONFÉRENCE</w:t>
            </w:r>
          </w:p>
        </w:tc>
      </w:tr>
      <w:tr w:rsidR="00690C7B" w:rsidRPr="00636F41" w14:paraId="6DF4B0DC" w14:textId="77777777" w:rsidTr="0050008E">
        <w:trPr>
          <w:cantSplit/>
        </w:trPr>
        <w:tc>
          <w:tcPr>
            <w:tcW w:w="10031" w:type="dxa"/>
            <w:gridSpan w:val="2"/>
          </w:tcPr>
          <w:p w14:paraId="7FEE2454" w14:textId="77777777" w:rsidR="00690C7B" w:rsidRPr="00636F41" w:rsidRDefault="00690C7B" w:rsidP="00690C7B">
            <w:pPr>
              <w:pStyle w:val="Title2"/>
            </w:pPr>
            <w:bookmarkStart w:id="4" w:name="dtitle2" w:colFirst="0" w:colLast="0"/>
            <w:bookmarkEnd w:id="3"/>
          </w:p>
        </w:tc>
      </w:tr>
      <w:tr w:rsidR="00690C7B" w14:paraId="16D13A53" w14:textId="77777777" w:rsidTr="0050008E">
        <w:trPr>
          <w:cantSplit/>
        </w:trPr>
        <w:tc>
          <w:tcPr>
            <w:tcW w:w="10031" w:type="dxa"/>
            <w:gridSpan w:val="2"/>
          </w:tcPr>
          <w:p w14:paraId="5F31DBFC" w14:textId="77777777" w:rsidR="00690C7B" w:rsidRDefault="00690C7B" w:rsidP="00690C7B">
            <w:pPr>
              <w:pStyle w:val="Agendaitem"/>
            </w:pPr>
            <w:bookmarkStart w:id="5" w:name="dtitle3" w:colFirst="0" w:colLast="0"/>
            <w:bookmarkEnd w:id="4"/>
            <w:r w:rsidRPr="006D4724">
              <w:t>Point 1.13 de l'ordre du jour</w:t>
            </w:r>
          </w:p>
        </w:tc>
      </w:tr>
    </w:tbl>
    <w:bookmarkEnd w:id="5"/>
    <w:p w14:paraId="73B74B94" w14:textId="77777777" w:rsidR="001C0E40" w:rsidRPr="00404314" w:rsidRDefault="00324E2A" w:rsidP="00896CCD">
      <w:r w:rsidRPr="009B46DD">
        <w:t>1.13</w:t>
      </w:r>
      <w:r w:rsidRPr="009B46DD">
        <w:tab/>
        <w:t>envisager l'identification de bandes de fréquen</w:t>
      </w:r>
      <w:r>
        <w:t xml:space="preserve">ces pour le développement futur des </w:t>
      </w:r>
      <w:r w:rsidRPr="009B46DD">
        <w:t xml:space="preserve">Télécommunications mobiles internationales (IMT), y compris des attributions additionnelles possibles à titre primaire au service mobile, conformément à la Résolution </w:t>
      </w:r>
      <w:r w:rsidRPr="009B46DD">
        <w:rPr>
          <w:b/>
          <w:bCs/>
        </w:rPr>
        <w:t>238 (CMR-15)</w:t>
      </w:r>
      <w:r w:rsidRPr="009B46DD">
        <w:t>;</w:t>
      </w:r>
    </w:p>
    <w:p w14:paraId="2298E672" w14:textId="77777777" w:rsidR="00636F41" w:rsidRPr="003242AB" w:rsidRDefault="00636F41" w:rsidP="00636F41">
      <w:pPr>
        <w:pStyle w:val="Title4"/>
      </w:pPr>
      <w:r w:rsidRPr="003242AB">
        <w:t>Partie 5 – Bande de fréquences 66-71 GHz</w:t>
      </w:r>
    </w:p>
    <w:p w14:paraId="5ECD680C" w14:textId="77777777" w:rsidR="00636F41" w:rsidRPr="003242AB" w:rsidRDefault="00636F41" w:rsidP="000735B0">
      <w:pPr>
        <w:pStyle w:val="Headinb"/>
        <w:rPr>
          <w:lang w:val="fr-FR"/>
        </w:rPr>
      </w:pPr>
      <w:r w:rsidRPr="003242AB">
        <w:rPr>
          <w:lang w:val="fr-FR"/>
        </w:rPr>
        <w:t>Considérations générales</w:t>
      </w:r>
    </w:p>
    <w:p w14:paraId="091D7CE3" w14:textId="0324166C" w:rsidR="00636F41" w:rsidRPr="003242AB" w:rsidRDefault="00636F41" w:rsidP="000735B0">
      <w:r w:rsidRPr="003242AB">
        <w:t>La bande de fréquences 66-71 GHz est attribuée à titre primaire aux services inter-satellites, mobile par satellite, de radionavigation par satellite, mobile et de radionavigation. À ce jour, très peu d'études ont été menées pour confirmer la compatibilité des IMT avec certains réseaux existants ou en projet dans le cadre de ces attributions, au titre du point 1.13 de l'ordre du jour de la Conférence mondiale des radiocommunications</w:t>
      </w:r>
      <w:r w:rsidR="00FE1997">
        <w:t xml:space="preserve"> </w:t>
      </w:r>
      <w:r w:rsidR="00B61A60">
        <w:t>de</w:t>
      </w:r>
      <w:r w:rsidRPr="003242AB">
        <w:t xml:space="preserve"> 2019 (CMR-19).</w:t>
      </w:r>
    </w:p>
    <w:p w14:paraId="4B4CD2DA" w14:textId="20FAA5E8" w:rsidR="00636F41" w:rsidRPr="003242AB" w:rsidRDefault="00636F41" w:rsidP="000735B0">
      <w:r w:rsidRPr="003242AB">
        <w:t>L'accès au spectre sans obligation de licence joue un rôle essentiel dans la fourniture d'une connectivité aux utilisateurs du monde entier. C'est pourquoi de nombreux pays ont désigné cette bande de fréquences pour les technologies sans obligation de licence (par exemple WiGig). Aux</w:t>
      </w:r>
      <w:r w:rsidR="00DD4183">
        <w:t> </w:t>
      </w:r>
      <w:r w:rsidRPr="003242AB">
        <w:t>États-Unis, la FCC a décidé de maintenir l'utilisation sans obligation de licence de la bande</w:t>
      </w:r>
      <w:r w:rsidR="00DD4183">
        <w:t> </w:t>
      </w:r>
      <w:r w:rsidRPr="003242AB">
        <w:t>64</w:t>
      </w:r>
      <w:r w:rsidR="00DD4183">
        <w:noBreakHyphen/>
      </w:r>
      <w:r w:rsidRPr="003242AB">
        <w:t>71 GHz</w:t>
      </w:r>
      <w:r w:rsidRPr="003242AB">
        <w:rPr>
          <w:vertAlign w:val="superscript"/>
        </w:rPr>
        <w:footnoteReference w:id="1"/>
      </w:r>
      <w:r w:rsidRPr="003242AB">
        <w:t xml:space="preserve">. </w:t>
      </w:r>
    </w:p>
    <w:p w14:paraId="5D41CC7C" w14:textId="6A2B7409" w:rsidR="00636F41" w:rsidRPr="003242AB" w:rsidRDefault="00636F41" w:rsidP="000735B0">
      <w:r w:rsidRPr="003242AB">
        <w:t xml:space="preserve">Dans bon nombre d'administrations, l'utilisation de la bande 66-71 GHz par les applications du service mobile fait l'objet d'une réglementation fondée sur une approche neutre sur le plan technologique et sans obligation de licence, comme dans </w:t>
      </w:r>
      <w:r w:rsidR="00446D9F">
        <w:t xml:space="preserve">le cas des </w:t>
      </w:r>
      <w:r w:rsidRPr="003242AB">
        <w:t xml:space="preserve">bandes des 2,4 GHz et des 5 GHz. Dans le cadre de cette approche, les régulateurs ont adopté des règles pour les dispositifs sans licence qui visent à </w:t>
      </w:r>
      <w:r w:rsidR="00446D9F">
        <w:t xml:space="preserve">éviter que des </w:t>
      </w:r>
      <w:r w:rsidRPr="003242AB">
        <w:t xml:space="preserve">brouillages préjudiciables </w:t>
      </w:r>
      <w:r w:rsidR="00AB65B9">
        <w:t xml:space="preserve">soient causés </w:t>
      </w:r>
      <w:r w:rsidRPr="003242AB">
        <w:t>aux services de radiocommunication autorisés</w:t>
      </w:r>
      <w:r w:rsidR="00AB65B9">
        <w:t>,</w:t>
      </w:r>
      <w:r w:rsidRPr="003242AB">
        <w:t xml:space="preserve"> en </w:t>
      </w:r>
      <w:r w:rsidR="00AB65B9">
        <w:t xml:space="preserve">imposant des limites à </w:t>
      </w:r>
      <w:r w:rsidRPr="003242AB">
        <w:t xml:space="preserve">la puissance des émetteurs et </w:t>
      </w:r>
      <w:r w:rsidR="00AB65B9">
        <w:t xml:space="preserve">aux </w:t>
      </w:r>
      <w:r w:rsidRPr="003242AB">
        <w:t xml:space="preserve">rayonnements non essentiels, tandis que le secteur industriel a élaboré des normes dans le cadre de ces règles, généralement dans le but d'assurer un partage coopératif du spectre entre les dispositifs sans licence. Cette approche s'est traduite par de nombreux avantages et des produits innovants pour </w:t>
      </w:r>
      <w:r w:rsidRPr="003242AB">
        <w:lastRenderedPageBreak/>
        <w:t xml:space="preserve">les consommateurs. Il existe un risque important que l'identification de la bande 66-71 GHz pour les IMT à la CMR-19 perturbe cette dynamique en </w:t>
      </w:r>
      <w:r w:rsidR="00AB65B9">
        <w:t xml:space="preserve">donnant lieu à </w:t>
      </w:r>
      <w:r w:rsidRPr="003242AB">
        <w:t>un régime réglementaire différent pour une application du service mobile (</w:t>
      </w:r>
      <w:r w:rsidR="00AB65B9">
        <w:t xml:space="preserve">à savoir </w:t>
      </w:r>
      <w:r w:rsidRPr="003242AB">
        <w:t>les IMT) par rapport à toutes les autres.</w:t>
      </w:r>
    </w:p>
    <w:p w14:paraId="404EA257" w14:textId="7C42DC17" w:rsidR="00636F41" w:rsidRPr="003242AB" w:rsidRDefault="00636F41" w:rsidP="000735B0">
      <w:r w:rsidRPr="003242AB">
        <w:t>Il est également important de reconnaître que l'écosystème sans obligation de licence dans la gamme de fréquences des 60/70 GHz en est à s</w:t>
      </w:r>
      <w:r>
        <w:t xml:space="preserve">on </w:t>
      </w:r>
      <w:r w:rsidRPr="003242AB">
        <w:t>tou</w:t>
      </w:r>
      <w:r>
        <w:t>t</w:t>
      </w:r>
      <w:r w:rsidRPr="003242AB">
        <w:t xml:space="preserve"> début. Les dispositifs </w:t>
      </w:r>
      <w:r w:rsidR="00E1612C">
        <w:t xml:space="preserve">à plusieurs </w:t>
      </w:r>
      <w:r w:rsidRPr="003242AB">
        <w:t xml:space="preserve">gigabits commencent à peine à être lancés sur le marché. La demande croissante a orienté les progrès technologiques vers des débits beaucoup plus élevés (20 Gbit/s et plus), qui ne peuvent être atteints qu'avec une capacité </w:t>
      </w:r>
      <w:r w:rsidR="00E1612C">
        <w:t xml:space="preserve">adéquate </w:t>
      </w:r>
      <w:r w:rsidRPr="003242AB">
        <w:t xml:space="preserve">en termes de spectre. L'UIT-R déploie actuellement des efforts </w:t>
      </w:r>
      <w:r w:rsidR="00E1612C">
        <w:t xml:space="preserve">considérables </w:t>
      </w:r>
      <w:r w:rsidRPr="003242AB">
        <w:t>pour faire progresser la mise en œuvre de systèmes hertziens à plusieurs gigabits (MGWS) dans la bande de fréquences 66-71 GHz</w:t>
      </w:r>
      <w:r w:rsidR="00AA328F">
        <w:t>.</w:t>
      </w:r>
      <w:r w:rsidRPr="003242AB">
        <w:rPr>
          <w:vertAlign w:val="superscript"/>
        </w:rPr>
        <w:footnoteReference w:id="2"/>
      </w:r>
      <w:r w:rsidRPr="003242AB">
        <w:t xml:space="preserve"> </w:t>
      </w:r>
    </w:p>
    <w:p w14:paraId="23B6AFA9" w14:textId="0D3C1D69" w:rsidR="00636F41" w:rsidRPr="003242AB" w:rsidRDefault="00636F41" w:rsidP="000735B0">
      <w:r w:rsidRPr="003242AB">
        <w:t xml:space="preserve">Il est difficile de </w:t>
      </w:r>
      <w:r w:rsidR="001E4400">
        <w:t xml:space="preserve">prévoir </w:t>
      </w:r>
      <w:r w:rsidRPr="003242AB">
        <w:t xml:space="preserve">comment les technologies, les besoins </w:t>
      </w:r>
      <w:r w:rsidR="001E4400">
        <w:t xml:space="preserve">de </w:t>
      </w:r>
      <w:r w:rsidRPr="003242AB">
        <w:t xml:space="preserve">spectre, </w:t>
      </w:r>
      <w:r w:rsidR="001E4400">
        <w:t xml:space="preserve">la </w:t>
      </w:r>
      <w:r w:rsidRPr="003242AB">
        <w:t xml:space="preserve">demande du marché et d'autres facteurs vont évoluer dans cette gamme de fréquences.  En l'absence d'une telle connaissance, il serait prématuré et contre-productif de prendre une mesure réglementaire ayant valeur de traité au niveau international concernant la bande 66-71 GHz à la CMR-19 au titre du point 1.13 de l'ordre du jour. L'identification de la bande 66-71 GHz pour les IMT ne contribuerait guère à l'harmonisation internationale. En revanche, une telle mesure perturberait fortement </w:t>
      </w:r>
      <w:r w:rsidR="001E4400">
        <w:t xml:space="preserve">l'exploitation des systèmes </w:t>
      </w:r>
      <w:r w:rsidRPr="003242AB">
        <w:t>existants et aurait un effet négatif sur les travaux en cours de recherche et de développement concernant d'autres types de technologies à plusieurs gigabits.</w:t>
      </w:r>
    </w:p>
    <w:p w14:paraId="51FBB753"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40B4BB07" w14:textId="77777777" w:rsidR="007F3F42" w:rsidRPr="006F32FD" w:rsidRDefault="00324E2A" w:rsidP="006F32FD">
      <w:pPr>
        <w:pStyle w:val="ArtNo"/>
      </w:pPr>
      <w:bookmarkStart w:id="6" w:name="_Toc455752914"/>
      <w:bookmarkStart w:id="7" w:name="_Toc455756153"/>
      <w:r w:rsidRPr="006F32FD">
        <w:lastRenderedPageBreak/>
        <w:t xml:space="preserve">ARTICLE </w:t>
      </w:r>
      <w:r w:rsidRPr="006F32FD">
        <w:rPr>
          <w:rStyle w:val="href"/>
        </w:rPr>
        <w:t>5</w:t>
      </w:r>
      <w:bookmarkEnd w:id="6"/>
      <w:bookmarkEnd w:id="7"/>
    </w:p>
    <w:p w14:paraId="7077C725" w14:textId="77777777" w:rsidR="007F3F42" w:rsidRDefault="00324E2A" w:rsidP="007F3F42">
      <w:pPr>
        <w:pStyle w:val="Arttitle"/>
        <w:rPr>
          <w:lang w:val="fr-CH"/>
        </w:rPr>
      </w:pPr>
      <w:bookmarkStart w:id="8" w:name="_Toc455752915"/>
      <w:bookmarkStart w:id="9" w:name="_Toc455756154"/>
      <w:r>
        <w:rPr>
          <w:lang w:val="fr-CH"/>
        </w:rPr>
        <w:t>Attribution des bandes de fréquences</w:t>
      </w:r>
      <w:bookmarkEnd w:id="8"/>
      <w:bookmarkEnd w:id="9"/>
    </w:p>
    <w:p w14:paraId="3E1FBAD9" w14:textId="77777777" w:rsidR="00D73104" w:rsidRDefault="00324E2A" w:rsidP="00D73104">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624FD997" w14:textId="77777777" w:rsidR="003E27BE" w:rsidRDefault="00324E2A">
      <w:pPr>
        <w:pStyle w:val="Proposal"/>
      </w:pPr>
      <w:r>
        <w:rPr>
          <w:u w:val="single"/>
        </w:rPr>
        <w:t>NOC</w:t>
      </w:r>
      <w:r>
        <w:tab/>
        <w:t>IAP/11A13A5/1</w:t>
      </w:r>
    </w:p>
    <w:p w14:paraId="2C5B6FFD" w14:textId="77777777" w:rsidR="00EB19FF" w:rsidRDefault="00324E2A" w:rsidP="00381B50">
      <w:pPr>
        <w:pStyle w:val="Tabletitle"/>
        <w:spacing w:before="120"/>
        <w:rPr>
          <w:color w:val="000000"/>
        </w:rPr>
      </w:pPr>
      <w:r w:rsidRPr="00381B50">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14:paraId="2BB6D082"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AE41999" w14:textId="77777777" w:rsidR="007F3F42" w:rsidRDefault="00324E2A" w:rsidP="007F3F42">
            <w:pPr>
              <w:pStyle w:val="Tablehead"/>
              <w:spacing w:before="60" w:after="60"/>
              <w:rPr>
                <w:color w:val="000000"/>
              </w:rPr>
            </w:pPr>
            <w:r>
              <w:rPr>
                <w:color w:val="000000"/>
              </w:rPr>
              <w:t>Attribution aux services</w:t>
            </w:r>
          </w:p>
        </w:tc>
      </w:tr>
      <w:tr w:rsidR="007F3F42" w14:paraId="28E7F333" w14:textId="77777777" w:rsidTr="00381B50">
        <w:trPr>
          <w:cantSplit/>
          <w:jc w:val="center"/>
        </w:trPr>
        <w:tc>
          <w:tcPr>
            <w:tcW w:w="3101" w:type="dxa"/>
            <w:tcBorders>
              <w:top w:val="single" w:sz="6" w:space="0" w:color="auto"/>
              <w:left w:val="single" w:sz="6" w:space="0" w:color="auto"/>
              <w:bottom w:val="single" w:sz="6" w:space="0" w:color="auto"/>
              <w:right w:val="single" w:sz="6" w:space="0" w:color="auto"/>
            </w:tcBorders>
          </w:tcPr>
          <w:p w14:paraId="1F69E179" w14:textId="77777777" w:rsidR="007F3F42" w:rsidRDefault="00324E2A" w:rsidP="007F3F42">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BFB950E" w14:textId="77777777" w:rsidR="007F3F42" w:rsidRDefault="00324E2A" w:rsidP="007F3F42">
            <w:pPr>
              <w:pStyle w:val="Tablehead"/>
              <w:spacing w:before="60" w:after="60"/>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3D921978" w14:textId="77777777" w:rsidR="007F3F42" w:rsidRDefault="00324E2A" w:rsidP="007F3F42">
            <w:pPr>
              <w:pStyle w:val="Tablehead"/>
              <w:spacing w:before="60" w:after="60"/>
              <w:rPr>
                <w:color w:val="000000"/>
              </w:rPr>
            </w:pPr>
            <w:r>
              <w:rPr>
                <w:color w:val="000000"/>
              </w:rPr>
              <w:t>Région 3</w:t>
            </w:r>
          </w:p>
        </w:tc>
      </w:tr>
      <w:tr w:rsidR="007F3F42" w14:paraId="12F8B184"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569C6DD" w14:textId="77777777" w:rsidR="007F3F42" w:rsidRDefault="00324E2A" w:rsidP="007F3F42">
            <w:pPr>
              <w:pStyle w:val="TableTextS5"/>
              <w:spacing w:after="20"/>
              <w:rPr>
                <w:color w:val="000000"/>
              </w:rPr>
            </w:pPr>
            <w:r w:rsidRPr="0046453D">
              <w:rPr>
                <w:rStyle w:val="Tablefreq"/>
              </w:rPr>
              <w:t>66-71</w:t>
            </w:r>
            <w:r>
              <w:rPr>
                <w:color w:val="000000"/>
              </w:rPr>
              <w:tab/>
            </w:r>
            <w:r>
              <w:rPr>
                <w:color w:val="000000"/>
              </w:rPr>
              <w:tab/>
            </w:r>
            <w:r>
              <w:rPr>
                <w:color w:val="000000"/>
              </w:rPr>
              <w:tab/>
              <w:t>INTER-SATELLITES</w:t>
            </w:r>
          </w:p>
          <w:p w14:paraId="25FEF63C" w14:textId="77777777" w:rsidR="007F3F42" w:rsidRDefault="00324E2A" w:rsidP="007F3F42">
            <w:pPr>
              <w:pStyle w:val="TableTextS5"/>
              <w:spacing w:before="0" w:after="20"/>
              <w:rPr>
                <w:color w:val="000000"/>
              </w:rPr>
            </w:pPr>
            <w:r>
              <w:rPr>
                <w:color w:val="000000"/>
              </w:rPr>
              <w:tab/>
            </w:r>
            <w:r>
              <w:rPr>
                <w:color w:val="000000"/>
              </w:rPr>
              <w:tab/>
            </w:r>
            <w:r>
              <w:rPr>
                <w:color w:val="000000"/>
              </w:rPr>
              <w:tab/>
            </w:r>
            <w:r>
              <w:rPr>
                <w:color w:val="000000"/>
              </w:rPr>
              <w:tab/>
              <w:t xml:space="preserve">MOBILE  </w:t>
            </w:r>
            <w:r>
              <w:rPr>
                <w:rStyle w:val="Artref"/>
                <w:color w:val="000000"/>
              </w:rPr>
              <w:t>5.553</w:t>
            </w:r>
            <w:r>
              <w:rPr>
                <w:color w:val="000000"/>
              </w:rPr>
              <w:t xml:space="preserve">  </w:t>
            </w:r>
            <w:r>
              <w:rPr>
                <w:rStyle w:val="Artref"/>
                <w:color w:val="000000"/>
              </w:rPr>
              <w:t>5.558</w:t>
            </w:r>
          </w:p>
          <w:p w14:paraId="41392F7E" w14:textId="77777777" w:rsidR="007F3F42" w:rsidRDefault="00324E2A" w:rsidP="007F3F42">
            <w:pPr>
              <w:pStyle w:val="TableTextS5"/>
              <w:spacing w:before="0" w:after="20"/>
              <w:rPr>
                <w:color w:val="000000"/>
              </w:rPr>
            </w:pPr>
            <w:r>
              <w:rPr>
                <w:color w:val="000000"/>
              </w:rPr>
              <w:tab/>
            </w:r>
            <w:r>
              <w:rPr>
                <w:color w:val="000000"/>
              </w:rPr>
              <w:tab/>
            </w:r>
            <w:r>
              <w:rPr>
                <w:color w:val="000000"/>
              </w:rPr>
              <w:tab/>
            </w:r>
            <w:r>
              <w:rPr>
                <w:color w:val="000000"/>
              </w:rPr>
              <w:tab/>
              <w:t>MOBILE PAR SATELLITE</w:t>
            </w:r>
          </w:p>
          <w:p w14:paraId="49DFCA7E" w14:textId="77777777" w:rsidR="007F3F42" w:rsidRDefault="00324E2A" w:rsidP="007F3F42">
            <w:pPr>
              <w:pStyle w:val="TableTextS5"/>
              <w:spacing w:before="0" w:after="20"/>
              <w:rPr>
                <w:color w:val="000000"/>
              </w:rPr>
            </w:pPr>
            <w:r>
              <w:rPr>
                <w:color w:val="000000"/>
              </w:rPr>
              <w:tab/>
            </w:r>
            <w:r>
              <w:rPr>
                <w:color w:val="000000"/>
              </w:rPr>
              <w:tab/>
            </w:r>
            <w:r>
              <w:rPr>
                <w:color w:val="000000"/>
              </w:rPr>
              <w:tab/>
            </w:r>
            <w:r>
              <w:rPr>
                <w:color w:val="000000"/>
              </w:rPr>
              <w:tab/>
              <w:t>RADIONAVIGATION</w:t>
            </w:r>
          </w:p>
          <w:p w14:paraId="296815D2" w14:textId="77777777" w:rsidR="007F3F42" w:rsidRDefault="00324E2A" w:rsidP="007F3F42">
            <w:pPr>
              <w:pStyle w:val="TableTextS5"/>
              <w:spacing w:before="0" w:after="20"/>
              <w:rPr>
                <w:color w:val="000000"/>
              </w:rPr>
            </w:pPr>
            <w:r>
              <w:rPr>
                <w:color w:val="000000"/>
              </w:rPr>
              <w:tab/>
            </w:r>
            <w:r>
              <w:rPr>
                <w:color w:val="000000"/>
              </w:rPr>
              <w:tab/>
            </w:r>
            <w:r>
              <w:rPr>
                <w:color w:val="000000"/>
              </w:rPr>
              <w:tab/>
            </w:r>
            <w:r>
              <w:rPr>
                <w:color w:val="000000"/>
              </w:rPr>
              <w:tab/>
              <w:t>RADIONAVIGATION PAR SATELLITE</w:t>
            </w:r>
          </w:p>
          <w:p w14:paraId="1919EF29" w14:textId="77777777" w:rsidR="007F3F42" w:rsidRDefault="00324E2A" w:rsidP="007F3F42">
            <w:pPr>
              <w:pStyle w:val="TableTextS5"/>
              <w:spacing w:before="0"/>
              <w:rPr>
                <w:color w:val="000000"/>
              </w:rPr>
            </w:pPr>
            <w:r>
              <w:rPr>
                <w:color w:val="000000"/>
              </w:rPr>
              <w:tab/>
            </w:r>
            <w:r>
              <w:rPr>
                <w:color w:val="000000"/>
              </w:rPr>
              <w:tab/>
            </w:r>
            <w:r>
              <w:rPr>
                <w:color w:val="000000"/>
              </w:rPr>
              <w:tab/>
            </w:r>
            <w:r>
              <w:rPr>
                <w:color w:val="000000"/>
              </w:rPr>
              <w:tab/>
            </w:r>
            <w:r>
              <w:rPr>
                <w:rStyle w:val="Artref"/>
                <w:color w:val="000000"/>
              </w:rPr>
              <w:t>5.554</w:t>
            </w:r>
          </w:p>
        </w:tc>
      </w:tr>
    </w:tbl>
    <w:p w14:paraId="4452CE8B" w14:textId="34429812" w:rsidR="003E27BE" w:rsidRDefault="00324E2A" w:rsidP="000735B0">
      <w:pPr>
        <w:pStyle w:val="Reasons"/>
      </w:pPr>
      <w:r>
        <w:rPr>
          <w:b/>
        </w:rPr>
        <w:t>Motifs:</w:t>
      </w:r>
      <w:r>
        <w:tab/>
      </w:r>
      <w:r w:rsidR="00636F41" w:rsidRPr="003242AB">
        <w:t>Aucune étude n'a été menée en vue de la CMR-19 pour démontrer la compatibilité des</w:t>
      </w:r>
      <w:r w:rsidR="00DD4183">
        <w:t> </w:t>
      </w:r>
      <w:r w:rsidR="00636F41" w:rsidRPr="003242AB">
        <w:t>IMT avec les réseaux existants ou en projet des services spatiaux et les systèmes de radionavigation dans la bande 66-71 GHz. L'identification de la bande 66-71 GHz pour les IMT serait contre</w:t>
      </w:r>
      <w:r w:rsidR="00DD4183">
        <w:noBreakHyphen/>
      </w:r>
      <w:r w:rsidR="00636F41" w:rsidRPr="003242AB">
        <w:t>producti</w:t>
      </w:r>
      <w:r w:rsidR="002A3B09">
        <w:t>ve</w:t>
      </w:r>
      <w:r w:rsidR="00636F41" w:rsidRPr="003242AB">
        <w:t xml:space="preserve"> pour ce qui est de parvenir à une harmonisation internationale, car de nombreuses administrations ont confirmé qu'elles prévoyaient la mise en œuvre de technologies sans obligation de licence, telles que les systèmes hertziens à plusieurs gigabits (MGWS).</w:t>
      </w:r>
    </w:p>
    <w:p w14:paraId="010FE64C" w14:textId="77777777" w:rsidR="006F32FD" w:rsidRDefault="006F32FD" w:rsidP="006F32FD"/>
    <w:p w14:paraId="5A02A755" w14:textId="77777777" w:rsidR="006F32FD" w:rsidRDefault="006F32FD">
      <w:pPr>
        <w:jc w:val="center"/>
      </w:pPr>
      <w:r>
        <w:t>______________</w:t>
      </w:r>
    </w:p>
    <w:p w14:paraId="11EB3489" w14:textId="77777777" w:rsidR="006F32FD" w:rsidRDefault="006F32FD" w:rsidP="006F32FD"/>
    <w:sectPr w:rsidR="006F32FD">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CB288" w14:textId="77777777" w:rsidR="0070076C" w:rsidRDefault="0070076C">
      <w:r>
        <w:separator/>
      </w:r>
    </w:p>
  </w:endnote>
  <w:endnote w:type="continuationSeparator" w:id="0">
    <w:p w14:paraId="3F21A03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7016" w14:textId="111C96A2" w:rsidR="00936D25" w:rsidRDefault="00936D25">
    <w:pPr>
      <w:rPr>
        <w:lang w:val="en-US"/>
      </w:rPr>
    </w:pPr>
    <w:r>
      <w:fldChar w:fldCharType="begin"/>
    </w:r>
    <w:r>
      <w:rPr>
        <w:lang w:val="en-US"/>
      </w:rPr>
      <w:instrText xml:space="preserve"> FILENAME \p  \* MERGEFORMAT </w:instrText>
    </w:r>
    <w:r>
      <w:fldChar w:fldCharType="separate"/>
    </w:r>
    <w:r w:rsidR="00016F40">
      <w:rPr>
        <w:noProof/>
        <w:lang w:val="en-US"/>
      </w:rPr>
      <w:t>P:\FRA\ITU-R\CONF-R\CMR19\000\011ADD13ADD05F.docx</w:t>
    </w:r>
    <w:r>
      <w:fldChar w:fldCharType="end"/>
    </w:r>
    <w:r>
      <w:rPr>
        <w:lang w:val="en-US"/>
      </w:rPr>
      <w:tab/>
    </w:r>
    <w:r>
      <w:fldChar w:fldCharType="begin"/>
    </w:r>
    <w:r>
      <w:instrText xml:space="preserve"> SAVEDATE \@ DD.MM.YY </w:instrText>
    </w:r>
    <w:r>
      <w:fldChar w:fldCharType="separate"/>
    </w:r>
    <w:r w:rsidR="00016F40">
      <w:rPr>
        <w:noProof/>
      </w:rPr>
      <w:t>24.09.19</w:t>
    </w:r>
    <w:r>
      <w:fldChar w:fldCharType="end"/>
    </w:r>
    <w:r>
      <w:rPr>
        <w:lang w:val="en-US"/>
      </w:rPr>
      <w:tab/>
    </w:r>
    <w:r>
      <w:fldChar w:fldCharType="begin"/>
    </w:r>
    <w:r>
      <w:instrText xml:space="preserve"> PRINTDATE \@ DD.MM.YY </w:instrText>
    </w:r>
    <w:r>
      <w:fldChar w:fldCharType="separate"/>
    </w:r>
    <w:r w:rsidR="00016F40">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36F0" w14:textId="688383C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016F40">
      <w:rPr>
        <w:lang w:val="en-US"/>
      </w:rPr>
      <w:t>P:\FRA\ITU-R\CONF-R\CMR19\000\011ADD13ADD05F.docx</w:t>
    </w:r>
    <w:r>
      <w:fldChar w:fldCharType="end"/>
    </w:r>
    <w:r w:rsidR="00B61A60">
      <w:t xml:space="preserve"> (460781)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0BE9" w14:textId="610B6F9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16F40">
      <w:rPr>
        <w:lang w:val="en-US"/>
      </w:rPr>
      <w:t>P:\FRA\ITU-R\CONF-R\CMR19\000\011ADD13ADD05F.docx</w:t>
    </w:r>
    <w:r>
      <w:fldChar w:fldCharType="end"/>
    </w:r>
    <w:r w:rsidR="00B61A60">
      <w:t xml:space="preserve"> (460781)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36431" w14:textId="77777777" w:rsidR="0070076C" w:rsidRDefault="0070076C">
      <w:r>
        <w:rPr>
          <w:b/>
        </w:rPr>
        <w:t>_______________</w:t>
      </w:r>
    </w:p>
  </w:footnote>
  <w:footnote w:type="continuationSeparator" w:id="0">
    <w:p w14:paraId="6959B35A" w14:textId="77777777" w:rsidR="0070076C" w:rsidRDefault="0070076C">
      <w:r>
        <w:continuationSeparator/>
      </w:r>
    </w:p>
  </w:footnote>
  <w:footnote w:id="1">
    <w:p w14:paraId="327DA7E2" w14:textId="77777777" w:rsidR="00636F41" w:rsidRPr="00D85735" w:rsidRDefault="00636F41" w:rsidP="00636F41">
      <w:pPr>
        <w:pStyle w:val="FootnoteText"/>
        <w:rPr>
          <w:sz w:val="20"/>
        </w:rPr>
      </w:pPr>
      <w:r>
        <w:rPr>
          <w:rStyle w:val="FootnoteReference"/>
        </w:rPr>
        <w:footnoteRef/>
      </w:r>
      <w:r w:rsidRPr="00D85735">
        <w:tab/>
        <w:t xml:space="preserve">Voir </w:t>
      </w:r>
      <w:hyperlink r:id="rId1" w:history="1">
        <w:r w:rsidRPr="00D85735">
          <w:rPr>
            <w:rStyle w:val="Hyperlink"/>
          </w:rPr>
          <w:t>https://docs.fcc.gov/public/attachments/DOC-347449A1.pdf</w:t>
        </w:r>
      </w:hyperlink>
    </w:p>
  </w:footnote>
  <w:footnote w:id="2">
    <w:p w14:paraId="199E5981" w14:textId="77777777" w:rsidR="00636F41" w:rsidRPr="00A30795" w:rsidRDefault="00636F41" w:rsidP="00636F41">
      <w:pPr>
        <w:pStyle w:val="FootnoteText"/>
      </w:pPr>
      <w:r>
        <w:rPr>
          <w:rStyle w:val="FootnoteReference"/>
        </w:rPr>
        <w:footnoteRef/>
      </w:r>
      <w:r w:rsidRPr="00A30795">
        <w:tab/>
      </w:r>
      <w:r w:rsidRPr="00A30795">
        <w:rPr>
          <w:iCs/>
        </w:rPr>
        <w:t>Voir le</w:t>
      </w:r>
      <w:r w:rsidRPr="00A30795">
        <w:rPr>
          <w:i/>
        </w:rPr>
        <w:t xml:space="preserve"> </w:t>
      </w:r>
      <w:r w:rsidRPr="00A30795">
        <w:t>Doc. 5-1/32</w:t>
      </w:r>
      <w:r>
        <w:t xml:space="preserve"> de l'UIT-R</w:t>
      </w:r>
      <w:r w:rsidRPr="00A30795">
        <w:t xml:space="preserve">, </w:t>
      </w:r>
      <w:r>
        <w:t xml:space="preserve">la </w:t>
      </w:r>
      <w:r w:rsidRPr="00A30795">
        <w:t>Recomm</w:t>
      </w:r>
      <w:r>
        <w:t>a</w:t>
      </w:r>
      <w:r w:rsidRPr="00A30795">
        <w:t xml:space="preserve">ndation </w:t>
      </w:r>
      <w:r>
        <w:t>UIT</w:t>
      </w:r>
      <w:r w:rsidRPr="00A30795">
        <w:t xml:space="preserve">-R </w:t>
      </w:r>
      <w:hyperlink r:id="rId2" w:history="1">
        <w:r w:rsidRPr="00A30795">
          <w:rPr>
            <w:rStyle w:val="Hyperlink"/>
          </w:rPr>
          <w:t>M.2003-2</w:t>
        </w:r>
      </w:hyperlink>
      <w:r w:rsidRPr="00A30795">
        <w:t xml:space="preserve"> </w:t>
      </w:r>
      <w:r>
        <w:t xml:space="preserve">et le </w:t>
      </w:r>
      <w:r w:rsidRPr="00A30795">
        <w:t>R</w:t>
      </w:r>
      <w:r>
        <w:t>ap</w:t>
      </w:r>
      <w:r w:rsidRPr="00A30795">
        <w:t xml:space="preserve">port </w:t>
      </w:r>
      <w:r>
        <w:t>UIT</w:t>
      </w:r>
      <w:r w:rsidRPr="00A30795">
        <w:noBreakHyphen/>
        <w:t xml:space="preserve">R </w:t>
      </w:r>
      <w:hyperlink r:id="rId3" w:history="1">
        <w:r w:rsidRPr="00A30795">
          <w:rPr>
            <w:rStyle w:val="Hyperlink"/>
          </w:rPr>
          <w:t>M.2227-2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2E3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CB93784" w14:textId="77777777" w:rsidR="004F1F8E" w:rsidRDefault="004F1F8E" w:rsidP="00FD7AA3">
    <w:pPr>
      <w:pStyle w:val="Header"/>
    </w:pPr>
    <w:r>
      <w:t>CMR1</w:t>
    </w:r>
    <w:r w:rsidR="00FD7AA3">
      <w:t>9</w:t>
    </w:r>
    <w:r>
      <w:t>/</w:t>
    </w:r>
    <w:r w:rsidR="006A4B45">
      <w:t>11(Add.13)(Add.5)-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6F40"/>
    <w:rsid w:val="0003522F"/>
    <w:rsid w:val="00063A1F"/>
    <w:rsid w:val="000735B0"/>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4400"/>
    <w:rsid w:val="001F17E8"/>
    <w:rsid w:val="00204306"/>
    <w:rsid w:val="00232FD2"/>
    <w:rsid w:val="0026554E"/>
    <w:rsid w:val="002A3B09"/>
    <w:rsid w:val="002A4622"/>
    <w:rsid w:val="002A6F8F"/>
    <w:rsid w:val="002B17E5"/>
    <w:rsid w:val="002C0EBF"/>
    <w:rsid w:val="002C28A4"/>
    <w:rsid w:val="002D7E0A"/>
    <w:rsid w:val="00315AFE"/>
    <w:rsid w:val="00324E2A"/>
    <w:rsid w:val="003606A6"/>
    <w:rsid w:val="0036650C"/>
    <w:rsid w:val="00393ACD"/>
    <w:rsid w:val="003A583E"/>
    <w:rsid w:val="003E112B"/>
    <w:rsid w:val="003E1D1C"/>
    <w:rsid w:val="003E27BE"/>
    <w:rsid w:val="003E7B05"/>
    <w:rsid w:val="003F3719"/>
    <w:rsid w:val="003F6F2D"/>
    <w:rsid w:val="00413D8B"/>
    <w:rsid w:val="00446D9F"/>
    <w:rsid w:val="00466211"/>
    <w:rsid w:val="00483196"/>
    <w:rsid w:val="004834A9"/>
    <w:rsid w:val="004D01FC"/>
    <w:rsid w:val="004E28C3"/>
    <w:rsid w:val="004F1F8E"/>
    <w:rsid w:val="00512A32"/>
    <w:rsid w:val="005343DA"/>
    <w:rsid w:val="00560874"/>
    <w:rsid w:val="00586CF2"/>
    <w:rsid w:val="005A7C75"/>
    <w:rsid w:val="005C3768"/>
    <w:rsid w:val="005C6C3F"/>
    <w:rsid w:val="005F3606"/>
    <w:rsid w:val="00613635"/>
    <w:rsid w:val="0062093D"/>
    <w:rsid w:val="00627F59"/>
    <w:rsid w:val="00636F41"/>
    <w:rsid w:val="00637ECF"/>
    <w:rsid w:val="00647B59"/>
    <w:rsid w:val="00690C7B"/>
    <w:rsid w:val="006A4B45"/>
    <w:rsid w:val="006D4724"/>
    <w:rsid w:val="006F32FD"/>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538D4"/>
    <w:rsid w:val="00863C0A"/>
    <w:rsid w:val="008A3120"/>
    <w:rsid w:val="008A4B97"/>
    <w:rsid w:val="008C5B8E"/>
    <w:rsid w:val="008C5DD5"/>
    <w:rsid w:val="008D41BE"/>
    <w:rsid w:val="008D58D3"/>
    <w:rsid w:val="008E3BC9"/>
    <w:rsid w:val="0090486F"/>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A328F"/>
    <w:rsid w:val="00AB65B9"/>
    <w:rsid w:val="00AE36A0"/>
    <w:rsid w:val="00B00294"/>
    <w:rsid w:val="00B3749C"/>
    <w:rsid w:val="00B61A60"/>
    <w:rsid w:val="00B64FD0"/>
    <w:rsid w:val="00BA5BD0"/>
    <w:rsid w:val="00BB1D82"/>
    <w:rsid w:val="00BD51C5"/>
    <w:rsid w:val="00BF26E7"/>
    <w:rsid w:val="00C53FCA"/>
    <w:rsid w:val="00C76BAF"/>
    <w:rsid w:val="00C814B9"/>
    <w:rsid w:val="00CB522D"/>
    <w:rsid w:val="00CD516F"/>
    <w:rsid w:val="00D119A7"/>
    <w:rsid w:val="00D12516"/>
    <w:rsid w:val="00D25FBA"/>
    <w:rsid w:val="00D32B28"/>
    <w:rsid w:val="00D42954"/>
    <w:rsid w:val="00D66EAC"/>
    <w:rsid w:val="00D730DF"/>
    <w:rsid w:val="00D772F0"/>
    <w:rsid w:val="00D77BDC"/>
    <w:rsid w:val="00DC402B"/>
    <w:rsid w:val="00DC7409"/>
    <w:rsid w:val="00DD4183"/>
    <w:rsid w:val="00DE0932"/>
    <w:rsid w:val="00E03A27"/>
    <w:rsid w:val="00E049F1"/>
    <w:rsid w:val="00E1612C"/>
    <w:rsid w:val="00E37A25"/>
    <w:rsid w:val="00E537FF"/>
    <w:rsid w:val="00E6539B"/>
    <w:rsid w:val="00E70A31"/>
    <w:rsid w:val="00E723A7"/>
    <w:rsid w:val="00E7370A"/>
    <w:rsid w:val="00EA3F38"/>
    <w:rsid w:val="00EA5AB6"/>
    <w:rsid w:val="00EC7615"/>
    <w:rsid w:val="00ED16AA"/>
    <w:rsid w:val="00ED6B8D"/>
    <w:rsid w:val="00EE3D7B"/>
    <w:rsid w:val="00EF662E"/>
    <w:rsid w:val="00F10064"/>
    <w:rsid w:val="00F148F1"/>
    <w:rsid w:val="00F711A7"/>
    <w:rsid w:val="00FA3BBF"/>
    <w:rsid w:val="00FC41F8"/>
    <w:rsid w:val="00FD7AA3"/>
    <w:rsid w:val="00FE199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D7E9E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uiPriority w:val="99"/>
    <w:unhideWhenUsed/>
    <w:qFormat/>
    <w:rsid w:val="00636F41"/>
    <w:rPr>
      <w:color w:val="0000FF"/>
      <w:u w:val="single"/>
    </w:rPr>
  </w:style>
  <w:style w:type="paragraph" w:customStyle="1" w:styleId="Headinb">
    <w:name w:val="Headin_b"/>
    <w:basedOn w:val="Normal"/>
    <w:rsid w:val="00636F41"/>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https://www.itu.int/pub/R-REP-M.2227/fr" TargetMode="External"/><Relationship Id="rId2" Type="http://schemas.openxmlformats.org/officeDocument/2006/relationships/hyperlink" Target="https://www.itu.int/rec/R-REC-M.2003/fr" TargetMode="External"/><Relationship Id="rId1" Type="http://schemas.openxmlformats.org/officeDocument/2006/relationships/hyperlink" Target="https://docs.fcc.gov/public/attachments/DOC-347449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0DF42F-189A-49DC-BA6B-1D513259B244}">
  <ds:schemaRefs>
    <ds:schemaRef ds:uri="http://schemas.microsoft.com/sharepoint/v3/contenttype/forms"/>
  </ds:schemaRefs>
</ds:datastoreItem>
</file>

<file path=customXml/itemProps2.xml><?xml version="1.0" encoding="utf-8"?>
<ds:datastoreItem xmlns:ds="http://schemas.openxmlformats.org/officeDocument/2006/customXml" ds:itemID="{D12C7784-6DFA-4C1C-9E44-61AACB9B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5CE9-55FF-43F9-83D3-1C79914EDC09}">
  <ds:schemaRefs>
    <ds:schemaRef ds:uri="996b2e75-67fd-4955-a3b0-5ab9934cb50b"/>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purl.org/dc/elements/1.1/"/>
    <ds:schemaRef ds:uri="32a1a8c5-2265-4ebc-b7a0-2071e2c5c9b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748</Words>
  <Characters>4273</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R16-WRC19-C-0011!A13-A5!MSW-F</vt:lpstr>
    </vt:vector>
  </TitlesOfParts>
  <Manager>Secrétariat général - Pool</Manager>
  <Company>Union internationale des télécommunications (UIT)</Company>
  <LinksUpToDate>false</LinksUpToDate>
  <CharactersWithSpaces>4981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R16-WRC19-C-0011!A13-A5!MSW-F</dc:title>
  <dc:subject>Conférence mondiale des radiocommunications - 2019</dc:subject>
  <dc:creator>Documents Proposals Manager (DPM)</dc:creator>
  <cp:keywords>DPM_v2019.9.18.2_prod</cp:keywords>
  <dc:description/>
  <cp:lastModifiedBy>Barbier, Marie-Claire</cp:lastModifiedBy>
  <cp:revision>16</cp:revision>
  <cp:lastPrinted>2019-09-24T07:40:00Z</cp:lastPrinted>
  <dcterms:created xsi:type="dcterms:W3CDTF">2019-09-20T12:29:00Z</dcterms:created>
  <dcterms:modified xsi:type="dcterms:W3CDTF">2019-09-24T07:40:00Z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