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4C3E50" w14:paraId="580403C5" w14:textId="77777777" w:rsidTr="003B37BA">
        <w:trPr>
          <w:cantSplit/>
        </w:trPr>
        <w:tc>
          <w:tcPr>
            <w:tcW w:w="6804" w:type="dxa"/>
          </w:tcPr>
          <w:p w14:paraId="4BE7418E" w14:textId="77777777" w:rsidR="00BB1D82" w:rsidRPr="004C3E50" w:rsidRDefault="00851625" w:rsidP="00F10064">
            <w:pPr>
              <w:spacing w:before="400" w:after="48" w:line="240" w:lineRule="atLeast"/>
              <w:rPr>
                <w:rFonts w:ascii="Verdana" w:hAnsi="Verdana"/>
                <w:b/>
                <w:bCs/>
                <w:sz w:val="20"/>
              </w:rPr>
            </w:pPr>
            <w:r w:rsidRPr="004C3E50">
              <w:rPr>
                <w:rFonts w:ascii="Verdana" w:hAnsi="Verdana"/>
                <w:b/>
                <w:bCs/>
                <w:sz w:val="20"/>
              </w:rPr>
              <w:t>Conférence mondiale des radiocommunications (CMR-1</w:t>
            </w:r>
            <w:r w:rsidR="00FD7AA3" w:rsidRPr="004C3E50">
              <w:rPr>
                <w:rFonts w:ascii="Verdana" w:hAnsi="Verdana"/>
                <w:b/>
                <w:bCs/>
                <w:sz w:val="20"/>
              </w:rPr>
              <w:t>9</w:t>
            </w:r>
            <w:r w:rsidRPr="004C3E50">
              <w:rPr>
                <w:rFonts w:ascii="Verdana" w:hAnsi="Verdana"/>
                <w:b/>
                <w:bCs/>
                <w:sz w:val="20"/>
              </w:rPr>
              <w:t>)</w:t>
            </w:r>
            <w:r w:rsidRPr="004C3E50">
              <w:rPr>
                <w:rFonts w:ascii="Verdana" w:hAnsi="Verdana"/>
                <w:b/>
                <w:bCs/>
                <w:sz w:val="20"/>
              </w:rPr>
              <w:br/>
            </w:r>
            <w:r w:rsidR="00063A1F" w:rsidRPr="004C3E50">
              <w:rPr>
                <w:rFonts w:ascii="Verdana" w:hAnsi="Verdana"/>
                <w:b/>
                <w:bCs/>
                <w:sz w:val="18"/>
                <w:szCs w:val="18"/>
              </w:rPr>
              <w:t xml:space="preserve">Charm el-Cheikh, </w:t>
            </w:r>
            <w:r w:rsidR="00081366" w:rsidRPr="004C3E50">
              <w:rPr>
                <w:rFonts w:ascii="Verdana" w:hAnsi="Verdana"/>
                <w:b/>
                <w:bCs/>
                <w:sz w:val="18"/>
                <w:szCs w:val="18"/>
              </w:rPr>
              <w:t>É</w:t>
            </w:r>
            <w:r w:rsidR="00063A1F" w:rsidRPr="004C3E50">
              <w:rPr>
                <w:rFonts w:ascii="Verdana" w:hAnsi="Verdana"/>
                <w:b/>
                <w:bCs/>
                <w:sz w:val="18"/>
                <w:szCs w:val="18"/>
              </w:rPr>
              <w:t>gypte</w:t>
            </w:r>
            <w:r w:rsidRPr="004C3E50">
              <w:rPr>
                <w:rFonts w:ascii="Verdana" w:hAnsi="Verdana"/>
                <w:b/>
                <w:bCs/>
                <w:sz w:val="18"/>
                <w:szCs w:val="18"/>
              </w:rPr>
              <w:t>,</w:t>
            </w:r>
            <w:r w:rsidR="00E537FF" w:rsidRPr="004C3E50">
              <w:rPr>
                <w:rFonts w:ascii="Verdana" w:hAnsi="Verdana"/>
                <w:b/>
                <w:bCs/>
                <w:sz w:val="18"/>
                <w:szCs w:val="18"/>
              </w:rPr>
              <w:t xml:space="preserve"> </w:t>
            </w:r>
            <w:r w:rsidRPr="004C3E50">
              <w:rPr>
                <w:rFonts w:ascii="Verdana" w:hAnsi="Verdana"/>
                <w:b/>
                <w:bCs/>
                <w:sz w:val="18"/>
                <w:szCs w:val="18"/>
              </w:rPr>
              <w:t>2</w:t>
            </w:r>
            <w:r w:rsidR="00FD7AA3" w:rsidRPr="004C3E50">
              <w:rPr>
                <w:rFonts w:ascii="Verdana" w:hAnsi="Verdana"/>
                <w:b/>
                <w:bCs/>
                <w:sz w:val="18"/>
                <w:szCs w:val="18"/>
              </w:rPr>
              <w:t xml:space="preserve">8 octobre </w:t>
            </w:r>
            <w:r w:rsidR="00F10064" w:rsidRPr="004C3E50">
              <w:rPr>
                <w:rFonts w:ascii="Verdana" w:hAnsi="Verdana"/>
                <w:b/>
                <w:bCs/>
                <w:sz w:val="18"/>
                <w:szCs w:val="18"/>
              </w:rPr>
              <w:t>–</w:t>
            </w:r>
            <w:r w:rsidR="00FD7AA3" w:rsidRPr="004C3E50">
              <w:rPr>
                <w:rFonts w:ascii="Verdana" w:hAnsi="Verdana"/>
                <w:b/>
                <w:bCs/>
                <w:sz w:val="18"/>
                <w:szCs w:val="18"/>
              </w:rPr>
              <w:t xml:space="preserve"> </w:t>
            </w:r>
            <w:r w:rsidRPr="004C3E50">
              <w:rPr>
                <w:rFonts w:ascii="Verdana" w:hAnsi="Verdana"/>
                <w:b/>
                <w:bCs/>
                <w:sz w:val="18"/>
                <w:szCs w:val="18"/>
              </w:rPr>
              <w:t>2</w:t>
            </w:r>
            <w:r w:rsidR="00FD7AA3" w:rsidRPr="004C3E50">
              <w:rPr>
                <w:rFonts w:ascii="Verdana" w:hAnsi="Verdana"/>
                <w:b/>
                <w:bCs/>
                <w:sz w:val="18"/>
                <w:szCs w:val="18"/>
              </w:rPr>
              <w:t>2</w:t>
            </w:r>
            <w:r w:rsidRPr="004C3E50">
              <w:rPr>
                <w:rFonts w:ascii="Verdana" w:hAnsi="Verdana"/>
                <w:b/>
                <w:bCs/>
                <w:sz w:val="18"/>
                <w:szCs w:val="18"/>
              </w:rPr>
              <w:t xml:space="preserve"> novembre 201</w:t>
            </w:r>
            <w:r w:rsidR="00FD7AA3" w:rsidRPr="004C3E50">
              <w:rPr>
                <w:rFonts w:ascii="Verdana" w:hAnsi="Verdana"/>
                <w:b/>
                <w:bCs/>
                <w:sz w:val="18"/>
                <w:szCs w:val="18"/>
              </w:rPr>
              <w:t>9</w:t>
            </w:r>
          </w:p>
        </w:tc>
        <w:tc>
          <w:tcPr>
            <w:tcW w:w="3227" w:type="dxa"/>
          </w:tcPr>
          <w:p w14:paraId="01CAB164" w14:textId="77777777" w:rsidR="00BB1D82" w:rsidRPr="004C3E50" w:rsidRDefault="000A55AE" w:rsidP="002C28A4">
            <w:pPr>
              <w:spacing w:before="0" w:line="240" w:lineRule="atLeast"/>
              <w:jc w:val="right"/>
            </w:pPr>
            <w:r w:rsidRPr="004C3E50">
              <w:rPr>
                <w:rFonts w:ascii="Verdana" w:hAnsi="Verdana"/>
                <w:b/>
                <w:bCs/>
                <w:noProof/>
                <w:lang w:eastAsia="zh-CN"/>
              </w:rPr>
              <w:drawing>
                <wp:inline distT="0" distB="0" distL="0" distR="0" wp14:anchorId="11471BA8" wp14:editId="6FFCB63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C3E50" w14:paraId="67B7B6C7" w14:textId="77777777" w:rsidTr="003B37BA">
        <w:trPr>
          <w:cantSplit/>
        </w:trPr>
        <w:tc>
          <w:tcPr>
            <w:tcW w:w="6804" w:type="dxa"/>
            <w:tcBorders>
              <w:bottom w:val="single" w:sz="12" w:space="0" w:color="auto"/>
            </w:tcBorders>
          </w:tcPr>
          <w:p w14:paraId="2D11907C" w14:textId="77777777" w:rsidR="00BB1D82" w:rsidRPr="004C3E50"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15E0AF74" w14:textId="77777777" w:rsidR="00BB1D82" w:rsidRPr="004C3E50" w:rsidRDefault="00BB1D82" w:rsidP="00BB1D82">
            <w:pPr>
              <w:spacing w:before="0" w:line="240" w:lineRule="atLeast"/>
              <w:rPr>
                <w:rFonts w:ascii="Verdana" w:hAnsi="Verdana"/>
                <w:szCs w:val="24"/>
              </w:rPr>
            </w:pPr>
          </w:p>
        </w:tc>
      </w:tr>
      <w:tr w:rsidR="00BB1D82" w:rsidRPr="004C3E50" w14:paraId="2A102D03" w14:textId="77777777" w:rsidTr="003B37BA">
        <w:trPr>
          <w:cantSplit/>
        </w:trPr>
        <w:tc>
          <w:tcPr>
            <w:tcW w:w="6804" w:type="dxa"/>
            <w:tcBorders>
              <w:top w:val="single" w:sz="12" w:space="0" w:color="auto"/>
            </w:tcBorders>
          </w:tcPr>
          <w:p w14:paraId="0DEBCEA2" w14:textId="77777777" w:rsidR="00BB1D82" w:rsidRPr="004C3E50"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2A62C444" w14:textId="77777777" w:rsidR="00BB1D82" w:rsidRPr="004C3E50" w:rsidRDefault="00BB1D82" w:rsidP="00BB1D82">
            <w:pPr>
              <w:spacing w:before="0" w:line="240" w:lineRule="atLeast"/>
              <w:rPr>
                <w:rFonts w:ascii="Verdana" w:hAnsi="Verdana"/>
                <w:sz w:val="20"/>
              </w:rPr>
            </w:pPr>
          </w:p>
        </w:tc>
      </w:tr>
      <w:tr w:rsidR="00BB1D82" w:rsidRPr="004C3E50" w14:paraId="662ABCDE" w14:textId="77777777" w:rsidTr="003B37BA">
        <w:trPr>
          <w:cantSplit/>
        </w:trPr>
        <w:tc>
          <w:tcPr>
            <w:tcW w:w="6804" w:type="dxa"/>
          </w:tcPr>
          <w:p w14:paraId="499B8A6E" w14:textId="77777777" w:rsidR="00BB1D82" w:rsidRPr="004C3E50" w:rsidRDefault="006D4724" w:rsidP="00BA5BD0">
            <w:pPr>
              <w:spacing w:before="0"/>
              <w:rPr>
                <w:rFonts w:ascii="Verdana" w:hAnsi="Verdana"/>
                <w:b/>
                <w:sz w:val="20"/>
              </w:rPr>
            </w:pPr>
            <w:r w:rsidRPr="004C3E50">
              <w:rPr>
                <w:rFonts w:ascii="Verdana" w:hAnsi="Verdana"/>
                <w:b/>
                <w:sz w:val="20"/>
              </w:rPr>
              <w:t>SÉANCE PLÉNIÈRE</w:t>
            </w:r>
          </w:p>
        </w:tc>
        <w:tc>
          <w:tcPr>
            <w:tcW w:w="3227" w:type="dxa"/>
          </w:tcPr>
          <w:p w14:paraId="6F1A7C98" w14:textId="3F143BD4" w:rsidR="00BB1D82" w:rsidRPr="004C3E50" w:rsidRDefault="006D4724" w:rsidP="00AB60FC">
            <w:pPr>
              <w:spacing w:before="0"/>
              <w:rPr>
                <w:rFonts w:ascii="Verdana" w:hAnsi="Verdana"/>
                <w:sz w:val="20"/>
              </w:rPr>
            </w:pPr>
            <w:r w:rsidRPr="004C3E50">
              <w:rPr>
                <w:rFonts w:ascii="Verdana" w:hAnsi="Verdana"/>
                <w:b/>
                <w:sz w:val="20"/>
              </w:rPr>
              <w:t xml:space="preserve">Addendum 11 </w:t>
            </w:r>
            <w:r w:rsidR="00AB60FC" w:rsidRPr="004C3E50">
              <w:rPr>
                <w:rFonts w:ascii="Verdana" w:hAnsi="Verdana"/>
                <w:b/>
                <w:sz w:val="20"/>
              </w:rPr>
              <w:t>d</w:t>
            </w:r>
            <w:r w:rsidRPr="004C3E50">
              <w:rPr>
                <w:rFonts w:ascii="Verdana" w:hAnsi="Verdana"/>
                <w:b/>
                <w:sz w:val="20"/>
              </w:rPr>
              <w:t>u</w:t>
            </w:r>
            <w:r w:rsidRPr="004C3E50">
              <w:rPr>
                <w:rFonts w:ascii="Verdana" w:hAnsi="Verdana"/>
                <w:b/>
                <w:sz w:val="20"/>
              </w:rPr>
              <w:br/>
              <w:t>Document 11(Add.19)</w:t>
            </w:r>
            <w:r w:rsidR="00BB1D82" w:rsidRPr="004C3E50">
              <w:rPr>
                <w:rFonts w:ascii="Verdana" w:hAnsi="Verdana"/>
                <w:b/>
                <w:sz w:val="20"/>
              </w:rPr>
              <w:t>-</w:t>
            </w:r>
            <w:r w:rsidRPr="004C3E50">
              <w:rPr>
                <w:rFonts w:ascii="Verdana" w:hAnsi="Verdana"/>
                <w:b/>
                <w:sz w:val="20"/>
              </w:rPr>
              <w:t>F</w:t>
            </w:r>
          </w:p>
        </w:tc>
      </w:tr>
      <w:tr w:rsidR="00690C7B" w:rsidRPr="004C3E50" w14:paraId="18064376" w14:textId="77777777" w:rsidTr="003B37BA">
        <w:trPr>
          <w:cantSplit/>
        </w:trPr>
        <w:tc>
          <w:tcPr>
            <w:tcW w:w="6804" w:type="dxa"/>
          </w:tcPr>
          <w:p w14:paraId="109C6EFD" w14:textId="77777777" w:rsidR="00690C7B" w:rsidRPr="004C3E50" w:rsidRDefault="00690C7B" w:rsidP="00BA5BD0">
            <w:pPr>
              <w:spacing w:before="0"/>
              <w:rPr>
                <w:rFonts w:ascii="Verdana" w:hAnsi="Verdana"/>
                <w:b/>
                <w:sz w:val="20"/>
              </w:rPr>
            </w:pPr>
            <w:bookmarkStart w:id="1" w:name="_GoBack"/>
            <w:bookmarkEnd w:id="0"/>
            <w:bookmarkEnd w:id="1"/>
          </w:p>
        </w:tc>
        <w:tc>
          <w:tcPr>
            <w:tcW w:w="3227" w:type="dxa"/>
          </w:tcPr>
          <w:p w14:paraId="5C5A8752" w14:textId="40365942" w:rsidR="00690C7B" w:rsidRPr="004C3E50" w:rsidRDefault="00690C7B" w:rsidP="00BA5BD0">
            <w:pPr>
              <w:spacing w:before="0"/>
              <w:rPr>
                <w:rFonts w:ascii="Verdana" w:hAnsi="Verdana"/>
                <w:b/>
                <w:sz w:val="20"/>
              </w:rPr>
            </w:pPr>
            <w:r w:rsidRPr="004C3E50">
              <w:rPr>
                <w:rFonts w:ascii="Verdana" w:hAnsi="Verdana"/>
                <w:b/>
                <w:sz w:val="20"/>
              </w:rPr>
              <w:t>18 septembre 201</w:t>
            </w:r>
            <w:r w:rsidR="000D487E" w:rsidRPr="004C3E50">
              <w:rPr>
                <w:rFonts w:ascii="Verdana" w:hAnsi="Verdana"/>
                <w:b/>
                <w:sz w:val="20"/>
              </w:rPr>
              <w:t>9</w:t>
            </w:r>
          </w:p>
        </w:tc>
      </w:tr>
      <w:tr w:rsidR="00690C7B" w:rsidRPr="004C3E50" w14:paraId="324C051D" w14:textId="77777777" w:rsidTr="003B37BA">
        <w:trPr>
          <w:cantSplit/>
        </w:trPr>
        <w:tc>
          <w:tcPr>
            <w:tcW w:w="6804" w:type="dxa"/>
          </w:tcPr>
          <w:p w14:paraId="4356C435" w14:textId="77777777" w:rsidR="00690C7B" w:rsidRPr="004C3E50" w:rsidRDefault="00690C7B" w:rsidP="00BA5BD0">
            <w:pPr>
              <w:spacing w:before="0" w:after="48"/>
              <w:rPr>
                <w:rFonts w:ascii="Verdana" w:hAnsi="Verdana"/>
                <w:b/>
                <w:smallCaps/>
                <w:sz w:val="20"/>
              </w:rPr>
            </w:pPr>
          </w:p>
        </w:tc>
        <w:tc>
          <w:tcPr>
            <w:tcW w:w="3227" w:type="dxa"/>
          </w:tcPr>
          <w:p w14:paraId="72B203E3" w14:textId="3AA49A9A" w:rsidR="00690C7B" w:rsidRPr="004C3E50" w:rsidRDefault="00690C7B" w:rsidP="00BA5BD0">
            <w:pPr>
              <w:spacing w:before="0"/>
              <w:rPr>
                <w:rFonts w:ascii="Verdana" w:hAnsi="Verdana"/>
                <w:b/>
                <w:sz w:val="20"/>
              </w:rPr>
            </w:pPr>
            <w:r w:rsidRPr="004C3E50">
              <w:rPr>
                <w:rFonts w:ascii="Verdana" w:hAnsi="Verdana"/>
                <w:b/>
                <w:sz w:val="20"/>
              </w:rPr>
              <w:t>Original: anglais</w:t>
            </w:r>
            <w:r w:rsidR="000D487E" w:rsidRPr="004C3E50">
              <w:rPr>
                <w:rFonts w:ascii="Verdana" w:hAnsi="Verdana"/>
                <w:b/>
                <w:sz w:val="20"/>
              </w:rPr>
              <w:t>/espagnol</w:t>
            </w:r>
          </w:p>
        </w:tc>
      </w:tr>
      <w:tr w:rsidR="00690C7B" w:rsidRPr="004C3E50" w14:paraId="56D3C3C9" w14:textId="77777777" w:rsidTr="00C11970">
        <w:trPr>
          <w:cantSplit/>
        </w:trPr>
        <w:tc>
          <w:tcPr>
            <w:tcW w:w="10031" w:type="dxa"/>
            <w:gridSpan w:val="2"/>
          </w:tcPr>
          <w:p w14:paraId="296D07DF" w14:textId="77777777" w:rsidR="00690C7B" w:rsidRPr="004C3E50" w:rsidRDefault="00690C7B" w:rsidP="00BA5BD0">
            <w:pPr>
              <w:spacing w:before="0"/>
              <w:rPr>
                <w:rFonts w:ascii="Verdana" w:hAnsi="Verdana"/>
                <w:b/>
                <w:sz w:val="20"/>
              </w:rPr>
            </w:pPr>
          </w:p>
        </w:tc>
      </w:tr>
      <w:tr w:rsidR="00690C7B" w:rsidRPr="004C3E50" w14:paraId="5DF418A4" w14:textId="77777777" w:rsidTr="0050008E">
        <w:trPr>
          <w:cantSplit/>
        </w:trPr>
        <w:tc>
          <w:tcPr>
            <w:tcW w:w="10031" w:type="dxa"/>
            <w:gridSpan w:val="2"/>
          </w:tcPr>
          <w:p w14:paraId="150AE4B1" w14:textId="77777777" w:rsidR="00690C7B" w:rsidRPr="004C3E50" w:rsidRDefault="00690C7B" w:rsidP="00690C7B">
            <w:pPr>
              <w:pStyle w:val="Source"/>
            </w:pPr>
            <w:bookmarkStart w:id="2" w:name="dsource" w:colFirst="0" w:colLast="0"/>
            <w:r w:rsidRPr="004C3E50">
              <w:t>États Membres de la Commission interaméricaine des télécommunications (CITEL)</w:t>
            </w:r>
          </w:p>
        </w:tc>
      </w:tr>
      <w:tr w:rsidR="00690C7B" w:rsidRPr="004C3E50" w14:paraId="68FA4344" w14:textId="77777777" w:rsidTr="0050008E">
        <w:trPr>
          <w:cantSplit/>
        </w:trPr>
        <w:tc>
          <w:tcPr>
            <w:tcW w:w="10031" w:type="dxa"/>
            <w:gridSpan w:val="2"/>
          </w:tcPr>
          <w:p w14:paraId="78622A36" w14:textId="4C0BD81E" w:rsidR="00690C7B" w:rsidRPr="004C3E50" w:rsidRDefault="00206B84" w:rsidP="00690C7B">
            <w:pPr>
              <w:pStyle w:val="Title1"/>
            </w:pPr>
            <w:bookmarkStart w:id="3" w:name="dtitle1" w:colFirst="0" w:colLast="0"/>
            <w:bookmarkEnd w:id="2"/>
            <w:r w:rsidRPr="004C3E50">
              <w:t>PROPOSITIONS POUR LES TRAVAUX DE LA CONFÉRENCE</w:t>
            </w:r>
          </w:p>
        </w:tc>
      </w:tr>
      <w:tr w:rsidR="00690C7B" w:rsidRPr="004C3E50" w14:paraId="0B9E5B69" w14:textId="77777777" w:rsidTr="0050008E">
        <w:trPr>
          <w:cantSplit/>
        </w:trPr>
        <w:tc>
          <w:tcPr>
            <w:tcW w:w="10031" w:type="dxa"/>
            <w:gridSpan w:val="2"/>
          </w:tcPr>
          <w:p w14:paraId="63F36609" w14:textId="77777777" w:rsidR="00690C7B" w:rsidRPr="004C3E50" w:rsidRDefault="00690C7B" w:rsidP="00690C7B">
            <w:pPr>
              <w:pStyle w:val="Title2"/>
            </w:pPr>
            <w:bookmarkStart w:id="4" w:name="dtitle2" w:colFirst="0" w:colLast="0"/>
            <w:bookmarkEnd w:id="3"/>
          </w:p>
        </w:tc>
      </w:tr>
      <w:tr w:rsidR="00690C7B" w:rsidRPr="004C3E50" w14:paraId="1D96877C" w14:textId="77777777" w:rsidTr="0050008E">
        <w:trPr>
          <w:cantSplit/>
        </w:trPr>
        <w:tc>
          <w:tcPr>
            <w:tcW w:w="10031" w:type="dxa"/>
            <w:gridSpan w:val="2"/>
          </w:tcPr>
          <w:p w14:paraId="55259373" w14:textId="77777777" w:rsidR="00690C7B" w:rsidRPr="004C3E50" w:rsidRDefault="00690C7B" w:rsidP="00690C7B">
            <w:pPr>
              <w:pStyle w:val="Agendaitem"/>
              <w:rPr>
                <w:lang w:val="fr-FR"/>
              </w:rPr>
            </w:pPr>
            <w:bookmarkStart w:id="5" w:name="dtitle3" w:colFirst="0" w:colLast="0"/>
            <w:bookmarkEnd w:id="4"/>
            <w:r w:rsidRPr="004C3E50">
              <w:rPr>
                <w:lang w:val="fr-FR"/>
              </w:rPr>
              <w:t>Point 7(K) de l'ordre du jour</w:t>
            </w:r>
          </w:p>
        </w:tc>
      </w:tr>
    </w:tbl>
    <w:bookmarkEnd w:id="5"/>
    <w:p w14:paraId="32D85852" w14:textId="773E72F1" w:rsidR="001C0E40" w:rsidRPr="004C3E50" w:rsidRDefault="00A04700" w:rsidP="008158A1">
      <w:r w:rsidRPr="004C3E50">
        <w:t>7</w:t>
      </w:r>
      <w:r w:rsidRPr="004C3E50">
        <w:tab/>
        <w:t xml:space="preserve">examiner d'éventuels changements à apporter, et d'autres options à mettre en oeuvre, en application de la Résolution 86 (Rév. Marrakech, 2002) de la Conférence de plénipotentiaires, intitulée </w:t>
      </w:r>
      <w:r w:rsidR="003B37BA" w:rsidRPr="004C3E50">
        <w:t>«</w:t>
      </w:r>
      <w:r w:rsidRPr="004C3E50">
        <w:t>Procédures de publication anticipée, de coordination, de notification et d'inscription des assignations de fréquence relatives aux réseaux à satellite</w:t>
      </w:r>
      <w:r w:rsidR="003B37BA" w:rsidRPr="004C3E50">
        <w:t>»</w:t>
      </w:r>
      <w:r w:rsidRPr="004C3E50">
        <w:t>, conformément à la Résolution </w:t>
      </w:r>
      <w:r w:rsidRPr="004C3E50">
        <w:rPr>
          <w:b/>
          <w:bCs/>
        </w:rPr>
        <w:t>86 (Rév.CMR-07)</w:t>
      </w:r>
      <w:r w:rsidRPr="004C3E50">
        <w:t>, afin de faciliter l'utilisation rationnelle, efficace et économique des fréquences radioélectriques et des orbites associées, y compris de l'orbite des satellites géostationnaires;</w:t>
      </w:r>
    </w:p>
    <w:p w14:paraId="30C10513" w14:textId="77777777" w:rsidR="001C0E40" w:rsidRPr="004C3E50" w:rsidRDefault="00A04700" w:rsidP="006A5586">
      <w:r w:rsidRPr="004C3E50">
        <w:t>7(K)</w:t>
      </w:r>
      <w:r w:rsidRPr="004C3E50">
        <w:tab/>
      </w:r>
      <w:r w:rsidRPr="004C3E50">
        <w:rPr>
          <w:szCs w:val="24"/>
        </w:rPr>
        <w:t xml:space="preserve">Question K – </w:t>
      </w:r>
      <w:r w:rsidRPr="004C3E50">
        <w:rPr>
          <w:rFonts w:cs="Segoe UI"/>
          <w:color w:val="000000"/>
          <w:szCs w:val="24"/>
        </w:rPr>
        <w:t xml:space="preserve">Difficultés rencontrées lors des examens de la Partie B au titre du § 4.1.12 ou 4.2.16 des Appendices </w:t>
      </w:r>
      <w:r w:rsidRPr="004C3E50">
        <w:rPr>
          <w:rFonts w:cs="Segoe UI"/>
          <w:b/>
          <w:bCs/>
          <w:color w:val="000000"/>
          <w:szCs w:val="24"/>
        </w:rPr>
        <w:t>30</w:t>
      </w:r>
      <w:r w:rsidRPr="004C3E50">
        <w:rPr>
          <w:rFonts w:cs="Segoe UI"/>
          <w:color w:val="000000"/>
          <w:szCs w:val="24"/>
        </w:rPr>
        <w:t xml:space="preserve"> et </w:t>
      </w:r>
      <w:r w:rsidRPr="004C3E50">
        <w:rPr>
          <w:rFonts w:cs="Segoe UI"/>
          <w:b/>
          <w:bCs/>
          <w:color w:val="000000"/>
          <w:szCs w:val="24"/>
        </w:rPr>
        <w:t>30A</w:t>
      </w:r>
      <w:r w:rsidRPr="004C3E50">
        <w:rPr>
          <w:rFonts w:cs="Segoe UI"/>
          <w:color w:val="000000"/>
          <w:szCs w:val="24"/>
        </w:rPr>
        <w:t xml:space="preserve"> du RR et du § 6.21 c) de l'Appendice </w:t>
      </w:r>
      <w:r w:rsidRPr="004C3E50">
        <w:rPr>
          <w:rFonts w:cs="Segoe UI"/>
          <w:b/>
          <w:bCs/>
          <w:color w:val="000000"/>
          <w:szCs w:val="24"/>
        </w:rPr>
        <w:t>30B</w:t>
      </w:r>
      <w:r w:rsidRPr="004C3E50">
        <w:rPr>
          <w:rFonts w:cs="Segoe UI"/>
          <w:color w:val="000000"/>
          <w:szCs w:val="24"/>
        </w:rPr>
        <w:t xml:space="preserve"> du RR</w:t>
      </w:r>
      <w:r w:rsidRPr="004C3E50">
        <w:rPr>
          <w:szCs w:val="24"/>
        </w:rPr>
        <w:t>.</w:t>
      </w:r>
    </w:p>
    <w:p w14:paraId="77EC8816" w14:textId="1E2AFEB4" w:rsidR="003A583E" w:rsidRPr="004C3E50" w:rsidRDefault="00B537AC" w:rsidP="00A159E5">
      <w:pPr>
        <w:pStyle w:val="Headingb"/>
      </w:pPr>
      <w:r w:rsidRPr="004C3E50">
        <w:t>Généralités</w:t>
      </w:r>
    </w:p>
    <w:p w14:paraId="36F40F14" w14:textId="3AC5E95B" w:rsidR="00923A2E" w:rsidRPr="004C3E50" w:rsidRDefault="002031A2" w:rsidP="00A159E5">
      <w:pPr>
        <w:rPr>
          <w:lang w:eastAsia="ja-JP"/>
        </w:rPr>
      </w:pPr>
      <w:r w:rsidRPr="004C3E50">
        <w:rPr>
          <w:lang w:eastAsia="zh-CN"/>
        </w:rPr>
        <w:t>L'examen au titre du § </w:t>
      </w:r>
      <w:r w:rsidR="00923A2E" w:rsidRPr="004C3E50">
        <w:rPr>
          <w:lang w:eastAsia="zh-CN"/>
        </w:rPr>
        <w:t xml:space="preserve">4.1.12 ou du </w:t>
      </w:r>
      <w:r w:rsidRPr="004C3E50">
        <w:rPr>
          <w:lang w:eastAsia="zh-CN"/>
        </w:rPr>
        <w:t>§ </w:t>
      </w:r>
      <w:r w:rsidR="00923A2E" w:rsidRPr="004C3E50">
        <w:rPr>
          <w:lang w:eastAsia="ja-JP"/>
        </w:rPr>
        <w:t xml:space="preserve">4.2.16 des Appendices </w:t>
      </w:r>
      <w:r w:rsidR="00923A2E" w:rsidRPr="004C3E50">
        <w:rPr>
          <w:b/>
          <w:lang w:eastAsia="ja-JP"/>
        </w:rPr>
        <w:t>30</w:t>
      </w:r>
      <w:r w:rsidR="00923A2E" w:rsidRPr="004C3E50">
        <w:rPr>
          <w:lang w:eastAsia="ja-JP"/>
        </w:rPr>
        <w:t xml:space="preserve"> et </w:t>
      </w:r>
      <w:r w:rsidR="00923A2E" w:rsidRPr="004C3E50">
        <w:rPr>
          <w:b/>
          <w:lang w:eastAsia="ja-JP"/>
        </w:rPr>
        <w:t>30A</w:t>
      </w:r>
      <w:r w:rsidR="00923A2E" w:rsidRPr="004C3E50">
        <w:rPr>
          <w:lang w:eastAsia="ja-JP"/>
        </w:rPr>
        <w:t xml:space="preserve"> </w:t>
      </w:r>
      <w:r w:rsidR="0015722D" w:rsidRPr="004C3E50">
        <w:rPr>
          <w:lang w:eastAsia="ja-JP"/>
        </w:rPr>
        <w:t xml:space="preserve">du RR </w:t>
      </w:r>
      <w:r w:rsidR="006C7D96" w:rsidRPr="004C3E50">
        <w:rPr>
          <w:lang w:eastAsia="ja-JP"/>
        </w:rPr>
        <w:t>ou</w:t>
      </w:r>
      <w:r w:rsidRPr="004C3E50">
        <w:rPr>
          <w:lang w:eastAsia="ja-JP"/>
        </w:rPr>
        <w:t xml:space="preserve"> du § </w:t>
      </w:r>
      <w:r w:rsidR="006C7D96" w:rsidRPr="004C3E50">
        <w:rPr>
          <w:lang w:eastAsia="ja-JP"/>
        </w:rPr>
        <w:t xml:space="preserve">6.21 c) de l'Appendice </w:t>
      </w:r>
      <w:r w:rsidR="006C7D96" w:rsidRPr="004C3E50">
        <w:rPr>
          <w:b/>
          <w:bCs/>
          <w:lang w:eastAsia="ja-JP"/>
        </w:rPr>
        <w:t>30B</w:t>
      </w:r>
      <w:r w:rsidR="006C7D96" w:rsidRPr="004C3E50">
        <w:rPr>
          <w:lang w:eastAsia="ja-JP"/>
        </w:rPr>
        <w:t xml:space="preserve"> </w:t>
      </w:r>
      <w:r w:rsidR="00923A2E" w:rsidRPr="004C3E50">
        <w:rPr>
          <w:lang w:eastAsia="ja-JP"/>
        </w:rPr>
        <w:t xml:space="preserve">du RR repose sur les assignations pour lesquelles le Bureau a reçu précédemment les renseignements complets, même si la </w:t>
      </w:r>
      <w:r w:rsidR="006C7D96" w:rsidRPr="004C3E50">
        <w:rPr>
          <w:lang w:eastAsia="ja-JP"/>
        </w:rPr>
        <w:t xml:space="preserve">notification du </w:t>
      </w:r>
      <w:r w:rsidR="00923A2E" w:rsidRPr="004C3E50">
        <w:rPr>
          <w:lang w:eastAsia="ja-JP"/>
        </w:rPr>
        <w:t xml:space="preserve">réseau </w:t>
      </w:r>
      <w:r w:rsidR="006C7D96" w:rsidRPr="004C3E50">
        <w:rPr>
          <w:lang w:eastAsia="ja-JP"/>
        </w:rPr>
        <w:t>senior</w:t>
      </w:r>
      <w:r w:rsidR="00923A2E" w:rsidRPr="004C3E50">
        <w:rPr>
          <w:lang w:eastAsia="ja-JP"/>
        </w:rPr>
        <w:t xml:space="preserve"> </w:t>
      </w:r>
      <w:r w:rsidR="003B37BA" w:rsidRPr="004C3E50">
        <w:rPr>
          <w:lang w:eastAsia="ja-JP"/>
        </w:rPr>
        <w:t xml:space="preserve">au titre de la Partie B </w:t>
      </w:r>
      <w:r w:rsidR="00923A2E" w:rsidRPr="004C3E50">
        <w:rPr>
          <w:lang w:eastAsia="ja-JP"/>
        </w:rPr>
        <w:t xml:space="preserve">a déjà été publiée </w:t>
      </w:r>
      <w:r w:rsidR="00923A2E" w:rsidRPr="004C3E50">
        <w:rPr>
          <w:lang w:eastAsia="zh-CN"/>
        </w:rPr>
        <w:t xml:space="preserve">avec des caractéristiques réduites (par exemple, une zone de service et une zone de couverture réduites) et, à compter de cette publication de la Partie B, </w:t>
      </w:r>
      <w:r w:rsidR="006C7D96" w:rsidRPr="004C3E50">
        <w:rPr>
          <w:lang w:eastAsia="zh-CN"/>
        </w:rPr>
        <w:t xml:space="preserve">la Partie A </w:t>
      </w:r>
      <w:r w:rsidR="003B37BA" w:rsidRPr="004C3E50">
        <w:rPr>
          <w:lang w:eastAsia="zh-CN"/>
        </w:rPr>
        <w:t>pour le</w:t>
      </w:r>
      <w:r w:rsidR="006C7D96" w:rsidRPr="004C3E50">
        <w:rPr>
          <w:lang w:eastAsia="zh-CN"/>
        </w:rPr>
        <w:t xml:space="preserve"> </w:t>
      </w:r>
      <w:r w:rsidR="00923A2E" w:rsidRPr="004C3E50">
        <w:rPr>
          <w:lang w:eastAsia="zh-CN"/>
        </w:rPr>
        <w:t xml:space="preserve">réseau </w:t>
      </w:r>
      <w:r w:rsidR="006C7D96" w:rsidRPr="004C3E50">
        <w:rPr>
          <w:lang w:eastAsia="zh-CN"/>
        </w:rPr>
        <w:t>senior</w:t>
      </w:r>
      <w:r w:rsidR="00923A2E" w:rsidRPr="004C3E50">
        <w:rPr>
          <w:lang w:eastAsia="zh-CN"/>
        </w:rPr>
        <w:t xml:space="preserve"> n'existe plus dans les bases de données des Appendices </w:t>
      </w:r>
      <w:r w:rsidR="00923A2E" w:rsidRPr="004C3E50">
        <w:rPr>
          <w:bCs/>
          <w:lang w:eastAsia="zh-CN"/>
        </w:rPr>
        <w:t>30</w:t>
      </w:r>
      <w:r w:rsidR="006C7D96" w:rsidRPr="004C3E50">
        <w:rPr>
          <w:lang w:eastAsia="zh-CN"/>
        </w:rPr>
        <w:t xml:space="preserve">, </w:t>
      </w:r>
      <w:r w:rsidR="00923A2E" w:rsidRPr="004C3E50">
        <w:rPr>
          <w:bCs/>
          <w:lang w:eastAsia="zh-CN"/>
        </w:rPr>
        <w:t>30A</w:t>
      </w:r>
      <w:r w:rsidR="00923A2E" w:rsidRPr="004C3E50">
        <w:rPr>
          <w:lang w:eastAsia="zh-CN"/>
        </w:rPr>
        <w:t xml:space="preserve"> </w:t>
      </w:r>
      <w:r w:rsidR="006C7D96" w:rsidRPr="004C3E50">
        <w:rPr>
          <w:lang w:eastAsia="zh-CN"/>
        </w:rPr>
        <w:t>et 30B</w:t>
      </w:r>
      <w:r w:rsidR="00923A2E" w:rsidRPr="004C3E50">
        <w:rPr>
          <w:lang w:eastAsia="zh-CN"/>
        </w:rPr>
        <w:t>.</w:t>
      </w:r>
    </w:p>
    <w:p w14:paraId="4BF34BF4" w14:textId="0261E4E5" w:rsidR="00923A2E" w:rsidRPr="004C3E50" w:rsidRDefault="00923A2E" w:rsidP="00A159E5">
      <w:pPr>
        <w:rPr>
          <w:lang w:eastAsia="zh-CN"/>
        </w:rPr>
      </w:pPr>
      <w:r w:rsidRPr="004C3E50">
        <w:t xml:space="preserve">Cela crée des difficultés pour l'administration notificatrice </w:t>
      </w:r>
      <w:r w:rsidR="00CC7E71" w:rsidRPr="004C3E50">
        <w:t xml:space="preserve">d'un réseau à satellite </w:t>
      </w:r>
      <w:r w:rsidRPr="004C3E50">
        <w:t xml:space="preserve">et peut empêcher que sa notification </w:t>
      </w:r>
      <w:r w:rsidR="003B37BA" w:rsidRPr="004C3E50">
        <w:t xml:space="preserve">soumise au titre </w:t>
      </w:r>
      <w:r w:rsidR="002031A2" w:rsidRPr="004C3E50">
        <w:t>de la Partie B</w:t>
      </w:r>
      <w:r w:rsidRPr="004C3E50">
        <w:t xml:space="preserve"> soit inscrite dans la Liste ou dans le Plan avec une conclusion favorable lorsque l'examen de sa soumission </w:t>
      </w:r>
      <w:r w:rsidR="002031A2" w:rsidRPr="004C3E50">
        <w:t xml:space="preserve">par rapport à </w:t>
      </w:r>
      <w:r w:rsidR="00096F42" w:rsidRPr="004C3E50">
        <w:t>une</w:t>
      </w:r>
      <w:r w:rsidR="002031A2" w:rsidRPr="004C3E50">
        <w:t xml:space="preserve"> notification </w:t>
      </w:r>
      <w:r w:rsidR="00096F42" w:rsidRPr="004C3E50">
        <w:t>du</w:t>
      </w:r>
      <w:r w:rsidR="002031A2" w:rsidRPr="004C3E50">
        <w:t xml:space="preserve"> réseau senior </w:t>
      </w:r>
      <w:r w:rsidR="003B37BA" w:rsidRPr="004C3E50">
        <w:t xml:space="preserve">au titre de la Partie A </w:t>
      </w:r>
      <w:r w:rsidRPr="004C3E50">
        <w:t>donne une conclusion défavorable même si, e</w:t>
      </w:r>
      <w:r w:rsidR="002031A2" w:rsidRPr="004C3E50">
        <w:t xml:space="preserve">n réalité, son réseau (notification </w:t>
      </w:r>
      <w:r w:rsidR="003B37BA" w:rsidRPr="004C3E50">
        <w:t xml:space="preserve">au titre </w:t>
      </w:r>
      <w:r w:rsidR="002031A2" w:rsidRPr="004C3E50">
        <w:t>de la Partie B</w:t>
      </w:r>
      <w:r w:rsidRPr="004C3E50">
        <w:t>) peut</w:t>
      </w:r>
      <w:r w:rsidRPr="004C3E50">
        <w:rPr>
          <w:lang w:eastAsia="zh-CN"/>
        </w:rPr>
        <w:t xml:space="preserve"> coexister avec le réseau senior figurant dans la Liste</w:t>
      </w:r>
      <w:r w:rsidRPr="004C3E50">
        <w:t xml:space="preserve"> ou dans le Plan</w:t>
      </w:r>
      <w:r w:rsidRPr="004C3E50">
        <w:rPr>
          <w:lang w:eastAsia="zh-CN"/>
        </w:rPr>
        <w:t xml:space="preserve"> (</w:t>
      </w:r>
      <w:r w:rsidR="002031A2" w:rsidRPr="004C3E50">
        <w:rPr>
          <w:lang w:eastAsia="zh-CN"/>
        </w:rPr>
        <w:t>notification du réseau senior</w:t>
      </w:r>
      <w:r w:rsidR="003B37BA" w:rsidRPr="004C3E50">
        <w:rPr>
          <w:lang w:eastAsia="zh-CN"/>
        </w:rPr>
        <w:t xml:space="preserve"> au titre de la Partie B</w:t>
      </w:r>
      <w:r w:rsidR="002031A2" w:rsidRPr="004C3E50">
        <w:rPr>
          <w:lang w:eastAsia="zh-CN"/>
        </w:rPr>
        <w:t xml:space="preserve">), et si l'examen </w:t>
      </w:r>
      <w:r w:rsidRPr="004C3E50">
        <w:rPr>
          <w:lang w:eastAsia="zh-CN"/>
        </w:rPr>
        <w:t xml:space="preserve">par rapport </w:t>
      </w:r>
      <w:r w:rsidR="002031A2" w:rsidRPr="004C3E50">
        <w:rPr>
          <w:lang w:eastAsia="zh-CN"/>
        </w:rPr>
        <w:t>au réseau senior</w:t>
      </w:r>
      <w:r w:rsidRPr="004C3E50">
        <w:rPr>
          <w:lang w:eastAsia="zh-CN"/>
        </w:rPr>
        <w:t xml:space="preserve"> </w:t>
      </w:r>
      <w:r w:rsidR="002031A2" w:rsidRPr="004C3E50">
        <w:rPr>
          <w:lang w:eastAsia="zh-CN"/>
        </w:rPr>
        <w:t xml:space="preserve">est fondé sur la </w:t>
      </w:r>
      <w:r w:rsidR="00096F42" w:rsidRPr="004C3E50">
        <w:rPr>
          <w:lang w:eastAsia="zh-CN"/>
        </w:rPr>
        <w:t xml:space="preserve">notification </w:t>
      </w:r>
      <w:r w:rsidR="003B37BA" w:rsidRPr="004C3E50">
        <w:rPr>
          <w:lang w:eastAsia="zh-CN"/>
        </w:rPr>
        <w:t xml:space="preserve">au titre </w:t>
      </w:r>
      <w:r w:rsidR="00096F42" w:rsidRPr="004C3E50">
        <w:rPr>
          <w:lang w:eastAsia="zh-CN"/>
        </w:rPr>
        <w:t xml:space="preserve">de la </w:t>
      </w:r>
      <w:r w:rsidR="002031A2" w:rsidRPr="004C3E50">
        <w:rPr>
          <w:lang w:eastAsia="zh-CN"/>
        </w:rPr>
        <w:t xml:space="preserve">Partie B, alors il </w:t>
      </w:r>
      <w:r w:rsidRPr="004C3E50">
        <w:rPr>
          <w:lang w:eastAsia="zh-CN"/>
        </w:rPr>
        <w:t>donne</w:t>
      </w:r>
      <w:r w:rsidR="002031A2" w:rsidRPr="004C3E50">
        <w:rPr>
          <w:lang w:eastAsia="zh-CN"/>
        </w:rPr>
        <w:t>ra</w:t>
      </w:r>
      <w:r w:rsidRPr="004C3E50">
        <w:rPr>
          <w:lang w:eastAsia="zh-CN"/>
        </w:rPr>
        <w:t xml:space="preserve"> une conclusion favorable.</w:t>
      </w:r>
    </w:p>
    <w:p w14:paraId="4F90FF1F" w14:textId="6A2B3B88" w:rsidR="00206B84" w:rsidRPr="004C3E50" w:rsidRDefault="00923A2E" w:rsidP="00A159E5">
      <w:pPr>
        <w:rPr>
          <w:lang w:eastAsia="ja-JP"/>
        </w:rPr>
      </w:pPr>
      <w:r w:rsidRPr="004C3E50">
        <w:rPr>
          <w:lang w:eastAsia="ja-JP"/>
        </w:rPr>
        <w:t xml:space="preserve">Face aux difficultés rencontrées par l'administration notificatrice lors de l'examen de la Partie B </w:t>
      </w:r>
      <w:r w:rsidR="003B37BA" w:rsidRPr="004C3E50">
        <w:rPr>
          <w:lang w:eastAsia="ja-JP"/>
        </w:rPr>
        <w:t>pour</w:t>
      </w:r>
      <w:r w:rsidRPr="004C3E50">
        <w:rPr>
          <w:lang w:eastAsia="ja-JP"/>
        </w:rPr>
        <w:t xml:space="preserve"> son réseau junior au titre du § 4.1.12 ou du § 4.2.16 des Appendices </w:t>
      </w:r>
      <w:r w:rsidRPr="004C3E50">
        <w:rPr>
          <w:b/>
          <w:lang w:eastAsia="ja-JP"/>
        </w:rPr>
        <w:t xml:space="preserve">30 </w:t>
      </w:r>
      <w:r w:rsidRPr="004C3E50">
        <w:rPr>
          <w:lang w:eastAsia="ja-JP"/>
        </w:rPr>
        <w:t xml:space="preserve">et </w:t>
      </w:r>
      <w:r w:rsidRPr="004C3E50">
        <w:rPr>
          <w:b/>
          <w:lang w:eastAsia="ja-JP"/>
        </w:rPr>
        <w:t>30A</w:t>
      </w:r>
      <w:r w:rsidRPr="004C3E50">
        <w:rPr>
          <w:bCs/>
          <w:lang w:eastAsia="ja-JP"/>
        </w:rPr>
        <w:t xml:space="preserve"> du RR </w:t>
      </w:r>
      <w:r w:rsidR="00255243" w:rsidRPr="004C3E50">
        <w:rPr>
          <w:lang w:eastAsia="ja-JP"/>
        </w:rPr>
        <w:t>ou du</w:t>
      </w:r>
      <w:r w:rsidR="00F375B1">
        <w:rPr>
          <w:lang w:eastAsia="ja-JP"/>
        </w:rPr>
        <w:t> </w:t>
      </w:r>
      <w:r w:rsidR="00255243" w:rsidRPr="004C3E50">
        <w:rPr>
          <w:lang w:eastAsia="ja-JP"/>
        </w:rPr>
        <w:t>§ </w:t>
      </w:r>
      <w:r w:rsidRPr="004C3E50">
        <w:rPr>
          <w:lang w:eastAsia="ja-JP"/>
        </w:rPr>
        <w:t xml:space="preserve">6.21 </w:t>
      </w:r>
      <w:r w:rsidRPr="004C3E50">
        <w:rPr>
          <w:i/>
          <w:iCs/>
          <w:lang w:eastAsia="ja-JP"/>
        </w:rPr>
        <w:t xml:space="preserve">c) </w:t>
      </w:r>
      <w:r w:rsidRPr="004C3E50">
        <w:rPr>
          <w:lang w:eastAsia="ja-JP"/>
        </w:rPr>
        <w:t xml:space="preserve">de l'Appendice </w:t>
      </w:r>
      <w:r w:rsidRPr="004C3E50">
        <w:rPr>
          <w:b/>
          <w:bCs/>
          <w:lang w:eastAsia="ja-JP"/>
        </w:rPr>
        <w:t>30B</w:t>
      </w:r>
      <w:r w:rsidRPr="004C3E50">
        <w:rPr>
          <w:lang w:eastAsia="ja-JP"/>
        </w:rPr>
        <w:t xml:space="preserve"> du RR, il est proposé </w:t>
      </w:r>
      <w:r w:rsidR="002031A2" w:rsidRPr="004C3E50">
        <w:rPr>
          <w:lang w:eastAsia="ja-JP"/>
        </w:rPr>
        <w:t xml:space="preserve">au titre de la Question K du point 7 de l'ordre du jour </w:t>
      </w:r>
      <w:r w:rsidRPr="004C3E50">
        <w:rPr>
          <w:lang w:eastAsia="ja-JP"/>
        </w:rPr>
        <w:t>d'ajouter un exam</w:t>
      </w:r>
      <w:r w:rsidR="002031A2" w:rsidRPr="004C3E50">
        <w:rPr>
          <w:lang w:eastAsia="ja-JP"/>
        </w:rPr>
        <w:t>en supplémentaire au titre du § </w:t>
      </w:r>
      <w:r w:rsidRPr="004C3E50">
        <w:rPr>
          <w:lang w:eastAsia="ja-JP"/>
        </w:rPr>
        <w:t xml:space="preserve">4.1.12 ou du § 4.2.16 des Appendices </w:t>
      </w:r>
      <w:r w:rsidRPr="004C3E50">
        <w:rPr>
          <w:b/>
          <w:bCs/>
          <w:lang w:eastAsia="ja-JP"/>
        </w:rPr>
        <w:t>30</w:t>
      </w:r>
      <w:r w:rsidRPr="004C3E50">
        <w:rPr>
          <w:lang w:eastAsia="ja-JP"/>
        </w:rPr>
        <w:t xml:space="preserve"> </w:t>
      </w:r>
      <w:r w:rsidRPr="004C3E50">
        <w:rPr>
          <w:lang w:eastAsia="ja-JP"/>
        </w:rPr>
        <w:lastRenderedPageBreak/>
        <w:t>et</w:t>
      </w:r>
      <w:r w:rsidR="00F375B1">
        <w:rPr>
          <w:lang w:eastAsia="ja-JP"/>
        </w:rPr>
        <w:t> </w:t>
      </w:r>
      <w:r w:rsidRPr="004C3E50">
        <w:rPr>
          <w:b/>
          <w:bCs/>
          <w:lang w:eastAsia="ja-JP"/>
        </w:rPr>
        <w:t>30A</w:t>
      </w:r>
      <w:r w:rsidRPr="004C3E50">
        <w:rPr>
          <w:lang w:eastAsia="ja-JP"/>
        </w:rPr>
        <w:t xml:space="preserve"> du RR et du § 6.21 </w:t>
      </w:r>
      <w:r w:rsidRPr="004C3E50">
        <w:rPr>
          <w:i/>
          <w:iCs/>
          <w:lang w:eastAsia="ja-JP"/>
        </w:rPr>
        <w:t>c)</w:t>
      </w:r>
      <w:r w:rsidRPr="004C3E50">
        <w:rPr>
          <w:lang w:eastAsia="ja-JP"/>
        </w:rPr>
        <w:t xml:space="preserve"> de l'Appendice </w:t>
      </w:r>
      <w:r w:rsidRPr="004C3E50">
        <w:rPr>
          <w:b/>
          <w:bCs/>
          <w:lang w:eastAsia="ja-JP"/>
        </w:rPr>
        <w:t>30B</w:t>
      </w:r>
      <w:r w:rsidRPr="004C3E50">
        <w:rPr>
          <w:lang w:eastAsia="ja-JP"/>
        </w:rPr>
        <w:t xml:space="preserve"> du RR de sorte que, s'il existe des réseaux affectés restants dont les assignations ont été inscrites dans la Liste ou dans le Plan, selon le cas, avant la soumission au titre du § 4.1.12 ou du § 4.2.16 des Appendices </w:t>
      </w:r>
      <w:r w:rsidRPr="004C3E50">
        <w:rPr>
          <w:b/>
          <w:bCs/>
          <w:lang w:eastAsia="ja-JP"/>
        </w:rPr>
        <w:t>30</w:t>
      </w:r>
      <w:r w:rsidRPr="004C3E50">
        <w:rPr>
          <w:lang w:eastAsia="ja-JP"/>
        </w:rPr>
        <w:t xml:space="preserve"> et </w:t>
      </w:r>
      <w:r w:rsidRPr="004C3E50">
        <w:rPr>
          <w:b/>
          <w:bCs/>
          <w:lang w:eastAsia="ja-JP"/>
        </w:rPr>
        <w:t>30A</w:t>
      </w:r>
      <w:r w:rsidR="002031A2" w:rsidRPr="004C3E50">
        <w:rPr>
          <w:lang w:eastAsia="ja-JP"/>
        </w:rPr>
        <w:t xml:space="preserve"> du RR ou du § </w:t>
      </w:r>
      <w:r w:rsidRPr="004C3E50">
        <w:rPr>
          <w:lang w:eastAsia="ja-JP"/>
        </w:rPr>
        <w:t xml:space="preserve">6.17 de l'Appendice </w:t>
      </w:r>
      <w:r w:rsidRPr="004C3E50">
        <w:rPr>
          <w:b/>
          <w:bCs/>
          <w:lang w:eastAsia="ja-JP"/>
        </w:rPr>
        <w:t>30B</w:t>
      </w:r>
      <w:r w:rsidRPr="004C3E50">
        <w:rPr>
          <w:lang w:eastAsia="ja-JP"/>
        </w:rPr>
        <w:t xml:space="preserve"> du RR, le Bureau détermine en outre si lesdites assignations figurant dans la Liste ou dans le Plan sont toujours considérées comme étant affectées.</w:t>
      </w:r>
    </w:p>
    <w:p w14:paraId="03ED9DD0" w14:textId="6EB16FEB" w:rsidR="00923A2E" w:rsidRPr="004C3E50" w:rsidRDefault="008C34A8" w:rsidP="00A159E5">
      <w:r w:rsidRPr="004C3E50">
        <w:t xml:space="preserve">Cet examen supplémentaire permet aux réseaux de </w:t>
      </w:r>
      <w:r w:rsidR="00255243" w:rsidRPr="004C3E50">
        <w:t>bénéficier</w:t>
      </w:r>
      <w:r w:rsidRPr="004C3E50">
        <w:t xml:space="preserve"> d'une conclusion favorable </w:t>
      </w:r>
      <w:r w:rsidR="003B37BA" w:rsidRPr="004C3E50">
        <w:t xml:space="preserve">par rapport </w:t>
      </w:r>
      <w:r w:rsidRPr="004C3E50">
        <w:t>aux réseaux seniors qui ne sont plus considérés comme étant affectés</w:t>
      </w:r>
      <w:r w:rsidR="00923A2E" w:rsidRPr="004C3E50">
        <w:t>.</w:t>
      </w:r>
      <w:r w:rsidR="00923A2E" w:rsidRPr="004C3E50">
        <w:rPr>
          <w:lang w:eastAsia="ja-JP"/>
        </w:rPr>
        <w:t xml:space="preserve"> </w:t>
      </w:r>
      <w:r w:rsidR="000D51AE" w:rsidRPr="004C3E50">
        <w:rPr>
          <w:lang w:eastAsia="ja-JP"/>
        </w:rPr>
        <w:t>De plus, c</w:t>
      </w:r>
      <w:r w:rsidR="00923A2E" w:rsidRPr="004C3E50">
        <w:rPr>
          <w:lang w:eastAsia="ja-JP"/>
        </w:rPr>
        <w:t xml:space="preserve">ela évite toute surprotection </w:t>
      </w:r>
      <w:r w:rsidR="000D51AE" w:rsidRPr="004C3E50">
        <w:rPr>
          <w:lang w:eastAsia="ja-JP"/>
        </w:rPr>
        <w:t>des réseaux seniors</w:t>
      </w:r>
      <w:r w:rsidR="00923A2E" w:rsidRPr="004C3E50">
        <w:rPr>
          <w:lang w:eastAsia="ja-JP"/>
        </w:rPr>
        <w:t xml:space="preserve"> découlant de caractéristiques qui sont obsolètes et ne sont plus valables tout en assurant une protection adéquate </w:t>
      </w:r>
      <w:r w:rsidR="000D51AE" w:rsidRPr="004C3E50">
        <w:rPr>
          <w:lang w:eastAsia="ja-JP"/>
        </w:rPr>
        <w:t>des réseaux seniors</w:t>
      </w:r>
      <w:r w:rsidR="00923A2E" w:rsidRPr="004C3E50">
        <w:rPr>
          <w:lang w:eastAsia="ja-JP"/>
        </w:rPr>
        <w:t>.</w:t>
      </w:r>
    </w:p>
    <w:p w14:paraId="482D9A32" w14:textId="77777777" w:rsidR="0015203F" w:rsidRPr="004C3E50" w:rsidRDefault="0015203F">
      <w:pPr>
        <w:tabs>
          <w:tab w:val="clear" w:pos="1134"/>
          <w:tab w:val="clear" w:pos="1871"/>
          <w:tab w:val="clear" w:pos="2268"/>
        </w:tabs>
        <w:overflowPunct/>
        <w:autoSpaceDE/>
        <w:autoSpaceDN/>
        <w:adjustRightInd/>
        <w:spacing w:before="0"/>
        <w:textAlignment w:val="auto"/>
      </w:pPr>
      <w:r w:rsidRPr="004C3E50">
        <w:br w:type="page"/>
      </w:r>
    </w:p>
    <w:p w14:paraId="188140B7" w14:textId="77777777" w:rsidR="00221098" w:rsidRPr="004C3E50" w:rsidRDefault="00A04700" w:rsidP="00D45552">
      <w:pPr>
        <w:pStyle w:val="AppendixNo"/>
      </w:pPr>
      <w:bookmarkStart w:id="6" w:name="_Toc459986340"/>
      <w:bookmarkStart w:id="7" w:name="_Toc459987790"/>
      <w:r w:rsidRPr="004C3E50">
        <w:lastRenderedPageBreak/>
        <w:t xml:space="preserve">APPENDICE </w:t>
      </w:r>
      <w:r w:rsidRPr="004C3E50">
        <w:rPr>
          <w:rStyle w:val="href"/>
        </w:rPr>
        <w:t>30</w:t>
      </w:r>
      <w:r w:rsidRPr="004C3E50">
        <w:t xml:space="preserve"> (RÉV.CMR</w:t>
      </w:r>
      <w:r w:rsidRPr="004C3E50">
        <w:noBreakHyphen/>
        <w:t>15)</w:t>
      </w:r>
      <w:r w:rsidRPr="004C3E50">
        <w:rPr>
          <w:rStyle w:val="FootnoteReference"/>
          <w:position w:val="0"/>
          <w:sz w:val="28"/>
        </w:rPr>
        <w:footnoteReference w:customMarkFollows="1" w:id="1"/>
        <w:t>*</w:t>
      </w:r>
      <w:bookmarkEnd w:id="6"/>
      <w:bookmarkEnd w:id="7"/>
    </w:p>
    <w:p w14:paraId="319C6A13" w14:textId="77777777" w:rsidR="00221098" w:rsidRPr="004C3E50" w:rsidRDefault="00A04700" w:rsidP="00193AD6">
      <w:pPr>
        <w:pStyle w:val="Appendixtitle"/>
        <w:rPr>
          <w:rFonts w:asciiTheme="majorBidi" w:hAnsiTheme="majorBidi"/>
        </w:rPr>
      </w:pPr>
      <w:bookmarkStart w:id="8" w:name="_Toc459986341"/>
      <w:bookmarkStart w:id="9" w:name="_Toc459987791"/>
      <w:r w:rsidRPr="004C3E50">
        <w:t>Dispositions applicables à tous les services et Plans et Liste</w:t>
      </w:r>
      <w:r w:rsidRPr="004C3E50">
        <w:rPr>
          <w:rStyle w:val="FootnoteReference"/>
          <w:rFonts w:ascii="Times New Roman" w:hAnsi="Times New Roman"/>
          <w:b w:val="0"/>
          <w:bCs/>
          <w:color w:val="000000"/>
        </w:rPr>
        <w:footnoteReference w:customMarkFollows="1" w:id="2"/>
        <w:t>1</w:t>
      </w:r>
      <w:r w:rsidRPr="004C3E50">
        <w:t xml:space="preserve"> associés</w:t>
      </w:r>
      <w:r w:rsidRPr="004C3E50">
        <w:br/>
        <w:t>concernant le service de radiodiffusion par satellite dans les</w:t>
      </w:r>
      <w:r w:rsidRPr="004C3E50">
        <w:br/>
        <w:t>bandes 11,7-12,2 GHz (dans la Région 3), 11,7-12,5 GHz</w:t>
      </w:r>
      <w:r w:rsidRPr="004C3E50">
        <w:br/>
        <w:t>(dans la Région 1) et 12,2-12,7 GHz (dans la Région 2)</w:t>
      </w:r>
      <w:r w:rsidRPr="004C3E50">
        <w:rPr>
          <w:b w:val="0"/>
          <w:sz w:val="16"/>
        </w:rPr>
        <w:t>     </w:t>
      </w:r>
      <w:r w:rsidRPr="004C3E50">
        <w:rPr>
          <w:rFonts w:asciiTheme="majorBidi" w:hAnsiTheme="majorBidi"/>
          <w:b w:val="0"/>
          <w:sz w:val="16"/>
        </w:rPr>
        <w:t>(CMR</w:t>
      </w:r>
      <w:r w:rsidRPr="004C3E50">
        <w:rPr>
          <w:rFonts w:asciiTheme="majorBidi" w:hAnsiTheme="majorBidi"/>
          <w:b w:val="0"/>
          <w:sz w:val="16"/>
        </w:rPr>
        <w:noBreakHyphen/>
        <w:t>03)</w:t>
      </w:r>
      <w:bookmarkEnd w:id="8"/>
      <w:bookmarkEnd w:id="9"/>
    </w:p>
    <w:p w14:paraId="589E1A37" w14:textId="77777777" w:rsidR="00221098" w:rsidRPr="004C3E50" w:rsidRDefault="00A04700" w:rsidP="00193AD6">
      <w:pPr>
        <w:pStyle w:val="AppArtNo"/>
      </w:pPr>
      <w:r w:rsidRPr="004C3E50">
        <w:t>ARTICLE 4</w:t>
      </w:r>
      <w:r w:rsidRPr="004C3E50">
        <w:rPr>
          <w:sz w:val="16"/>
        </w:rPr>
        <w:t>     (Rév.CMR</w:t>
      </w:r>
      <w:r w:rsidRPr="004C3E50">
        <w:rPr>
          <w:sz w:val="16"/>
        </w:rPr>
        <w:noBreakHyphen/>
        <w:t>15)</w:t>
      </w:r>
    </w:p>
    <w:p w14:paraId="44609C7A" w14:textId="77777777" w:rsidR="00221098" w:rsidRPr="004C3E50" w:rsidRDefault="00A04700" w:rsidP="00193AD6">
      <w:pPr>
        <w:pStyle w:val="AppArttitle"/>
        <w:rPr>
          <w:lang w:val="fr-FR"/>
        </w:rPr>
      </w:pPr>
      <w:bookmarkStart w:id="10" w:name="_Toc459986346"/>
      <w:r w:rsidRPr="004C3E50">
        <w:rPr>
          <w:lang w:val="fr-FR"/>
        </w:rPr>
        <w:t>Procédures relatives aux modifications apportées au Plan de la Région 2 et aux utilisations additionnelles dans les Régions 1 et 3</w:t>
      </w:r>
      <w:r w:rsidRPr="004C3E50">
        <w:rPr>
          <w:rStyle w:val="FootnoteReference"/>
          <w:b w:val="0"/>
          <w:bCs/>
          <w:lang w:val="fr-FR"/>
        </w:rPr>
        <w:footnoteReference w:customMarkFollows="1" w:id="3"/>
        <w:t>3</w:t>
      </w:r>
      <w:bookmarkEnd w:id="10"/>
    </w:p>
    <w:p w14:paraId="495FCEC2" w14:textId="77777777" w:rsidR="00221098" w:rsidRPr="004C3E50" w:rsidRDefault="00A04700" w:rsidP="00193AD6">
      <w:pPr>
        <w:pStyle w:val="Heading2"/>
      </w:pPr>
      <w:r w:rsidRPr="004C3E50">
        <w:t>4.1</w:t>
      </w:r>
      <w:r w:rsidRPr="004C3E50">
        <w:tab/>
        <w:t>Dispositions applicables aux Régions 1 et 3</w:t>
      </w:r>
    </w:p>
    <w:p w14:paraId="7B8BCB87" w14:textId="77777777" w:rsidR="009B7D9D" w:rsidRPr="004C3E50" w:rsidRDefault="00A04700">
      <w:pPr>
        <w:pStyle w:val="Proposal"/>
      </w:pPr>
      <w:r w:rsidRPr="004C3E50">
        <w:t>MOD</w:t>
      </w:r>
      <w:r w:rsidRPr="004C3E50">
        <w:tab/>
        <w:t>IAP/11A19A11/1</w:t>
      </w:r>
      <w:r w:rsidRPr="004C3E50">
        <w:rPr>
          <w:vanish/>
          <w:color w:val="7F7F7F" w:themeColor="text1" w:themeTint="80"/>
          <w:vertAlign w:val="superscript"/>
        </w:rPr>
        <w:t>#50133</w:t>
      </w:r>
    </w:p>
    <w:p w14:paraId="3D0BFF31" w14:textId="77777777" w:rsidR="007132E2" w:rsidRPr="004C3E50" w:rsidRDefault="00A04700" w:rsidP="00A94DD2">
      <w:pPr>
        <w:keepNext/>
        <w:keepLines/>
        <w:rPr>
          <w:sz w:val="16"/>
          <w:szCs w:val="16"/>
        </w:rPr>
      </w:pPr>
      <w:r w:rsidRPr="004C3E50">
        <w:rPr>
          <w:rStyle w:val="Provsplit"/>
        </w:rPr>
        <w:t>4.1.12</w:t>
      </w:r>
      <w:ins w:id="11" w:author="" w:date="2018-07-10T11:38:00Z">
        <w:r w:rsidRPr="004C3E50">
          <w:rPr>
            <w:rStyle w:val="FootnoteReference"/>
          </w:rPr>
          <w:footnoteReference w:customMarkFollows="1" w:id="4"/>
          <w:t>XX</w:t>
        </w:r>
      </w:ins>
      <w:r w:rsidRPr="004C3E50">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4C3E50">
        <w:rPr>
          <w:sz w:val="16"/>
          <w:szCs w:val="16"/>
        </w:rPr>
        <w:t>     </w:t>
      </w:r>
      <w:r w:rsidRPr="004C3E50">
        <w:rPr>
          <w:rFonts w:asciiTheme="majorBidi" w:hAnsiTheme="majorBidi" w:cstheme="majorBidi"/>
          <w:sz w:val="16"/>
        </w:rPr>
        <w:t>(CMR</w:t>
      </w:r>
      <w:r w:rsidRPr="004C3E50">
        <w:rPr>
          <w:sz w:val="16"/>
          <w:szCs w:val="16"/>
        </w:rPr>
        <w:noBreakHyphen/>
      </w:r>
      <w:del w:id="89" w:author="" w:date="2018-02-28T09:28:00Z">
        <w:r w:rsidRPr="004C3E50" w:rsidDel="005432B9">
          <w:rPr>
            <w:sz w:val="16"/>
            <w:szCs w:val="16"/>
          </w:rPr>
          <w:delText>15</w:delText>
        </w:r>
      </w:del>
      <w:ins w:id="90" w:author="" w:date="2018-02-28T09:28:00Z">
        <w:r w:rsidRPr="004C3E50">
          <w:rPr>
            <w:sz w:val="16"/>
            <w:szCs w:val="16"/>
          </w:rPr>
          <w:t>19</w:t>
        </w:r>
      </w:ins>
      <w:r w:rsidRPr="004C3E50">
        <w:rPr>
          <w:sz w:val="16"/>
          <w:szCs w:val="16"/>
        </w:rPr>
        <w:t>)</w:t>
      </w:r>
    </w:p>
    <w:p w14:paraId="1049CC1A" w14:textId="2C9FA8C8" w:rsidR="009B7D9D" w:rsidRPr="004C3E50" w:rsidRDefault="00A04700" w:rsidP="00A159E5">
      <w:pPr>
        <w:pStyle w:val="Reasons"/>
      </w:pPr>
      <w:r w:rsidRPr="004C3E50">
        <w:rPr>
          <w:b/>
        </w:rPr>
        <w:t>Motifs:</w:t>
      </w:r>
      <w:r w:rsidRPr="004C3E50">
        <w:tab/>
      </w:r>
      <w:r w:rsidR="0030280A" w:rsidRPr="004C3E50">
        <w:rPr>
          <w:lang w:eastAsia="ja-JP"/>
        </w:rPr>
        <w:t>Cette méthode vise à ajouter un exam</w:t>
      </w:r>
      <w:r w:rsidR="00AC1F45" w:rsidRPr="004C3E50">
        <w:rPr>
          <w:lang w:eastAsia="ja-JP"/>
        </w:rPr>
        <w:t>en supplémentaire au titre du § </w:t>
      </w:r>
      <w:r w:rsidR="0030280A" w:rsidRPr="004C3E50">
        <w:rPr>
          <w:lang w:eastAsia="ja-JP"/>
        </w:rPr>
        <w:t xml:space="preserve">4.1.12 </w:t>
      </w:r>
      <w:r w:rsidR="00AC1F45" w:rsidRPr="004C3E50">
        <w:rPr>
          <w:lang w:eastAsia="ja-JP"/>
        </w:rPr>
        <w:t>de l'Appendice</w:t>
      </w:r>
      <w:r w:rsidR="0030280A" w:rsidRPr="004C3E50">
        <w:rPr>
          <w:lang w:eastAsia="ja-JP"/>
        </w:rPr>
        <w:t xml:space="preserve"> </w:t>
      </w:r>
      <w:r w:rsidR="0030280A" w:rsidRPr="004C3E50">
        <w:rPr>
          <w:b/>
          <w:bCs/>
          <w:lang w:eastAsia="ja-JP"/>
        </w:rPr>
        <w:t>30</w:t>
      </w:r>
      <w:r w:rsidR="0030280A" w:rsidRPr="004C3E50">
        <w:rPr>
          <w:lang w:eastAsia="ja-JP"/>
        </w:rPr>
        <w:t xml:space="preserve"> du RR de sorte que, s'il existe des réseaux affectés restants dont les assignations ont été inscrites dans la Liste avant la soumission au titre du § 4.1.12 </w:t>
      </w:r>
      <w:r w:rsidR="00AC1F45" w:rsidRPr="004C3E50">
        <w:rPr>
          <w:lang w:eastAsia="ja-JP"/>
        </w:rPr>
        <w:t>de</w:t>
      </w:r>
      <w:r w:rsidR="0030280A" w:rsidRPr="004C3E50">
        <w:rPr>
          <w:lang w:eastAsia="ja-JP"/>
        </w:rPr>
        <w:t xml:space="preserve"> </w:t>
      </w:r>
      <w:r w:rsidR="00AC1F45" w:rsidRPr="004C3E50">
        <w:rPr>
          <w:lang w:eastAsia="ja-JP"/>
        </w:rPr>
        <w:t>l'Appendice</w:t>
      </w:r>
      <w:r w:rsidR="0030280A" w:rsidRPr="004C3E50">
        <w:rPr>
          <w:lang w:eastAsia="ja-JP"/>
        </w:rPr>
        <w:t xml:space="preserve"> </w:t>
      </w:r>
      <w:r w:rsidR="0030280A" w:rsidRPr="004C3E50">
        <w:rPr>
          <w:b/>
          <w:bCs/>
          <w:lang w:eastAsia="ja-JP"/>
        </w:rPr>
        <w:t>30</w:t>
      </w:r>
      <w:r w:rsidR="0030280A" w:rsidRPr="004C3E50">
        <w:rPr>
          <w:lang w:eastAsia="ja-JP"/>
        </w:rPr>
        <w:t xml:space="preserve"> du RR, le Bureau détermine en outre si les assignations</w:t>
      </w:r>
      <w:r w:rsidR="003B37BA" w:rsidRPr="004C3E50">
        <w:rPr>
          <w:lang w:eastAsia="ja-JP"/>
        </w:rPr>
        <w:t xml:space="preserve"> correspondantes restantes</w:t>
      </w:r>
      <w:r w:rsidR="0030280A" w:rsidRPr="004C3E50">
        <w:rPr>
          <w:lang w:eastAsia="ja-JP"/>
        </w:rPr>
        <w:t xml:space="preserve"> figurant dans la Liste sont toujours considérées comme étant affectées. </w:t>
      </w:r>
      <w:r w:rsidR="00AC1F45" w:rsidRPr="004C3E50">
        <w:rPr>
          <w:lang w:eastAsia="ja-JP"/>
        </w:rPr>
        <w:t xml:space="preserve">Le réseau examiné ne sera assujetti à aucune </w:t>
      </w:r>
      <w:r w:rsidR="005158FD" w:rsidRPr="004C3E50">
        <w:rPr>
          <w:lang w:eastAsia="ja-JP"/>
        </w:rPr>
        <w:t>nouvelle</w:t>
      </w:r>
      <w:r w:rsidR="00AC1F45" w:rsidRPr="004C3E50">
        <w:rPr>
          <w:lang w:eastAsia="ja-JP"/>
        </w:rPr>
        <w:t xml:space="preserve"> </w:t>
      </w:r>
      <w:r w:rsidR="003B37BA" w:rsidRPr="004C3E50">
        <w:rPr>
          <w:lang w:eastAsia="ja-JP"/>
        </w:rPr>
        <w:t>exigence</w:t>
      </w:r>
      <w:r w:rsidR="00AC1F45" w:rsidRPr="004C3E50">
        <w:rPr>
          <w:lang w:eastAsia="ja-JP"/>
        </w:rPr>
        <w:t xml:space="preserve"> par r</w:t>
      </w:r>
      <w:r w:rsidR="005158FD" w:rsidRPr="004C3E50">
        <w:rPr>
          <w:lang w:eastAsia="ja-JP"/>
        </w:rPr>
        <w:t xml:space="preserve">apport à celles indiquées dans </w:t>
      </w:r>
      <w:r w:rsidR="003B37BA" w:rsidRPr="004C3E50">
        <w:rPr>
          <w:lang w:eastAsia="ja-JP"/>
        </w:rPr>
        <w:t>l</w:t>
      </w:r>
      <w:r w:rsidR="00AC1F45" w:rsidRPr="004C3E50">
        <w:rPr>
          <w:lang w:eastAsia="ja-JP"/>
        </w:rPr>
        <w:t xml:space="preserve">a publication </w:t>
      </w:r>
      <w:r w:rsidR="00C54C07" w:rsidRPr="004C3E50">
        <w:rPr>
          <w:lang w:eastAsia="ja-JP"/>
        </w:rPr>
        <w:t>le concernant dans</w:t>
      </w:r>
      <w:r w:rsidR="00AC1F45" w:rsidRPr="004C3E50">
        <w:rPr>
          <w:lang w:eastAsia="ja-JP"/>
        </w:rPr>
        <w:t xml:space="preserve"> </w:t>
      </w:r>
      <w:r w:rsidR="005158FD" w:rsidRPr="004C3E50">
        <w:rPr>
          <w:lang w:eastAsia="ja-JP"/>
        </w:rPr>
        <w:t>l</w:t>
      </w:r>
      <w:r w:rsidR="00AC1F45" w:rsidRPr="004C3E50">
        <w:rPr>
          <w:lang w:eastAsia="ja-JP"/>
        </w:rPr>
        <w:t xml:space="preserve">a </w:t>
      </w:r>
      <w:r w:rsidR="0030280A" w:rsidRPr="004C3E50">
        <w:t>Part</w:t>
      </w:r>
      <w:r w:rsidR="00AC1F45" w:rsidRPr="004C3E50">
        <w:t>ie</w:t>
      </w:r>
      <w:r w:rsidR="0030280A" w:rsidRPr="004C3E50">
        <w:t xml:space="preserve"> A.</w:t>
      </w:r>
    </w:p>
    <w:p w14:paraId="7A27B7FD" w14:textId="77777777" w:rsidR="00221098" w:rsidRPr="004C3E50" w:rsidRDefault="00A04700" w:rsidP="00193AD6">
      <w:pPr>
        <w:pStyle w:val="Heading2"/>
      </w:pPr>
      <w:r w:rsidRPr="004C3E50">
        <w:lastRenderedPageBreak/>
        <w:t>4.2</w:t>
      </w:r>
      <w:r w:rsidRPr="004C3E50">
        <w:tab/>
        <w:t>Dispositions applicables à la Région 2</w:t>
      </w:r>
    </w:p>
    <w:p w14:paraId="60CA6E1A" w14:textId="77777777" w:rsidR="009B7D9D" w:rsidRPr="004C3E50" w:rsidRDefault="00A04700">
      <w:pPr>
        <w:pStyle w:val="Proposal"/>
      </w:pPr>
      <w:r w:rsidRPr="004C3E50">
        <w:t>MOD</w:t>
      </w:r>
      <w:r w:rsidRPr="004C3E50">
        <w:tab/>
        <w:t>IAP/11A19A11/2</w:t>
      </w:r>
      <w:r w:rsidRPr="004C3E50">
        <w:rPr>
          <w:vanish/>
          <w:color w:val="7F7F7F" w:themeColor="text1" w:themeTint="80"/>
          <w:vertAlign w:val="superscript"/>
        </w:rPr>
        <w:t>#50134</w:t>
      </w:r>
    </w:p>
    <w:p w14:paraId="50EECBC3" w14:textId="77777777" w:rsidR="007132E2" w:rsidRPr="004C3E50" w:rsidRDefault="00A04700" w:rsidP="007132E2">
      <w:r w:rsidRPr="004C3E50">
        <w:rPr>
          <w:rStyle w:val="Provsplit"/>
        </w:rPr>
        <w:t>4.2.16</w:t>
      </w:r>
      <w:ins w:id="91" w:author="" w:date="2018-07-10T11:40:00Z">
        <w:r w:rsidRPr="004C3E50">
          <w:rPr>
            <w:rStyle w:val="FootnoteReference"/>
          </w:rPr>
          <w:footnoteReference w:customMarkFollows="1" w:id="5"/>
          <w:t>XX1</w:t>
        </w:r>
      </w:ins>
      <w:r w:rsidRPr="004C3E50">
        <w:tab/>
        <w:t>Si aucune observation ne lui est parvenue dans les délais spécifiés au § 4.2.14, ou si un accord est intervenu avec les administrations ayant formulé des observations et avec lesquelles un accord est nécessaire, l'administration qui propose la modification peut continuer à appliquer la procédure appropriée de l'Article 5; elle en informe le Bureau en lui indiquant les caractéristiques définitives de l'assignation de fréquence ainsi que le nom des administrations avec lesquelles un accord a été conclu.</w:t>
      </w:r>
      <w:ins w:id="131" w:author="" w:date="2018-07-31T14:34:00Z">
        <w:r w:rsidRPr="004C3E50">
          <w:rPr>
            <w:sz w:val="16"/>
            <w:szCs w:val="16"/>
          </w:rPr>
          <w:t>     (</w:t>
        </w:r>
      </w:ins>
      <w:ins w:id="132" w:author="Unknown" w:date="2018-08-06T14:36:00Z">
        <w:r w:rsidRPr="004C3E50">
          <w:rPr>
            <w:sz w:val="16"/>
            <w:szCs w:val="16"/>
          </w:rPr>
          <w:t>CMR</w:t>
        </w:r>
      </w:ins>
      <w:ins w:id="133" w:author="" w:date="2018-07-31T14:34:00Z">
        <w:r w:rsidRPr="004C3E50">
          <w:rPr>
            <w:sz w:val="16"/>
            <w:szCs w:val="16"/>
          </w:rPr>
          <w:t>-19)</w:t>
        </w:r>
      </w:ins>
      <w:r w:rsidRPr="004C3E50">
        <w:t xml:space="preserve"> </w:t>
      </w:r>
    </w:p>
    <w:p w14:paraId="740BDC64" w14:textId="2DC65B05" w:rsidR="009B7D9D" w:rsidRPr="004C3E50" w:rsidRDefault="00A04700" w:rsidP="00A159E5">
      <w:pPr>
        <w:pStyle w:val="Reasons"/>
      </w:pPr>
      <w:r w:rsidRPr="004C3E50">
        <w:rPr>
          <w:b/>
        </w:rPr>
        <w:t>Motifs:</w:t>
      </w:r>
      <w:r w:rsidRPr="004C3E50">
        <w:tab/>
      </w:r>
      <w:r w:rsidR="00AB17F4" w:rsidRPr="004C3E50">
        <w:rPr>
          <w:lang w:eastAsia="ja-JP"/>
        </w:rPr>
        <w:t xml:space="preserve">Cette méthode vise à </w:t>
      </w:r>
      <w:r w:rsidR="0030280A" w:rsidRPr="004C3E50">
        <w:rPr>
          <w:lang w:eastAsia="ja-JP"/>
        </w:rPr>
        <w:t xml:space="preserve">ajouter un examen supplémentaire au titre du </w:t>
      </w:r>
      <w:r w:rsidR="00AB17F4" w:rsidRPr="004C3E50">
        <w:rPr>
          <w:lang w:eastAsia="ja-JP"/>
        </w:rPr>
        <w:t>§ 4.2.16 de</w:t>
      </w:r>
      <w:r w:rsidR="0030280A" w:rsidRPr="004C3E50">
        <w:rPr>
          <w:lang w:eastAsia="ja-JP"/>
        </w:rPr>
        <w:t xml:space="preserve"> </w:t>
      </w:r>
      <w:r w:rsidR="00AB17F4" w:rsidRPr="004C3E50">
        <w:rPr>
          <w:lang w:eastAsia="ja-JP"/>
        </w:rPr>
        <w:t>l'Appendice</w:t>
      </w:r>
      <w:r w:rsidR="0030280A" w:rsidRPr="004C3E50">
        <w:rPr>
          <w:lang w:eastAsia="ja-JP"/>
        </w:rPr>
        <w:t xml:space="preserve"> </w:t>
      </w:r>
      <w:r w:rsidR="0030280A" w:rsidRPr="004C3E50">
        <w:rPr>
          <w:b/>
          <w:bCs/>
          <w:lang w:eastAsia="ja-JP"/>
        </w:rPr>
        <w:t>30</w:t>
      </w:r>
      <w:r w:rsidR="0030280A" w:rsidRPr="004C3E50">
        <w:rPr>
          <w:lang w:eastAsia="ja-JP"/>
        </w:rPr>
        <w:t xml:space="preserve"> du RR de sorte que, s'il existe des réseaux affectés restants dans le Plan</w:t>
      </w:r>
      <w:r w:rsidR="00AB17F4" w:rsidRPr="004C3E50">
        <w:rPr>
          <w:lang w:eastAsia="ja-JP"/>
        </w:rPr>
        <w:t xml:space="preserve"> </w:t>
      </w:r>
      <w:r w:rsidR="0030280A" w:rsidRPr="004C3E50">
        <w:rPr>
          <w:lang w:eastAsia="ja-JP"/>
        </w:rPr>
        <w:t xml:space="preserve">avant la soumission au titre du </w:t>
      </w:r>
      <w:r w:rsidR="00AB17F4" w:rsidRPr="004C3E50">
        <w:rPr>
          <w:lang w:eastAsia="ja-JP"/>
        </w:rPr>
        <w:t>§ 4.2.16 de</w:t>
      </w:r>
      <w:r w:rsidR="0030280A" w:rsidRPr="004C3E50">
        <w:rPr>
          <w:lang w:eastAsia="ja-JP"/>
        </w:rPr>
        <w:t xml:space="preserve"> </w:t>
      </w:r>
      <w:r w:rsidR="00AB17F4" w:rsidRPr="004C3E50">
        <w:rPr>
          <w:lang w:eastAsia="ja-JP"/>
        </w:rPr>
        <w:t>l'Appendice</w:t>
      </w:r>
      <w:r w:rsidR="0030280A" w:rsidRPr="004C3E50">
        <w:rPr>
          <w:lang w:eastAsia="ja-JP"/>
        </w:rPr>
        <w:t xml:space="preserve"> </w:t>
      </w:r>
      <w:r w:rsidR="0030280A" w:rsidRPr="004C3E50">
        <w:rPr>
          <w:b/>
          <w:bCs/>
          <w:lang w:eastAsia="ja-JP"/>
        </w:rPr>
        <w:t>30</w:t>
      </w:r>
      <w:r w:rsidR="0030280A" w:rsidRPr="004C3E50">
        <w:rPr>
          <w:lang w:eastAsia="ja-JP"/>
        </w:rPr>
        <w:t xml:space="preserve"> du RR, le Bureau détermine en outre si</w:t>
      </w:r>
      <w:r w:rsidR="00C54C07" w:rsidRPr="004C3E50">
        <w:rPr>
          <w:lang w:eastAsia="ja-JP"/>
        </w:rPr>
        <w:t xml:space="preserve"> les</w:t>
      </w:r>
      <w:r w:rsidR="0030280A" w:rsidRPr="004C3E50">
        <w:rPr>
          <w:lang w:eastAsia="ja-JP"/>
        </w:rPr>
        <w:t xml:space="preserve"> assignations </w:t>
      </w:r>
      <w:r w:rsidR="00C54C07" w:rsidRPr="004C3E50">
        <w:rPr>
          <w:lang w:eastAsia="ja-JP"/>
        </w:rPr>
        <w:t xml:space="preserve">correspondantes restantes </w:t>
      </w:r>
      <w:r w:rsidR="0030280A" w:rsidRPr="004C3E50">
        <w:rPr>
          <w:lang w:eastAsia="ja-JP"/>
        </w:rPr>
        <w:t xml:space="preserve">figurant dans le Plan sont toujours considérées comme étant affectées. </w:t>
      </w:r>
      <w:r w:rsidR="00AB17F4" w:rsidRPr="004C3E50">
        <w:rPr>
          <w:lang w:eastAsia="ja-JP"/>
        </w:rPr>
        <w:t xml:space="preserve">Le réseau examiné ne sera assujetti à aucune nouvelle </w:t>
      </w:r>
      <w:r w:rsidR="000E35DF" w:rsidRPr="004C3E50">
        <w:rPr>
          <w:lang w:eastAsia="ja-JP"/>
        </w:rPr>
        <w:t>exigence</w:t>
      </w:r>
      <w:r w:rsidR="00AB17F4" w:rsidRPr="004C3E50">
        <w:rPr>
          <w:lang w:eastAsia="ja-JP"/>
        </w:rPr>
        <w:t xml:space="preserve"> par rapport à celles indiquées dans </w:t>
      </w:r>
      <w:r w:rsidR="000E35DF" w:rsidRPr="004C3E50">
        <w:rPr>
          <w:lang w:eastAsia="ja-JP"/>
        </w:rPr>
        <w:t>l</w:t>
      </w:r>
      <w:r w:rsidR="00AB17F4" w:rsidRPr="004C3E50">
        <w:rPr>
          <w:lang w:eastAsia="ja-JP"/>
        </w:rPr>
        <w:t xml:space="preserve">a publication </w:t>
      </w:r>
      <w:r w:rsidR="000E35DF" w:rsidRPr="004C3E50">
        <w:rPr>
          <w:lang w:eastAsia="ja-JP"/>
        </w:rPr>
        <w:t>le concernant dans</w:t>
      </w:r>
      <w:r w:rsidR="00C02647" w:rsidRPr="004C3E50">
        <w:rPr>
          <w:lang w:eastAsia="ja-JP"/>
        </w:rPr>
        <w:t xml:space="preserve"> la</w:t>
      </w:r>
      <w:r w:rsidR="00AB17F4" w:rsidRPr="004C3E50">
        <w:rPr>
          <w:lang w:eastAsia="ja-JP"/>
        </w:rPr>
        <w:t xml:space="preserve"> Partie A</w:t>
      </w:r>
      <w:r w:rsidR="0030280A" w:rsidRPr="004C3E50">
        <w:rPr>
          <w:lang w:eastAsia="ja-JP"/>
        </w:rPr>
        <w:t>.</w:t>
      </w:r>
    </w:p>
    <w:p w14:paraId="0612DF65" w14:textId="77777777" w:rsidR="00221098" w:rsidRPr="004C3E50" w:rsidRDefault="00A04700" w:rsidP="00193AD6">
      <w:pPr>
        <w:pStyle w:val="AppendixNo"/>
        <w:spacing w:before="0"/>
      </w:pPr>
      <w:bookmarkStart w:id="134" w:name="_Toc459986363"/>
      <w:bookmarkStart w:id="135" w:name="_Toc459987806"/>
      <w:r w:rsidRPr="004C3E50">
        <w:lastRenderedPageBreak/>
        <w:t xml:space="preserve">APPENDICE </w:t>
      </w:r>
      <w:r w:rsidRPr="004C3E50">
        <w:rPr>
          <w:rStyle w:val="href"/>
          <w:color w:val="000000"/>
        </w:rPr>
        <w:t>30A  </w:t>
      </w:r>
      <w:r w:rsidRPr="004C3E50">
        <w:t>(R</w:t>
      </w:r>
      <w:r w:rsidRPr="004C3E50">
        <w:rPr>
          <w:caps w:val="0"/>
        </w:rPr>
        <w:t>ÉV</w:t>
      </w:r>
      <w:r w:rsidRPr="004C3E50">
        <w:t>.CMR-15)</w:t>
      </w:r>
      <w:r w:rsidRPr="004C3E50">
        <w:rPr>
          <w:rStyle w:val="FootnoteReference"/>
        </w:rPr>
        <w:footnoteReference w:customMarkFollows="1" w:id="6"/>
        <w:t>*</w:t>
      </w:r>
      <w:bookmarkEnd w:id="134"/>
      <w:bookmarkEnd w:id="135"/>
    </w:p>
    <w:p w14:paraId="1D10CAEF" w14:textId="77777777" w:rsidR="00221098" w:rsidRPr="004C3E50" w:rsidRDefault="00A04700" w:rsidP="00193AD6">
      <w:pPr>
        <w:pStyle w:val="Appendixtitle"/>
        <w:rPr>
          <w:b w:val="0"/>
          <w:color w:val="000000"/>
          <w:sz w:val="16"/>
        </w:rPr>
      </w:pPr>
      <w:bookmarkStart w:id="136" w:name="_Toc459986364"/>
      <w:bookmarkStart w:id="137" w:name="_Toc459987807"/>
      <w:r w:rsidRPr="004C3E50">
        <w:rPr>
          <w:color w:val="000000"/>
        </w:rPr>
        <w:t>Dispositions et Plans et Liste</w:t>
      </w:r>
      <w:r w:rsidRPr="004C3E50">
        <w:rPr>
          <w:rFonts w:ascii="Times New Roman" w:hAnsi="Times New Roman"/>
          <w:b w:val="0"/>
          <w:bCs/>
          <w:vertAlign w:val="superscript"/>
        </w:rPr>
        <w:footnoteReference w:customMarkFollows="1" w:id="7"/>
        <w:t>1</w:t>
      </w:r>
      <w:r w:rsidRPr="004C3E50">
        <w:rPr>
          <w:color w:val="000000"/>
        </w:rPr>
        <w:t xml:space="preserve"> des liaisons de connexion associés du service de radiodiffusion par satellite (11,7-12,5 GHz en Région 1, 12,2-12,7 GHz</w:t>
      </w:r>
      <w:r w:rsidRPr="004C3E50">
        <w:rPr>
          <w:color w:val="000000"/>
        </w:rPr>
        <w:br/>
        <w:t>en Région 2 et 11,7-12,2 GHz en Région 3) dans les bandes 14,5-14,8 GHz</w:t>
      </w:r>
      <w:r w:rsidRPr="004C3E50">
        <w:rPr>
          <w:rStyle w:val="FootnoteReference"/>
          <w:rFonts w:ascii="Times New Roman" w:hAnsi="Times New Roman"/>
          <w:b w:val="0"/>
          <w:bCs/>
          <w:color w:val="000000"/>
        </w:rPr>
        <w:footnoteReference w:customMarkFollows="1" w:id="8"/>
        <w:t>2</w:t>
      </w:r>
      <w:r w:rsidRPr="004C3E50">
        <w:rPr>
          <w:b w:val="0"/>
          <w:color w:val="000000"/>
          <w:vertAlign w:val="superscript"/>
        </w:rPr>
        <w:br/>
      </w:r>
      <w:r w:rsidRPr="004C3E50">
        <w:rPr>
          <w:color w:val="000000"/>
        </w:rPr>
        <w:t>et 17,3-18,1 GHz en Régions 1 et 3 et 17,3-17,8 GHz en Région 2</w:t>
      </w:r>
      <w:r w:rsidRPr="004C3E50">
        <w:rPr>
          <w:rFonts w:ascii="Times New Roman"/>
          <w:b w:val="0"/>
          <w:color w:val="000000"/>
          <w:sz w:val="16"/>
        </w:rPr>
        <w:t>     </w:t>
      </w:r>
      <w:r w:rsidRPr="004C3E50">
        <w:rPr>
          <w:rFonts w:ascii="Times New Roman"/>
          <w:b w:val="0"/>
          <w:color w:val="000000"/>
          <w:sz w:val="16"/>
        </w:rPr>
        <w:t>(CMR</w:t>
      </w:r>
      <w:r w:rsidRPr="004C3E50">
        <w:rPr>
          <w:rFonts w:ascii="Times New Roman"/>
          <w:b w:val="0"/>
          <w:color w:val="000000"/>
          <w:sz w:val="16"/>
        </w:rPr>
        <w:noBreakHyphen/>
        <w:t>03)</w:t>
      </w:r>
      <w:bookmarkEnd w:id="136"/>
      <w:bookmarkEnd w:id="137"/>
    </w:p>
    <w:p w14:paraId="2845F0DE" w14:textId="77777777" w:rsidR="00221098" w:rsidRPr="004C3E50" w:rsidRDefault="00A04700" w:rsidP="00193AD6">
      <w:pPr>
        <w:pStyle w:val="AppArtNo"/>
        <w:keepLines w:val="0"/>
      </w:pPr>
      <w:r w:rsidRPr="004C3E50">
        <w:t>ARTICLE 4</w:t>
      </w:r>
      <w:r w:rsidRPr="004C3E50">
        <w:rPr>
          <w:sz w:val="16"/>
          <w:szCs w:val="16"/>
        </w:rPr>
        <w:t>     (RÉv.CMR-15)</w:t>
      </w:r>
    </w:p>
    <w:p w14:paraId="1E363769" w14:textId="77777777" w:rsidR="00221098" w:rsidRPr="004C3E50" w:rsidRDefault="00A04700" w:rsidP="00193AD6">
      <w:pPr>
        <w:pStyle w:val="AppArttitle"/>
        <w:keepLines w:val="0"/>
        <w:rPr>
          <w:lang w:val="fr-FR"/>
        </w:rPr>
      </w:pPr>
      <w:bookmarkStart w:id="138" w:name="_Toc459986369"/>
      <w:r w:rsidRPr="004C3E50">
        <w:rPr>
          <w:lang w:val="fr-FR"/>
        </w:rPr>
        <w:t>Procédures relatives aux modifications apportées au Plan des liaisons</w:t>
      </w:r>
      <w:r w:rsidRPr="004C3E50">
        <w:rPr>
          <w:lang w:val="fr-FR"/>
        </w:rPr>
        <w:br/>
        <w:t>de connexion de la Région 2 et aux utilisations additionnelles</w:t>
      </w:r>
      <w:r w:rsidRPr="004C3E50">
        <w:rPr>
          <w:lang w:val="fr-FR"/>
        </w:rPr>
        <w:br/>
        <w:t>dans les Régions 1 et 3</w:t>
      </w:r>
      <w:bookmarkEnd w:id="138"/>
    </w:p>
    <w:p w14:paraId="20F88AEB" w14:textId="77777777" w:rsidR="00221098" w:rsidRPr="004C3E50" w:rsidRDefault="00A04700" w:rsidP="00193AD6">
      <w:pPr>
        <w:pStyle w:val="Heading2"/>
        <w:keepLines w:val="0"/>
      </w:pPr>
      <w:r w:rsidRPr="004C3E50">
        <w:t>4.1</w:t>
      </w:r>
      <w:r w:rsidRPr="004C3E50">
        <w:tab/>
        <w:t>Dispositions applicables aux Régions 1 et 3</w:t>
      </w:r>
    </w:p>
    <w:p w14:paraId="79F60FB1" w14:textId="77777777" w:rsidR="009B7D9D" w:rsidRPr="004C3E50" w:rsidRDefault="00A04700">
      <w:pPr>
        <w:pStyle w:val="Proposal"/>
      </w:pPr>
      <w:r w:rsidRPr="004C3E50">
        <w:t>MOD</w:t>
      </w:r>
      <w:r w:rsidRPr="004C3E50">
        <w:tab/>
        <w:t>IAP/11A19A11/3</w:t>
      </w:r>
      <w:r w:rsidRPr="004C3E50">
        <w:rPr>
          <w:vanish/>
          <w:color w:val="7F7F7F" w:themeColor="text1" w:themeTint="80"/>
          <w:vertAlign w:val="superscript"/>
        </w:rPr>
        <w:t>#50135</w:t>
      </w:r>
    </w:p>
    <w:p w14:paraId="6FC4ED96" w14:textId="77777777" w:rsidR="007132E2" w:rsidRPr="004C3E50" w:rsidRDefault="00A04700" w:rsidP="007132E2">
      <w:pPr>
        <w:rPr>
          <w:sz w:val="16"/>
          <w:szCs w:val="16"/>
        </w:rPr>
      </w:pPr>
      <w:r w:rsidRPr="004C3E50">
        <w:rPr>
          <w:rStyle w:val="Provsplit"/>
        </w:rPr>
        <w:t>4.1.12</w:t>
      </w:r>
      <w:ins w:id="139" w:author="" w:date="2018-07-10T11:42:00Z">
        <w:r w:rsidRPr="004C3E50">
          <w:rPr>
            <w:rStyle w:val="FootnoteReference"/>
          </w:rPr>
          <w:footnoteReference w:customMarkFollows="1" w:id="9"/>
          <w:t>XX</w:t>
        </w:r>
      </w:ins>
      <w:r w:rsidRPr="004C3E50">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4C3E50">
        <w:rPr>
          <w:sz w:val="18"/>
          <w:szCs w:val="18"/>
        </w:rPr>
        <w:t>     </w:t>
      </w:r>
      <w:r w:rsidRPr="004C3E50">
        <w:rPr>
          <w:rFonts w:asciiTheme="majorBidi" w:hAnsiTheme="majorBidi" w:cstheme="majorBidi"/>
          <w:sz w:val="18"/>
          <w:szCs w:val="18"/>
        </w:rPr>
        <w:t>(</w:t>
      </w:r>
      <w:r w:rsidRPr="004C3E50">
        <w:rPr>
          <w:rFonts w:asciiTheme="majorBidi" w:hAnsiTheme="majorBidi" w:cstheme="majorBidi"/>
          <w:sz w:val="16"/>
        </w:rPr>
        <w:t>CMR</w:t>
      </w:r>
      <w:r w:rsidRPr="004C3E50">
        <w:rPr>
          <w:sz w:val="16"/>
          <w:szCs w:val="16"/>
        </w:rPr>
        <w:t>-</w:t>
      </w:r>
      <w:del w:id="167" w:author="Unknown">
        <w:r w:rsidRPr="004C3E50" w:rsidDel="00274FB3">
          <w:rPr>
            <w:sz w:val="16"/>
            <w:szCs w:val="16"/>
          </w:rPr>
          <w:delText>1</w:delText>
        </w:r>
      </w:del>
      <w:del w:id="168" w:author="" w:date="2018-02-28T09:35:00Z">
        <w:r w:rsidRPr="004C3E50" w:rsidDel="005432B9">
          <w:rPr>
            <w:sz w:val="16"/>
            <w:szCs w:val="16"/>
          </w:rPr>
          <w:delText>5</w:delText>
        </w:r>
      </w:del>
      <w:ins w:id="169" w:author="Unknown" w:date="2018-08-06T14:22:00Z">
        <w:r w:rsidRPr="004C3E50">
          <w:rPr>
            <w:sz w:val="16"/>
            <w:szCs w:val="16"/>
          </w:rPr>
          <w:t>1</w:t>
        </w:r>
      </w:ins>
      <w:ins w:id="170" w:author="" w:date="2018-02-28T09:35:00Z">
        <w:r w:rsidRPr="004C3E50">
          <w:rPr>
            <w:sz w:val="16"/>
            <w:szCs w:val="16"/>
          </w:rPr>
          <w:t>9</w:t>
        </w:r>
      </w:ins>
      <w:r w:rsidRPr="004C3E50">
        <w:rPr>
          <w:sz w:val="16"/>
          <w:szCs w:val="16"/>
        </w:rPr>
        <w:t>)</w:t>
      </w:r>
    </w:p>
    <w:p w14:paraId="70DB9018" w14:textId="1195181B" w:rsidR="009B7D9D" w:rsidRPr="004C3E50" w:rsidRDefault="00A04700" w:rsidP="00A159E5">
      <w:pPr>
        <w:pStyle w:val="Reasons"/>
      </w:pPr>
      <w:r w:rsidRPr="004C3E50">
        <w:rPr>
          <w:b/>
        </w:rPr>
        <w:t>Motifs:</w:t>
      </w:r>
      <w:r w:rsidRPr="004C3E50">
        <w:tab/>
      </w:r>
      <w:r w:rsidR="00C232A0" w:rsidRPr="004C3E50">
        <w:rPr>
          <w:lang w:eastAsia="ja-JP"/>
        </w:rPr>
        <w:t>Cette méthode vise à ajouter un exam</w:t>
      </w:r>
      <w:r w:rsidR="00DE18E5" w:rsidRPr="004C3E50">
        <w:rPr>
          <w:lang w:eastAsia="ja-JP"/>
        </w:rPr>
        <w:t>en supplémentaire au titre du § </w:t>
      </w:r>
      <w:r w:rsidR="00C232A0" w:rsidRPr="004C3E50">
        <w:rPr>
          <w:lang w:eastAsia="ja-JP"/>
        </w:rPr>
        <w:t xml:space="preserve">4.1.12 </w:t>
      </w:r>
      <w:r w:rsidR="00DE18E5" w:rsidRPr="004C3E50">
        <w:rPr>
          <w:lang w:eastAsia="ja-JP"/>
        </w:rPr>
        <w:t>de</w:t>
      </w:r>
      <w:r w:rsidR="00C232A0" w:rsidRPr="004C3E50">
        <w:rPr>
          <w:lang w:eastAsia="ja-JP"/>
        </w:rPr>
        <w:t xml:space="preserve"> </w:t>
      </w:r>
      <w:r w:rsidR="00DE18E5" w:rsidRPr="004C3E50">
        <w:rPr>
          <w:lang w:eastAsia="ja-JP"/>
        </w:rPr>
        <w:t>l'Appendice</w:t>
      </w:r>
      <w:r w:rsidR="00C232A0" w:rsidRPr="004C3E50">
        <w:rPr>
          <w:lang w:eastAsia="ja-JP"/>
        </w:rPr>
        <w:t xml:space="preserve"> </w:t>
      </w:r>
      <w:r w:rsidR="00C232A0" w:rsidRPr="004C3E50">
        <w:rPr>
          <w:b/>
          <w:bCs/>
          <w:lang w:eastAsia="ja-JP"/>
        </w:rPr>
        <w:t>30A</w:t>
      </w:r>
      <w:r w:rsidR="00C232A0" w:rsidRPr="004C3E50">
        <w:rPr>
          <w:lang w:eastAsia="ja-JP"/>
        </w:rPr>
        <w:t xml:space="preserve"> du RR de sorte que, s'il existe des réseaux affectés restants dont les assignations ont été inscrites dans la Liste avant la soumission au titre du § 4.1.12 </w:t>
      </w:r>
      <w:r w:rsidR="00DE18E5" w:rsidRPr="004C3E50">
        <w:rPr>
          <w:lang w:eastAsia="ja-JP"/>
        </w:rPr>
        <w:t>de</w:t>
      </w:r>
      <w:r w:rsidR="00C232A0" w:rsidRPr="004C3E50">
        <w:rPr>
          <w:lang w:eastAsia="ja-JP"/>
        </w:rPr>
        <w:t xml:space="preserve"> </w:t>
      </w:r>
      <w:r w:rsidR="00DE18E5" w:rsidRPr="004C3E50">
        <w:rPr>
          <w:lang w:eastAsia="ja-JP"/>
        </w:rPr>
        <w:t>l'Appendice</w:t>
      </w:r>
      <w:r w:rsidR="00C232A0" w:rsidRPr="004C3E50">
        <w:rPr>
          <w:lang w:eastAsia="ja-JP"/>
        </w:rPr>
        <w:t xml:space="preserve"> </w:t>
      </w:r>
      <w:r w:rsidR="00C232A0" w:rsidRPr="004C3E50">
        <w:rPr>
          <w:b/>
          <w:bCs/>
          <w:lang w:eastAsia="ja-JP"/>
        </w:rPr>
        <w:t>30A</w:t>
      </w:r>
      <w:r w:rsidR="00C232A0" w:rsidRPr="004C3E50">
        <w:rPr>
          <w:lang w:eastAsia="ja-JP"/>
        </w:rPr>
        <w:t xml:space="preserve"> du RR, le Bureau détermine en outre si les assignations </w:t>
      </w:r>
      <w:r w:rsidR="000E35DF" w:rsidRPr="004C3E50">
        <w:rPr>
          <w:lang w:eastAsia="ja-JP"/>
        </w:rPr>
        <w:t xml:space="preserve">correspondantes restantes </w:t>
      </w:r>
      <w:r w:rsidR="00C232A0" w:rsidRPr="004C3E50">
        <w:rPr>
          <w:lang w:eastAsia="ja-JP"/>
        </w:rPr>
        <w:t xml:space="preserve">figurant dans la Liste sont toujours considérées comme étant affectées. </w:t>
      </w:r>
      <w:r w:rsidR="00DE18E5" w:rsidRPr="004C3E50">
        <w:rPr>
          <w:lang w:eastAsia="ja-JP"/>
        </w:rPr>
        <w:t xml:space="preserve">Le réseau examiné ne sera assujetti à aucune nouvelle </w:t>
      </w:r>
      <w:r w:rsidR="000E35DF" w:rsidRPr="004C3E50">
        <w:rPr>
          <w:lang w:eastAsia="ja-JP"/>
        </w:rPr>
        <w:t>exigence</w:t>
      </w:r>
      <w:r w:rsidR="00DE18E5" w:rsidRPr="004C3E50">
        <w:rPr>
          <w:lang w:eastAsia="ja-JP"/>
        </w:rPr>
        <w:t xml:space="preserve"> par rapport à celles indiquées dans la publication </w:t>
      </w:r>
      <w:r w:rsidR="000E35DF" w:rsidRPr="004C3E50">
        <w:rPr>
          <w:lang w:eastAsia="ja-JP"/>
        </w:rPr>
        <w:t>l</w:t>
      </w:r>
      <w:r w:rsidR="00EE4B7E" w:rsidRPr="004C3E50">
        <w:rPr>
          <w:lang w:eastAsia="ja-JP"/>
        </w:rPr>
        <w:t>e</w:t>
      </w:r>
      <w:r w:rsidR="000E35DF" w:rsidRPr="004C3E50">
        <w:rPr>
          <w:lang w:eastAsia="ja-JP"/>
        </w:rPr>
        <w:t xml:space="preserve"> concernant dans</w:t>
      </w:r>
      <w:r w:rsidR="00EE4B7E" w:rsidRPr="004C3E50">
        <w:rPr>
          <w:lang w:eastAsia="ja-JP"/>
        </w:rPr>
        <w:t xml:space="preserve"> la</w:t>
      </w:r>
      <w:r w:rsidR="00DE18E5" w:rsidRPr="004C3E50">
        <w:rPr>
          <w:lang w:eastAsia="ja-JP"/>
        </w:rPr>
        <w:t xml:space="preserve"> Partie A</w:t>
      </w:r>
      <w:r w:rsidR="00C232A0" w:rsidRPr="004C3E50">
        <w:rPr>
          <w:lang w:eastAsia="ja-JP"/>
        </w:rPr>
        <w:t>.</w:t>
      </w:r>
    </w:p>
    <w:p w14:paraId="3233EB9F" w14:textId="77777777" w:rsidR="00221098" w:rsidRPr="004C3E50" w:rsidRDefault="00A04700" w:rsidP="00193AD6">
      <w:pPr>
        <w:pStyle w:val="Heading2"/>
      </w:pPr>
      <w:r w:rsidRPr="004C3E50">
        <w:lastRenderedPageBreak/>
        <w:t>4.2</w:t>
      </w:r>
      <w:r w:rsidRPr="004C3E50">
        <w:tab/>
        <w:t>Dispositions applicables à la Région 2</w:t>
      </w:r>
    </w:p>
    <w:p w14:paraId="0CE2F2D4" w14:textId="77777777" w:rsidR="009B7D9D" w:rsidRPr="004C3E50" w:rsidRDefault="00A04700">
      <w:pPr>
        <w:pStyle w:val="Proposal"/>
      </w:pPr>
      <w:r w:rsidRPr="004C3E50">
        <w:t>MOD</w:t>
      </w:r>
      <w:r w:rsidRPr="004C3E50">
        <w:tab/>
        <w:t>IAP/11A19A11/4</w:t>
      </w:r>
      <w:r w:rsidRPr="004C3E50">
        <w:rPr>
          <w:vanish/>
          <w:color w:val="7F7F7F" w:themeColor="text1" w:themeTint="80"/>
          <w:vertAlign w:val="superscript"/>
        </w:rPr>
        <w:t>#50136</w:t>
      </w:r>
    </w:p>
    <w:p w14:paraId="798A6E1A" w14:textId="77777777" w:rsidR="007132E2" w:rsidRPr="004C3E50" w:rsidRDefault="00A04700" w:rsidP="007132E2">
      <w:r w:rsidRPr="004C3E50">
        <w:rPr>
          <w:rStyle w:val="Provsplit"/>
        </w:rPr>
        <w:t>4.2.16</w:t>
      </w:r>
      <w:ins w:id="171" w:author="" w:date="2018-07-10T11:44:00Z">
        <w:r w:rsidRPr="004C3E50">
          <w:rPr>
            <w:rStyle w:val="FootnoteReference"/>
          </w:rPr>
          <w:footnoteReference w:customMarkFollows="1" w:id="10"/>
          <w:t>XX1</w:t>
        </w:r>
      </w:ins>
      <w:r w:rsidRPr="004C3E50">
        <w:tab/>
        <w:t>Si aucune observation ne lui est parvenue dans les délais spécifiés au § 4.2.14, ou si un accord est intervenu avec les administrations ayant formulé des observations et avec lesquelles un accord est nécessaire, l'administration qui propose la modification peut continuer à appliquer la procédure appropriée de l'Article 5; elle en informe le Bureau en lui indiquant les caractéristiques définitives de l'assignation de fréquence ainsi que le nom des administrations avec lesquelles un accord a été conclu.</w:t>
      </w:r>
      <w:r w:rsidRPr="004C3E50">
        <w:rPr>
          <w:sz w:val="18"/>
          <w:szCs w:val="18"/>
        </w:rPr>
        <w:t>     </w:t>
      </w:r>
      <w:r w:rsidRPr="004C3E50">
        <w:rPr>
          <w:rFonts w:asciiTheme="majorBidi" w:hAnsiTheme="majorBidi" w:cstheme="majorBidi"/>
          <w:sz w:val="18"/>
          <w:szCs w:val="18"/>
        </w:rPr>
        <w:t>(</w:t>
      </w:r>
      <w:r w:rsidRPr="004C3E50">
        <w:rPr>
          <w:rFonts w:asciiTheme="majorBidi" w:hAnsiTheme="majorBidi" w:cstheme="majorBidi"/>
          <w:sz w:val="16"/>
        </w:rPr>
        <w:t>CMR</w:t>
      </w:r>
      <w:r w:rsidRPr="004C3E50">
        <w:rPr>
          <w:sz w:val="16"/>
          <w:szCs w:val="16"/>
        </w:rPr>
        <w:t>-</w:t>
      </w:r>
      <w:del w:id="210" w:author="Unknown">
        <w:r w:rsidRPr="004C3E50" w:rsidDel="00274FB3">
          <w:rPr>
            <w:sz w:val="16"/>
            <w:szCs w:val="16"/>
          </w:rPr>
          <w:delText>1</w:delText>
        </w:r>
      </w:del>
      <w:del w:id="211" w:author="" w:date="2018-02-28T09:35:00Z">
        <w:r w:rsidRPr="004C3E50" w:rsidDel="005432B9">
          <w:rPr>
            <w:sz w:val="16"/>
            <w:szCs w:val="16"/>
          </w:rPr>
          <w:delText>5</w:delText>
        </w:r>
      </w:del>
      <w:ins w:id="212" w:author="Unknown" w:date="2018-08-06T14:22:00Z">
        <w:r w:rsidRPr="004C3E50">
          <w:rPr>
            <w:sz w:val="16"/>
            <w:szCs w:val="16"/>
          </w:rPr>
          <w:t>1</w:t>
        </w:r>
      </w:ins>
      <w:ins w:id="213" w:author="" w:date="2018-02-28T09:35:00Z">
        <w:r w:rsidRPr="004C3E50">
          <w:rPr>
            <w:sz w:val="16"/>
            <w:szCs w:val="16"/>
          </w:rPr>
          <w:t>9</w:t>
        </w:r>
      </w:ins>
      <w:r w:rsidRPr="004C3E50">
        <w:rPr>
          <w:sz w:val="16"/>
          <w:szCs w:val="16"/>
        </w:rPr>
        <w:t>)</w:t>
      </w:r>
    </w:p>
    <w:p w14:paraId="4EAED966" w14:textId="56652236" w:rsidR="009B7D9D" w:rsidRPr="004C3E50" w:rsidRDefault="00A04700" w:rsidP="00A159E5">
      <w:pPr>
        <w:pStyle w:val="Reasons"/>
      </w:pPr>
      <w:r w:rsidRPr="004C3E50">
        <w:rPr>
          <w:b/>
        </w:rPr>
        <w:t>Motifs:</w:t>
      </w:r>
      <w:r w:rsidRPr="004C3E50">
        <w:tab/>
      </w:r>
      <w:r w:rsidR="0058405E" w:rsidRPr="004C3E50">
        <w:rPr>
          <w:lang w:eastAsia="ja-JP"/>
        </w:rPr>
        <w:t xml:space="preserve">Cette méthode vise à ajouter un examen supplémentaire au titre du </w:t>
      </w:r>
      <w:r w:rsidR="00DE18E5" w:rsidRPr="004C3E50">
        <w:rPr>
          <w:lang w:eastAsia="ja-JP"/>
        </w:rPr>
        <w:t>§ 4.2.16 de</w:t>
      </w:r>
      <w:r w:rsidR="0058405E" w:rsidRPr="004C3E50">
        <w:rPr>
          <w:lang w:eastAsia="ja-JP"/>
        </w:rPr>
        <w:t xml:space="preserve"> </w:t>
      </w:r>
      <w:r w:rsidR="00DE18E5" w:rsidRPr="004C3E50">
        <w:rPr>
          <w:lang w:eastAsia="ja-JP"/>
        </w:rPr>
        <w:t>l'Appendice</w:t>
      </w:r>
      <w:r w:rsidR="0058405E" w:rsidRPr="004C3E50">
        <w:rPr>
          <w:lang w:eastAsia="ja-JP"/>
        </w:rPr>
        <w:t xml:space="preserve"> </w:t>
      </w:r>
      <w:r w:rsidR="0058405E" w:rsidRPr="004C3E50">
        <w:rPr>
          <w:b/>
          <w:bCs/>
          <w:lang w:eastAsia="ja-JP"/>
        </w:rPr>
        <w:t>30A</w:t>
      </w:r>
      <w:r w:rsidR="0058405E" w:rsidRPr="004C3E50">
        <w:rPr>
          <w:lang w:eastAsia="ja-JP"/>
        </w:rPr>
        <w:t xml:space="preserve"> du RR de sorte que, s'il existe des réseaux affectés restants dans le Plan avant la soumission au titre </w:t>
      </w:r>
      <w:r w:rsidR="00DE18E5" w:rsidRPr="004C3E50">
        <w:rPr>
          <w:lang w:eastAsia="ja-JP"/>
        </w:rPr>
        <w:t>du § 4.2.16 de</w:t>
      </w:r>
      <w:r w:rsidR="0058405E" w:rsidRPr="004C3E50">
        <w:rPr>
          <w:lang w:eastAsia="ja-JP"/>
        </w:rPr>
        <w:t xml:space="preserve"> </w:t>
      </w:r>
      <w:r w:rsidR="00DE18E5" w:rsidRPr="004C3E50">
        <w:rPr>
          <w:lang w:eastAsia="ja-JP"/>
        </w:rPr>
        <w:t>l'Appendice</w:t>
      </w:r>
      <w:r w:rsidR="0058405E" w:rsidRPr="004C3E50">
        <w:rPr>
          <w:lang w:eastAsia="ja-JP"/>
        </w:rPr>
        <w:t xml:space="preserve"> </w:t>
      </w:r>
      <w:r w:rsidR="0058405E" w:rsidRPr="004C3E50">
        <w:rPr>
          <w:b/>
          <w:bCs/>
          <w:lang w:eastAsia="ja-JP"/>
        </w:rPr>
        <w:t>30A</w:t>
      </w:r>
      <w:r w:rsidR="0058405E" w:rsidRPr="004C3E50">
        <w:rPr>
          <w:lang w:eastAsia="ja-JP"/>
        </w:rPr>
        <w:t xml:space="preserve"> du RR, le Bureau détermine en outre si les</w:t>
      </w:r>
      <w:r w:rsidR="000E35DF" w:rsidRPr="004C3E50">
        <w:rPr>
          <w:lang w:eastAsia="ja-JP"/>
        </w:rPr>
        <w:t xml:space="preserve"> </w:t>
      </w:r>
      <w:r w:rsidR="0058405E" w:rsidRPr="004C3E50">
        <w:rPr>
          <w:lang w:eastAsia="ja-JP"/>
        </w:rPr>
        <w:t xml:space="preserve">assignations </w:t>
      </w:r>
      <w:r w:rsidR="000E35DF" w:rsidRPr="004C3E50">
        <w:rPr>
          <w:lang w:eastAsia="ja-JP"/>
        </w:rPr>
        <w:t xml:space="preserve">correspondantes restantes </w:t>
      </w:r>
      <w:r w:rsidR="0058405E" w:rsidRPr="004C3E50">
        <w:rPr>
          <w:lang w:eastAsia="ja-JP"/>
        </w:rPr>
        <w:t>figurant dans le Plan sont toujours considérées comme étant affectées.</w:t>
      </w:r>
      <w:r w:rsidR="0058405E" w:rsidRPr="004C3E50">
        <w:t xml:space="preserve"> </w:t>
      </w:r>
      <w:r w:rsidR="00DE18E5" w:rsidRPr="004C3E50">
        <w:rPr>
          <w:lang w:eastAsia="ja-JP"/>
        </w:rPr>
        <w:t>Le réseau examiné ne sera assujetti à aucune nouvelle</w:t>
      </w:r>
      <w:r w:rsidR="000E35DF" w:rsidRPr="004C3E50">
        <w:rPr>
          <w:lang w:eastAsia="ja-JP"/>
        </w:rPr>
        <w:t xml:space="preserve"> exigence</w:t>
      </w:r>
      <w:r w:rsidR="00DE18E5" w:rsidRPr="004C3E50">
        <w:rPr>
          <w:lang w:eastAsia="ja-JP"/>
        </w:rPr>
        <w:t xml:space="preserve"> par r</w:t>
      </w:r>
      <w:r w:rsidR="003B17BF" w:rsidRPr="004C3E50">
        <w:rPr>
          <w:lang w:eastAsia="ja-JP"/>
        </w:rPr>
        <w:t xml:space="preserve">apport à celles indiquées dans </w:t>
      </w:r>
      <w:r w:rsidR="000E35DF" w:rsidRPr="004C3E50">
        <w:rPr>
          <w:lang w:eastAsia="ja-JP"/>
        </w:rPr>
        <w:t>l</w:t>
      </w:r>
      <w:r w:rsidR="00DE18E5" w:rsidRPr="004C3E50">
        <w:rPr>
          <w:lang w:eastAsia="ja-JP"/>
        </w:rPr>
        <w:t xml:space="preserve">a publication </w:t>
      </w:r>
      <w:r w:rsidR="000E35DF" w:rsidRPr="004C3E50">
        <w:rPr>
          <w:lang w:eastAsia="ja-JP"/>
        </w:rPr>
        <w:t>l</w:t>
      </w:r>
      <w:r w:rsidR="003B17BF" w:rsidRPr="004C3E50">
        <w:rPr>
          <w:lang w:eastAsia="ja-JP"/>
        </w:rPr>
        <w:t>e</w:t>
      </w:r>
      <w:r w:rsidR="000E35DF" w:rsidRPr="004C3E50">
        <w:rPr>
          <w:lang w:eastAsia="ja-JP"/>
        </w:rPr>
        <w:t xml:space="preserve"> concernant dans</w:t>
      </w:r>
      <w:r w:rsidR="003B17BF" w:rsidRPr="004C3E50">
        <w:rPr>
          <w:lang w:eastAsia="ja-JP"/>
        </w:rPr>
        <w:t xml:space="preserve"> la</w:t>
      </w:r>
      <w:r w:rsidR="00DE18E5" w:rsidRPr="004C3E50">
        <w:rPr>
          <w:lang w:eastAsia="ja-JP"/>
        </w:rPr>
        <w:t xml:space="preserve"> Partie A</w:t>
      </w:r>
      <w:r w:rsidR="0058405E" w:rsidRPr="004C3E50">
        <w:rPr>
          <w:lang w:eastAsia="ja-JP"/>
        </w:rPr>
        <w:t>.</w:t>
      </w:r>
    </w:p>
    <w:p w14:paraId="24D704EF" w14:textId="77777777" w:rsidR="00221098" w:rsidRPr="004C3E50" w:rsidRDefault="00A04700" w:rsidP="00B96508">
      <w:pPr>
        <w:pStyle w:val="AppendixNo"/>
      </w:pPr>
      <w:bookmarkStart w:id="214" w:name="_Toc459986382"/>
      <w:bookmarkStart w:id="215" w:name="_Toc459987816"/>
      <w:r w:rsidRPr="004C3E50">
        <w:lastRenderedPageBreak/>
        <w:t xml:space="preserve">APPENDICE  </w:t>
      </w:r>
      <w:r w:rsidRPr="004C3E50">
        <w:rPr>
          <w:rStyle w:val="href"/>
        </w:rPr>
        <w:t>30B</w:t>
      </w:r>
      <w:r w:rsidRPr="004C3E50">
        <w:t xml:space="preserve">  (RÉV.CMR-15)</w:t>
      </w:r>
      <w:bookmarkEnd w:id="214"/>
      <w:bookmarkEnd w:id="215"/>
    </w:p>
    <w:p w14:paraId="67E5075C" w14:textId="77777777" w:rsidR="00221098" w:rsidRPr="004C3E50" w:rsidRDefault="00A04700" w:rsidP="00193AD6">
      <w:pPr>
        <w:pStyle w:val="Appendixtitle"/>
        <w:spacing w:before="120" w:after="120"/>
        <w:rPr>
          <w:color w:val="000000"/>
        </w:rPr>
      </w:pPr>
      <w:bookmarkStart w:id="216" w:name="_Toc459986383"/>
      <w:bookmarkStart w:id="217" w:name="_Toc459987817"/>
      <w:r w:rsidRPr="004C3E50">
        <w:rPr>
          <w:color w:val="000000"/>
        </w:rPr>
        <w:t>Dispositions et Plan associé pour le service fixe par satellite</w:t>
      </w:r>
      <w:r w:rsidRPr="004C3E50">
        <w:rPr>
          <w:color w:val="000000"/>
        </w:rPr>
        <w:br/>
        <w:t>dans les bandes 4</w:t>
      </w:r>
      <w:r w:rsidRPr="004C3E50">
        <w:rPr>
          <w:rFonts w:ascii="Tms Rmn" w:hAnsi="Tms Rmn"/>
          <w:color w:val="000000"/>
          <w:sz w:val="12"/>
        </w:rPr>
        <w:t> </w:t>
      </w:r>
      <w:r w:rsidRPr="004C3E50">
        <w:rPr>
          <w:color w:val="000000"/>
        </w:rPr>
        <w:t>500-4</w:t>
      </w:r>
      <w:r w:rsidRPr="004C3E50">
        <w:rPr>
          <w:rFonts w:ascii="Tms Rmn" w:hAnsi="Tms Rmn"/>
          <w:color w:val="000000"/>
          <w:sz w:val="12"/>
        </w:rPr>
        <w:t> </w:t>
      </w:r>
      <w:r w:rsidRPr="004C3E50">
        <w:rPr>
          <w:color w:val="000000"/>
        </w:rPr>
        <w:t>800 MHz, 6</w:t>
      </w:r>
      <w:r w:rsidRPr="004C3E50">
        <w:rPr>
          <w:rFonts w:ascii="Tms Rmn" w:hAnsi="Tms Rmn"/>
          <w:color w:val="000000"/>
          <w:sz w:val="12"/>
        </w:rPr>
        <w:t> </w:t>
      </w:r>
      <w:r w:rsidRPr="004C3E50">
        <w:rPr>
          <w:color w:val="000000"/>
        </w:rPr>
        <w:t>725-7</w:t>
      </w:r>
      <w:r w:rsidRPr="004C3E50">
        <w:rPr>
          <w:rFonts w:ascii="Tms Rmn" w:hAnsi="Tms Rmn"/>
          <w:color w:val="000000"/>
          <w:sz w:val="12"/>
        </w:rPr>
        <w:t> </w:t>
      </w:r>
      <w:r w:rsidRPr="004C3E50">
        <w:rPr>
          <w:color w:val="000000"/>
        </w:rPr>
        <w:t>025 MHz,</w:t>
      </w:r>
      <w:r w:rsidRPr="004C3E50">
        <w:rPr>
          <w:color w:val="000000"/>
        </w:rPr>
        <w:br/>
        <w:t>10,70-10,95 GHz, 11,20-11,45 GHz et 12,75-13,25 GHz</w:t>
      </w:r>
      <w:bookmarkEnd w:id="216"/>
      <w:bookmarkEnd w:id="217"/>
    </w:p>
    <w:p w14:paraId="585839A6" w14:textId="77777777" w:rsidR="00221098" w:rsidRPr="004C3E50" w:rsidRDefault="00A04700" w:rsidP="00193AD6">
      <w:pPr>
        <w:pStyle w:val="AppArtNo"/>
      </w:pPr>
      <w:r w:rsidRPr="004C3E50">
        <w:t>ARTICLE  6     </w:t>
      </w:r>
      <w:r w:rsidRPr="004C3E50">
        <w:rPr>
          <w:sz w:val="16"/>
          <w:szCs w:val="16"/>
        </w:rPr>
        <w:t>(</w:t>
      </w:r>
      <w:r w:rsidRPr="004C3E50">
        <w:rPr>
          <w:sz w:val="16"/>
        </w:rPr>
        <w:t>Rév.</w:t>
      </w:r>
      <w:r w:rsidRPr="004C3E50">
        <w:rPr>
          <w:sz w:val="16"/>
          <w:szCs w:val="16"/>
        </w:rPr>
        <w:t>CMR</w:t>
      </w:r>
      <w:r w:rsidRPr="004C3E50">
        <w:rPr>
          <w:sz w:val="16"/>
          <w:szCs w:val="16"/>
        </w:rPr>
        <w:noBreakHyphen/>
        <w:t>15)</w:t>
      </w:r>
    </w:p>
    <w:p w14:paraId="4BA87E5B" w14:textId="77777777" w:rsidR="00221098" w:rsidRPr="004C3E50" w:rsidRDefault="00A04700" w:rsidP="00193AD6">
      <w:pPr>
        <w:pStyle w:val="AppArttitle"/>
        <w:keepNext w:val="0"/>
        <w:keepLines w:val="0"/>
        <w:rPr>
          <w:lang w:val="fr-FR"/>
        </w:rPr>
      </w:pPr>
      <w:bookmarkStart w:id="218" w:name="_Toc459986388"/>
      <w:r w:rsidRPr="004C3E50">
        <w:rPr>
          <w:lang w:val="fr-FR"/>
        </w:rPr>
        <w:t xml:space="preserve">Procédures applicables à la conversion d'un allotissement en assignation, </w:t>
      </w:r>
      <w:r w:rsidRPr="004C3E50">
        <w:rPr>
          <w:lang w:val="fr-FR"/>
        </w:rPr>
        <w:br/>
        <w:t xml:space="preserve">à la mise en œuvre d'un système additionnel ou à la modification </w:t>
      </w:r>
      <w:r w:rsidRPr="004C3E50">
        <w:rPr>
          <w:lang w:val="fr-FR"/>
        </w:rPr>
        <w:br/>
        <w:t>d'une assignation figurant dans la Liste</w:t>
      </w:r>
      <w:r w:rsidRPr="004C3E50">
        <w:rPr>
          <w:rStyle w:val="FootnoteReference"/>
          <w:b w:val="0"/>
          <w:bCs/>
          <w:lang w:val="fr-FR"/>
        </w:rPr>
        <w:footnoteReference w:customMarkFollows="1" w:id="11"/>
        <w:t>1</w:t>
      </w:r>
      <w:r w:rsidRPr="004C3E50">
        <w:rPr>
          <w:position w:val="6"/>
          <w:sz w:val="16"/>
          <w:szCs w:val="16"/>
          <w:lang w:val="fr-FR"/>
        </w:rPr>
        <w:t>,</w:t>
      </w:r>
      <w:r w:rsidRPr="004C3E50">
        <w:rPr>
          <w:b w:val="0"/>
          <w:bCs/>
          <w:color w:val="000000"/>
          <w:lang w:val="fr-FR"/>
        </w:rPr>
        <w:t xml:space="preserve"> </w:t>
      </w:r>
      <w:r w:rsidRPr="004C3E50">
        <w:rPr>
          <w:rStyle w:val="FootnoteReference"/>
          <w:b w:val="0"/>
          <w:bCs/>
          <w:color w:val="000000"/>
          <w:lang w:val="fr-FR"/>
        </w:rPr>
        <w:footnoteReference w:customMarkFollows="1" w:id="12"/>
        <w:t>2</w:t>
      </w:r>
      <w:r w:rsidRPr="004C3E50">
        <w:rPr>
          <w:b w:val="0"/>
          <w:bCs/>
          <w:sz w:val="16"/>
          <w:lang w:val="fr-FR"/>
        </w:rPr>
        <w:t>     (CMR-15)</w:t>
      </w:r>
      <w:bookmarkEnd w:id="218"/>
    </w:p>
    <w:p w14:paraId="1A0435DD" w14:textId="77777777" w:rsidR="009B7D9D" w:rsidRPr="004C3E50" w:rsidRDefault="00A04700">
      <w:pPr>
        <w:pStyle w:val="Proposal"/>
      </w:pPr>
      <w:r w:rsidRPr="004C3E50">
        <w:t>MOD</w:t>
      </w:r>
      <w:r w:rsidRPr="004C3E50">
        <w:tab/>
        <w:t>IAP/11A19A11/5</w:t>
      </w:r>
      <w:r w:rsidRPr="004C3E50">
        <w:rPr>
          <w:vanish/>
          <w:color w:val="7F7F7F" w:themeColor="text1" w:themeTint="80"/>
          <w:vertAlign w:val="superscript"/>
        </w:rPr>
        <w:t>#50137</w:t>
      </w:r>
    </w:p>
    <w:p w14:paraId="2E9319BB" w14:textId="77777777" w:rsidR="007132E2" w:rsidRPr="004C3E50" w:rsidRDefault="00A04700" w:rsidP="007132E2">
      <w:r w:rsidRPr="004C3E50">
        <w:rPr>
          <w:rStyle w:val="Provsplit"/>
        </w:rPr>
        <w:t>6.21</w:t>
      </w:r>
      <w:r w:rsidRPr="004C3E50">
        <w:tab/>
        <w:t>Lorsque l'examen au titre du § 6.19 d'une assignation reçue au titre du § 6.17 aboutit à une conclusion favorable, le Bureau applique la méthode de l'Annexe 4 pour déterminer si les administrations affectées et:</w:t>
      </w:r>
    </w:p>
    <w:p w14:paraId="5C4EE87C" w14:textId="77777777" w:rsidR="007132E2" w:rsidRPr="004C3E50" w:rsidRDefault="00A04700" w:rsidP="007132E2">
      <w:pPr>
        <w:pStyle w:val="enumlev1"/>
      </w:pPr>
      <w:r w:rsidRPr="004C3E50">
        <w:rPr>
          <w:i/>
          <w:iCs/>
        </w:rPr>
        <w:t>a)</w:t>
      </w:r>
      <w:r w:rsidRPr="004C3E50">
        <w:tab/>
        <w:t>les allotissements du Plan,</w:t>
      </w:r>
    </w:p>
    <w:p w14:paraId="5A39B6CF" w14:textId="1259A4B4" w:rsidR="007132E2" w:rsidRPr="004C3E50" w:rsidRDefault="00A04700" w:rsidP="007132E2">
      <w:pPr>
        <w:pStyle w:val="enumlev1"/>
      </w:pPr>
      <w:r w:rsidRPr="004C3E50">
        <w:rPr>
          <w:i/>
          <w:iCs/>
        </w:rPr>
        <w:t>b)</w:t>
      </w:r>
      <w:r w:rsidRPr="004C3E50">
        <w:tab/>
        <w:t>les assignations qui figurent dans la Liste à la date de réception de la fiche de notification examinée soumise au titre du § 6.1</w:t>
      </w:r>
      <w:r w:rsidR="002051F5">
        <w:t>,</w:t>
      </w:r>
    </w:p>
    <w:p w14:paraId="73271443" w14:textId="50390370" w:rsidR="007132E2" w:rsidRPr="004C3E50" w:rsidRDefault="00A04700" w:rsidP="007132E2">
      <w:pPr>
        <w:pStyle w:val="enumlev1"/>
      </w:pPr>
      <w:r w:rsidRPr="004C3E50">
        <w:rPr>
          <w:i/>
          <w:iCs/>
        </w:rPr>
        <w:t>c)</w:t>
      </w:r>
      <w:r w:rsidRPr="004C3E50">
        <w:tab/>
        <w:t>les assignations au sujet desquelles le Bureau a reçu antérieurement les renseignements complets conformément au § 6.1 et a effectué l'examen prévu au § 6.5 du présent Article à la date de réception de la fiche de notification examinée au titre du § 6.1</w:t>
      </w:r>
      <w:ins w:id="219" w:author="" w:date="2018-07-10T11:46:00Z">
        <w:r w:rsidRPr="004C3E50">
          <w:rPr>
            <w:rStyle w:val="FootnoteReference"/>
          </w:rPr>
          <w:footnoteReference w:customMarkFollows="1" w:id="13"/>
          <w:t>YY</w:t>
        </w:r>
      </w:ins>
      <w:r w:rsidR="002051F5">
        <w:t>,</w:t>
      </w:r>
    </w:p>
    <w:p w14:paraId="3D415237" w14:textId="77777777" w:rsidR="007132E2" w:rsidRPr="004C3E50" w:rsidRDefault="00A04700" w:rsidP="007132E2">
      <w:pPr>
        <w:rPr>
          <w:color w:val="000000"/>
          <w:sz w:val="16"/>
          <w:szCs w:val="16"/>
        </w:rPr>
      </w:pPr>
      <w:proofErr w:type="gramStart"/>
      <w:r w:rsidRPr="004C3E50">
        <w:t>indiqués</w:t>
      </w:r>
      <w:proofErr w:type="gramEnd"/>
      <w:r w:rsidRPr="004C3E50">
        <w:t xml:space="preserve"> dans la Section spéciale publiée au titre du § 6.7, et dont l'accord n'a pas été obtenu au titre du § 6.17, sont toujours considérés comme affectés par cette assignation.</w:t>
      </w:r>
      <w:ins w:id="260" w:author="Unknown" w:date="2018-07-10T10:06:00Z">
        <w:r w:rsidRPr="004C3E50">
          <w:rPr>
            <w:sz w:val="16"/>
            <w:szCs w:val="16"/>
          </w:rPr>
          <w:t>     </w:t>
        </w:r>
      </w:ins>
      <w:ins w:id="261" w:author="" w:date="2017-09-22T14:14:00Z">
        <w:r w:rsidRPr="004C3E50">
          <w:rPr>
            <w:color w:val="000000"/>
            <w:sz w:val="16"/>
            <w:szCs w:val="16"/>
          </w:rPr>
          <w:t>(</w:t>
        </w:r>
      </w:ins>
      <w:ins w:id="262" w:author="" w:date="2018-07-31T15:49:00Z">
        <w:r w:rsidRPr="004C3E50">
          <w:rPr>
            <w:color w:val="000000"/>
            <w:sz w:val="16"/>
            <w:szCs w:val="16"/>
          </w:rPr>
          <w:t>CMR</w:t>
        </w:r>
      </w:ins>
      <w:ins w:id="263" w:author="" w:date="2017-09-22T14:14:00Z">
        <w:r w:rsidRPr="004C3E50">
          <w:rPr>
            <w:color w:val="000000"/>
            <w:sz w:val="16"/>
            <w:szCs w:val="16"/>
          </w:rPr>
          <w:noBreakHyphen/>
          <w:t>19)</w:t>
        </w:r>
      </w:ins>
    </w:p>
    <w:p w14:paraId="53B8E94C" w14:textId="1CF1F2D5" w:rsidR="00A04700" w:rsidRPr="004C3E50" w:rsidRDefault="00A04700" w:rsidP="00A159E5">
      <w:pPr>
        <w:pStyle w:val="Reasons"/>
      </w:pPr>
      <w:r w:rsidRPr="004C3E50">
        <w:rPr>
          <w:b/>
        </w:rPr>
        <w:lastRenderedPageBreak/>
        <w:t>Motifs:</w:t>
      </w:r>
      <w:r w:rsidRPr="004C3E50">
        <w:tab/>
      </w:r>
      <w:r w:rsidRPr="004C3E50">
        <w:rPr>
          <w:lang w:eastAsia="ja-JP"/>
        </w:rPr>
        <w:t xml:space="preserve">Cette méthode vise à ajouter un examen supplémentaire au titre du § 6.21 </w:t>
      </w:r>
      <w:r w:rsidRPr="004C3E50">
        <w:rPr>
          <w:i/>
          <w:iCs/>
          <w:lang w:eastAsia="ja-JP"/>
        </w:rPr>
        <w:t>c)</w:t>
      </w:r>
      <w:r w:rsidRPr="004C3E50">
        <w:rPr>
          <w:lang w:eastAsia="ja-JP"/>
        </w:rPr>
        <w:t xml:space="preserve"> de l'Appendice </w:t>
      </w:r>
      <w:r w:rsidRPr="004C3E50">
        <w:rPr>
          <w:b/>
          <w:bCs/>
          <w:lang w:eastAsia="ja-JP"/>
        </w:rPr>
        <w:t>30B</w:t>
      </w:r>
      <w:r w:rsidRPr="004C3E50">
        <w:rPr>
          <w:lang w:eastAsia="ja-JP"/>
        </w:rPr>
        <w:t xml:space="preserve"> du RR de sorte que, s'il existe des réseaux affectés restants dont les assignations ont été inscrites dans la Liste avant la soumission au titre du § 6.17 de l'Appendice </w:t>
      </w:r>
      <w:r w:rsidRPr="004C3E50">
        <w:rPr>
          <w:b/>
          <w:bCs/>
          <w:lang w:eastAsia="ja-JP"/>
        </w:rPr>
        <w:t>30B</w:t>
      </w:r>
      <w:r w:rsidRPr="004C3E50">
        <w:rPr>
          <w:lang w:eastAsia="ja-JP"/>
        </w:rPr>
        <w:t xml:space="preserve"> du RR, le Bureau détermine en outre si les assignations </w:t>
      </w:r>
      <w:r w:rsidR="004A1CB3" w:rsidRPr="004C3E50">
        <w:rPr>
          <w:lang w:eastAsia="ja-JP"/>
        </w:rPr>
        <w:t xml:space="preserve">correspondantes restantes </w:t>
      </w:r>
      <w:r w:rsidRPr="004C3E50">
        <w:rPr>
          <w:lang w:eastAsia="ja-JP"/>
        </w:rPr>
        <w:t xml:space="preserve">figurant dans la Liste sont toujours considérées comme étant affectées. </w:t>
      </w:r>
      <w:r w:rsidR="00BD7124" w:rsidRPr="004C3E50">
        <w:rPr>
          <w:lang w:eastAsia="ja-JP"/>
        </w:rPr>
        <w:t xml:space="preserve">Le réseau examiné ne sera assujetti à aucune nouvelle </w:t>
      </w:r>
      <w:r w:rsidR="004A1CB3" w:rsidRPr="004C3E50">
        <w:rPr>
          <w:lang w:eastAsia="ja-JP"/>
        </w:rPr>
        <w:t>exigence</w:t>
      </w:r>
      <w:r w:rsidR="00BD7124" w:rsidRPr="004C3E50">
        <w:rPr>
          <w:lang w:eastAsia="ja-JP"/>
        </w:rPr>
        <w:t xml:space="preserve"> par rapport à celles indiquées dans </w:t>
      </w:r>
      <w:r w:rsidR="004A1CB3" w:rsidRPr="004C3E50">
        <w:rPr>
          <w:lang w:eastAsia="ja-JP"/>
        </w:rPr>
        <w:t>l</w:t>
      </w:r>
      <w:r w:rsidR="00BD7124" w:rsidRPr="004C3E50">
        <w:rPr>
          <w:lang w:eastAsia="ja-JP"/>
        </w:rPr>
        <w:t xml:space="preserve">a publication </w:t>
      </w:r>
      <w:r w:rsidR="004A1CB3" w:rsidRPr="004C3E50">
        <w:rPr>
          <w:lang w:eastAsia="ja-JP"/>
        </w:rPr>
        <w:t>l</w:t>
      </w:r>
      <w:r w:rsidR="00590036" w:rsidRPr="004C3E50">
        <w:rPr>
          <w:lang w:eastAsia="ja-JP"/>
        </w:rPr>
        <w:t>e</w:t>
      </w:r>
      <w:r w:rsidR="004A1CB3" w:rsidRPr="004C3E50">
        <w:rPr>
          <w:lang w:eastAsia="ja-JP"/>
        </w:rPr>
        <w:t xml:space="preserve"> concernant dans</w:t>
      </w:r>
      <w:r w:rsidR="00590036" w:rsidRPr="004C3E50">
        <w:rPr>
          <w:lang w:eastAsia="ja-JP"/>
        </w:rPr>
        <w:t xml:space="preserve"> la</w:t>
      </w:r>
      <w:r w:rsidR="00BD7124" w:rsidRPr="004C3E50">
        <w:rPr>
          <w:lang w:eastAsia="ja-JP"/>
        </w:rPr>
        <w:t xml:space="preserve"> </w:t>
      </w:r>
      <w:r w:rsidR="00BD7124" w:rsidRPr="004C3E50">
        <w:t>Partie A</w:t>
      </w:r>
      <w:r w:rsidRPr="004C3E50">
        <w:rPr>
          <w:lang w:eastAsia="ja-JP"/>
        </w:rPr>
        <w:t>.</w:t>
      </w:r>
    </w:p>
    <w:p w14:paraId="28703476" w14:textId="77777777" w:rsidR="00A04700" w:rsidRPr="004C3E50" w:rsidRDefault="00A04700" w:rsidP="00657148"/>
    <w:p w14:paraId="77DAF82D" w14:textId="266FC1F2" w:rsidR="00A04700" w:rsidRPr="004C3E50" w:rsidRDefault="00A04700">
      <w:pPr>
        <w:jc w:val="center"/>
      </w:pPr>
      <w:r w:rsidRPr="004C3E50">
        <w:t>______________</w:t>
      </w:r>
    </w:p>
    <w:p w14:paraId="0DFBD5D6" w14:textId="13B45A51" w:rsidR="009B7D9D" w:rsidRPr="004C3E50" w:rsidRDefault="009B7D9D" w:rsidP="00A159E5"/>
    <w:sectPr w:rsidR="009B7D9D" w:rsidRPr="004C3E5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F59D7" w14:textId="77777777" w:rsidR="0070076C" w:rsidRDefault="0070076C">
      <w:r>
        <w:separator/>
      </w:r>
    </w:p>
  </w:endnote>
  <w:endnote w:type="continuationSeparator" w:id="0">
    <w:p w14:paraId="62E59F2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5EA4" w14:textId="7E42C64D" w:rsidR="00936D25" w:rsidRDefault="00936D25">
    <w:pPr>
      <w:rPr>
        <w:lang w:val="en-US"/>
      </w:rPr>
    </w:pPr>
    <w:r>
      <w:fldChar w:fldCharType="begin"/>
    </w:r>
    <w:r>
      <w:rPr>
        <w:lang w:val="en-US"/>
      </w:rPr>
      <w:instrText xml:space="preserve"> FILENAME \p  \* MERGEFORMAT </w:instrText>
    </w:r>
    <w:r>
      <w:fldChar w:fldCharType="separate"/>
    </w:r>
    <w:r w:rsidR="000E0779">
      <w:rPr>
        <w:noProof/>
        <w:lang w:val="en-US"/>
      </w:rPr>
      <w:t>P:\FRA\ITU-R\CONF-R\CMR19\000\011ADD19ADD11F.docx</w:t>
    </w:r>
    <w:r>
      <w:fldChar w:fldCharType="end"/>
    </w:r>
    <w:r>
      <w:rPr>
        <w:lang w:val="en-US"/>
      </w:rPr>
      <w:tab/>
    </w:r>
    <w:r>
      <w:fldChar w:fldCharType="begin"/>
    </w:r>
    <w:r>
      <w:instrText xml:space="preserve"> SAVEDATE \@ DD.MM.YY </w:instrText>
    </w:r>
    <w:r>
      <w:fldChar w:fldCharType="separate"/>
    </w:r>
    <w:r w:rsidR="000E0779">
      <w:rPr>
        <w:noProof/>
      </w:rPr>
      <w:t>30.09.19</w:t>
    </w:r>
    <w:r>
      <w:fldChar w:fldCharType="end"/>
    </w:r>
    <w:r>
      <w:rPr>
        <w:lang w:val="en-US"/>
      </w:rPr>
      <w:tab/>
    </w:r>
    <w:r>
      <w:fldChar w:fldCharType="begin"/>
    </w:r>
    <w:r>
      <w:instrText xml:space="preserve"> PRINTDATE \@ DD.MM.YY </w:instrText>
    </w:r>
    <w:r>
      <w:fldChar w:fldCharType="separate"/>
    </w:r>
    <w:r w:rsidR="000E0779">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259B" w14:textId="3E2F5E07" w:rsidR="00936D25" w:rsidRDefault="000E0779" w:rsidP="008A4006">
    <w:pPr>
      <w:pStyle w:val="Footer"/>
      <w:rPr>
        <w:lang w:val="en-US"/>
      </w:rPr>
    </w:pPr>
    <w:r>
      <w:fldChar w:fldCharType="begin"/>
    </w:r>
    <w:r>
      <w:instrText xml:space="preserve"> FILENAME \p  \* MERGEFORMAT </w:instrText>
    </w:r>
    <w:r>
      <w:fldChar w:fldCharType="separate"/>
    </w:r>
    <w:r>
      <w:t>P:\FRA\ITU-R\CONF-R\CMR19\000\011ADD19ADD11F.docx</w:t>
    </w:r>
    <w:r>
      <w:fldChar w:fldCharType="end"/>
    </w:r>
    <w:r w:rsidR="008A4006">
      <w:t xml:space="preserve"> (460821)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203B" w14:textId="6A0B9DFE" w:rsidR="00936D25" w:rsidRDefault="000E0779" w:rsidP="008A4006">
    <w:pPr>
      <w:pStyle w:val="Footer"/>
      <w:rPr>
        <w:lang w:val="en-US"/>
      </w:rPr>
    </w:pPr>
    <w:r>
      <w:fldChar w:fldCharType="begin"/>
    </w:r>
    <w:r>
      <w:instrText xml:space="preserve"> FILENAME \p  \* MERGEFORMAT </w:instrText>
    </w:r>
    <w:r>
      <w:fldChar w:fldCharType="separate"/>
    </w:r>
    <w:r>
      <w:t>P:\FRA\ITU-R\CONF-R\CMR19\000\011ADD19ADD11F.docx</w:t>
    </w:r>
    <w:r>
      <w:fldChar w:fldCharType="end"/>
    </w:r>
    <w:r w:rsidR="008A4006">
      <w:t xml:space="preserve"> (</w:t>
    </w:r>
    <w:r w:rsidR="00206B84">
      <w:t>460821)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C8E1B" w14:textId="77777777" w:rsidR="0070076C" w:rsidRDefault="0070076C">
      <w:r>
        <w:rPr>
          <w:b/>
        </w:rPr>
        <w:t>_______________</w:t>
      </w:r>
    </w:p>
  </w:footnote>
  <w:footnote w:type="continuationSeparator" w:id="0">
    <w:p w14:paraId="6E089D0A" w14:textId="77777777" w:rsidR="0070076C" w:rsidRDefault="0070076C">
      <w:r>
        <w:continuationSeparator/>
      </w:r>
    </w:p>
  </w:footnote>
  <w:footnote w:id="1">
    <w:p w14:paraId="4AF02DCC" w14:textId="77777777" w:rsidR="00E555B4" w:rsidRDefault="00A04700"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7B19B762" w14:textId="77777777" w:rsidR="00E555B4" w:rsidRDefault="00A04700"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249D275C" w14:textId="77777777" w:rsidR="00E555B4" w:rsidRDefault="00A04700"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3BFBB888" w14:textId="77777777" w:rsidR="00E555B4" w:rsidRDefault="00A04700"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42E31784" w14:textId="77777777" w:rsidR="00E555B4" w:rsidRDefault="00A04700" w:rsidP="00193AD6">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14:paraId="1D0A0230" w14:textId="19727949" w:rsidR="007A7EEB" w:rsidRPr="00AF7B3F" w:rsidRDefault="00A04700" w:rsidP="00A159E5">
      <w:pPr>
        <w:pStyle w:val="FootnoteText"/>
      </w:pPr>
      <w:ins w:id="12" w:author="" w:date="2018-07-10T11:38:00Z">
        <w:r w:rsidRPr="00BB3D72">
          <w:rPr>
            <w:rStyle w:val="FootnoteReference"/>
          </w:rPr>
          <w:t>XX</w:t>
        </w:r>
        <w:r w:rsidRPr="00BB3D72">
          <w:tab/>
        </w:r>
      </w:ins>
      <w:ins w:id="13" w:author="" w:date="2018-08-03T09:34:00Z">
        <w:r w:rsidRPr="00BB3D72">
          <w:t>S</w:t>
        </w:r>
      </w:ins>
      <w:ins w:id="14" w:author="" w:date="2018-08-06T12:22:00Z">
        <w:r w:rsidRPr="00AF7B3F">
          <w:t>'</w:t>
        </w:r>
      </w:ins>
      <w:ins w:id="15" w:author="" w:date="2018-08-03T09:34:00Z">
        <w:r w:rsidRPr="00BB3D72">
          <w:t xml:space="preserve">il </w:t>
        </w:r>
      </w:ins>
      <w:ins w:id="16" w:author="" w:date="2018-08-06T12:22:00Z">
        <w:r w:rsidRPr="00AF7B3F">
          <w:t>existe</w:t>
        </w:r>
      </w:ins>
      <w:ins w:id="17" w:author="" w:date="2018-08-03T09:34:00Z">
        <w:r w:rsidRPr="00BB3D72">
          <w:t xml:space="preserve"> des réseaux affectés</w:t>
        </w:r>
      </w:ins>
      <w:ins w:id="18" w:author="" w:date="2018-08-06T12:22:00Z">
        <w:r w:rsidRPr="00AF7B3F">
          <w:t xml:space="preserve"> restants</w:t>
        </w:r>
      </w:ins>
      <w:ins w:id="19" w:author="" w:date="2018-08-03T09:34:00Z">
        <w:r w:rsidRPr="00BB3D72">
          <w:t xml:space="preserve"> </w:t>
        </w:r>
      </w:ins>
      <w:ins w:id="20" w:author="Dirand, Baptiste" w:date="2019-09-27T09:09:00Z">
        <w:r w:rsidR="00BB3D72">
          <w:t xml:space="preserve">identifiés dans la publication </w:t>
        </w:r>
      </w:ins>
      <w:ins w:id="21" w:author="Dirand, Baptiste" w:date="2019-09-27T09:10:00Z">
        <w:r w:rsidR="00BB3D72">
          <w:t>visée au § 4.1.5 ci</w:t>
        </w:r>
      </w:ins>
      <w:ins w:id="22" w:author="Chanavat, Emilie" w:date="2019-09-27T14:41:00Z">
        <w:r w:rsidR="00CE1E9E">
          <w:noBreakHyphen/>
        </w:r>
      </w:ins>
      <w:ins w:id="23" w:author="Dirand, Baptiste" w:date="2019-09-27T09:10:00Z">
        <w:r w:rsidR="00BB3D72">
          <w:t>dessus</w:t>
        </w:r>
        <w:r w:rsidR="00CB2C2F">
          <w:t xml:space="preserve"> </w:t>
        </w:r>
      </w:ins>
      <w:ins w:id="24" w:author="" w:date="2018-08-03T09:35:00Z">
        <w:r w:rsidRPr="00BB3D72">
          <w:t xml:space="preserve">dont les </w:t>
        </w:r>
      </w:ins>
      <w:ins w:id="25" w:author="" w:date="2018-08-03T09:33:00Z">
        <w:r w:rsidRPr="00BB3D72">
          <w:t>assign</w:t>
        </w:r>
      </w:ins>
      <w:ins w:id="26" w:author="" w:date="2018-08-03T09:35:00Z">
        <w:r w:rsidRPr="00BB3D72">
          <w:t xml:space="preserve">ations ont été inscrites dans la </w:t>
        </w:r>
      </w:ins>
      <w:ins w:id="27" w:author="" w:date="2018-08-03T09:33:00Z">
        <w:r w:rsidRPr="00BB3D72">
          <w:t>List</w:t>
        </w:r>
      </w:ins>
      <w:ins w:id="28" w:author="" w:date="2018-08-03T09:35:00Z">
        <w:r w:rsidRPr="00BB3D72">
          <w:t>e</w:t>
        </w:r>
      </w:ins>
      <w:ins w:id="29" w:author="" w:date="2018-08-03T09:33:00Z">
        <w:r w:rsidRPr="00BB3D72">
          <w:t xml:space="preserve"> </w:t>
        </w:r>
      </w:ins>
      <w:ins w:id="30" w:author="" w:date="2018-08-03T09:35:00Z">
        <w:r w:rsidRPr="00BB3D72">
          <w:t xml:space="preserve">avant la réception de la fiche de notification au titre du </w:t>
        </w:r>
      </w:ins>
      <w:ins w:id="31" w:author="" w:date="2018-08-03T09:33:00Z">
        <w:r w:rsidRPr="00BB3D72">
          <w:t>§</w:t>
        </w:r>
      </w:ins>
      <w:ins w:id="32" w:author="" w:date="2018-08-03T09:35:00Z">
        <w:r w:rsidRPr="00BB3D72">
          <w:t> </w:t>
        </w:r>
      </w:ins>
      <w:ins w:id="33" w:author="" w:date="2018-08-03T09:33:00Z">
        <w:r w:rsidRPr="00BB3D72">
          <w:t xml:space="preserve">4.1.12, </w:t>
        </w:r>
      </w:ins>
      <w:ins w:id="34" w:author="" w:date="2018-08-03T09:35:00Z">
        <w:r w:rsidRPr="00BB3D72">
          <w:t xml:space="preserve">le </w:t>
        </w:r>
      </w:ins>
      <w:ins w:id="35" w:author="" w:date="2018-08-03T09:33:00Z">
        <w:r w:rsidRPr="00BB3D72">
          <w:t xml:space="preserve">Bureau </w:t>
        </w:r>
      </w:ins>
      <w:ins w:id="36" w:author="" w:date="2018-08-06T12:23:00Z">
        <w:r w:rsidRPr="00AF7B3F">
          <w:t>applique</w:t>
        </w:r>
      </w:ins>
      <w:ins w:id="37" w:author="" w:date="2018-08-03T09:36:00Z">
        <w:r w:rsidRPr="00AF7B3F">
          <w:t xml:space="preserve"> la méthode de l</w:t>
        </w:r>
      </w:ins>
      <w:ins w:id="38" w:author="" w:date="2018-08-06T12:23:00Z">
        <w:r w:rsidRPr="00AF7B3F">
          <w:t>'</w:t>
        </w:r>
      </w:ins>
      <w:ins w:id="39" w:author="" w:date="2018-08-03T09:33:00Z">
        <w:r w:rsidRPr="00BB3D72">
          <w:t>Annex</w:t>
        </w:r>
      </w:ins>
      <w:ins w:id="40" w:author="" w:date="2018-08-03T09:36:00Z">
        <w:r w:rsidRPr="00AF7B3F">
          <w:t>e </w:t>
        </w:r>
      </w:ins>
      <w:ins w:id="41" w:author="" w:date="2018-08-03T09:33:00Z">
        <w:r w:rsidRPr="00BB3D72">
          <w:t xml:space="preserve">1 </w:t>
        </w:r>
      </w:ins>
      <w:ins w:id="42" w:author="" w:date="2018-08-03T09:36:00Z">
        <w:r w:rsidRPr="00AF7B3F">
          <w:t xml:space="preserve">pour </w:t>
        </w:r>
      </w:ins>
      <w:ins w:id="43" w:author="" w:date="2018-08-06T12:23:00Z">
        <w:r w:rsidRPr="00AF7B3F">
          <w:t>déterminer</w:t>
        </w:r>
      </w:ins>
      <w:ins w:id="44" w:author="" w:date="2018-08-03T09:36:00Z">
        <w:r w:rsidRPr="00AF7B3F">
          <w:t xml:space="preserve"> </w:t>
        </w:r>
      </w:ins>
      <w:ins w:id="45" w:author="" w:date="2018-08-03T10:18:00Z">
        <w:r w:rsidRPr="00AF7B3F">
          <w:t xml:space="preserve">en outre </w:t>
        </w:r>
      </w:ins>
      <w:ins w:id="46" w:author="" w:date="2018-08-03T09:36:00Z">
        <w:r w:rsidRPr="00AF7B3F">
          <w:t xml:space="preserve">si les assignations </w:t>
        </w:r>
      </w:ins>
      <w:ins w:id="47" w:author="Chanavat, Emilie" w:date="2019-09-27T14:19:00Z">
        <w:r w:rsidR="000E35DF">
          <w:t xml:space="preserve">correspondantes restantes </w:t>
        </w:r>
      </w:ins>
      <w:ins w:id="48" w:author="" w:date="2018-08-03T09:36:00Z">
        <w:r w:rsidRPr="00AF7B3F">
          <w:t xml:space="preserve">figurant dans la </w:t>
        </w:r>
      </w:ins>
      <w:ins w:id="49" w:author="" w:date="2018-08-03T09:33:00Z">
        <w:r w:rsidRPr="00BB3D72">
          <w:t>List</w:t>
        </w:r>
      </w:ins>
      <w:ins w:id="50" w:author="" w:date="2018-08-03T09:37:00Z">
        <w:r w:rsidRPr="00AF7B3F">
          <w:t>e</w:t>
        </w:r>
      </w:ins>
      <w:ins w:id="51" w:author="" w:date="2018-08-03T09:33:00Z">
        <w:r w:rsidRPr="00BB3D72">
          <w:t xml:space="preserve"> </w:t>
        </w:r>
      </w:ins>
      <w:ins w:id="52" w:author="" w:date="2018-08-03T09:37:00Z">
        <w:r w:rsidRPr="00AF7B3F">
          <w:t>sont toujours considérées comme étant affectées</w:t>
        </w:r>
      </w:ins>
      <w:ins w:id="53" w:author="" w:date="2018-08-03T09:33:00Z">
        <w:r w:rsidRPr="00BB3D72">
          <w:t xml:space="preserve">. </w:t>
        </w:r>
      </w:ins>
      <w:ins w:id="54" w:author="" w:date="2018-08-03T09:52:00Z">
        <w:r w:rsidRPr="00AF7B3F">
          <w:t>Le Bureau mène l</w:t>
        </w:r>
      </w:ins>
      <w:ins w:id="55" w:author="" w:date="2018-08-06T12:24:00Z">
        <w:r w:rsidRPr="00AF7B3F">
          <w:t>'</w:t>
        </w:r>
      </w:ins>
      <w:ins w:id="56" w:author="" w:date="2018-08-03T09:52:00Z">
        <w:r w:rsidRPr="00AF7B3F">
          <w:t xml:space="preserve">examen </w:t>
        </w:r>
      </w:ins>
      <w:ins w:id="57" w:author="" w:date="2018-08-06T12:24:00Z">
        <w:r w:rsidRPr="00AF7B3F">
          <w:t xml:space="preserve">par rapport </w:t>
        </w:r>
      </w:ins>
      <w:ins w:id="58" w:author="" w:date="2018-08-03T09:52:00Z">
        <w:r w:rsidRPr="00AF7B3F">
          <w:t xml:space="preserve">à ces réseaux affectés restants de façon indépendante, en utilisant les données de </w:t>
        </w:r>
      </w:ins>
      <w:ins w:id="59" w:author="" w:date="2018-08-03T09:39:00Z">
        <w:r w:rsidRPr="00AF7B3F">
          <w:t xml:space="preserve">la base de données de référence des </w:t>
        </w:r>
      </w:ins>
      <w:ins w:id="60" w:author="" w:date="2018-08-03T09:33:00Z">
        <w:r w:rsidRPr="00AF7B3F">
          <w:t>Appendi</w:t>
        </w:r>
      </w:ins>
      <w:ins w:id="61" w:author="" w:date="2018-08-03T09:39:00Z">
        <w:r w:rsidRPr="00AF7B3F">
          <w:t>ces</w:t>
        </w:r>
      </w:ins>
      <w:ins w:id="62" w:author="" w:date="2018-08-03T09:33:00Z">
        <w:r w:rsidRPr="00BB3D72">
          <w:t xml:space="preserve"> </w:t>
        </w:r>
        <w:r w:rsidRPr="00BB3D72">
          <w:rPr>
            <w:rStyle w:val="Appref"/>
            <w:b/>
            <w:bCs/>
          </w:rPr>
          <w:t>30</w:t>
        </w:r>
      </w:ins>
      <w:ins w:id="63" w:author="" w:date="2018-08-03T09:39:00Z">
        <w:r w:rsidRPr="00AF7B3F">
          <w:rPr>
            <w:rStyle w:val="Appref"/>
          </w:rPr>
          <w:t xml:space="preserve"> et </w:t>
        </w:r>
      </w:ins>
      <w:ins w:id="64" w:author="" w:date="2018-08-03T09:33:00Z">
        <w:r w:rsidRPr="00BB3D72">
          <w:rPr>
            <w:rStyle w:val="Appref"/>
            <w:b/>
            <w:bCs/>
          </w:rPr>
          <w:t>30A</w:t>
        </w:r>
        <w:r w:rsidRPr="00BB3D72">
          <w:t xml:space="preserve"> </w:t>
        </w:r>
      </w:ins>
      <w:ins w:id="65" w:author="Dirand, Baptiste" w:date="2019-09-27T09:11:00Z">
        <w:r w:rsidR="00CB2C2F">
          <w:t xml:space="preserve">du RR </w:t>
        </w:r>
      </w:ins>
      <w:ins w:id="66" w:author="" w:date="2018-08-03T09:33:00Z">
        <w:r w:rsidRPr="00BB3D72">
          <w:t>correspond</w:t>
        </w:r>
      </w:ins>
      <w:ins w:id="67" w:author="" w:date="2018-08-03T09:44:00Z">
        <w:r w:rsidRPr="00AF7B3F">
          <w:t xml:space="preserve">ant à la Section spéciale </w:t>
        </w:r>
      </w:ins>
      <w:ins w:id="68" w:author="" w:date="2018-08-03T09:33:00Z">
        <w:r w:rsidRPr="00BB3D72">
          <w:t>Part</w:t>
        </w:r>
      </w:ins>
      <w:ins w:id="69" w:author="" w:date="2018-08-03T09:45:00Z">
        <w:r w:rsidRPr="00AF7B3F">
          <w:t>ie </w:t>
        </w:r>
      </w:ins>
      <w:ins w:id="70" w:author="" w:date="2018-08-03T09:33:00Z">
        <w:r w:rsidRPr="00BB3D72">
          <w:t xml:space="preserve">B </w:t>
        </w:r>
      </w:ins>
      <w:ins w:id="71" w:author="Dirand, Baptiste" w:date="2019-09-27T09:12:00Z">
        <w:r w:rsidR="00CB2C2F">
          <w:t>pour</w:t>
        </w:r>
      </w:ins>
      <w:ins w:id="72" w:author="Dirand, Baptiste" w:date="2019-09-27T09:11:00Z">
        <w:r w:rsidR="00CB2C2F">
          <w:t xml:space="preserve"> le(s) réseau(x) affecté(s) restant(s) </w:t>
        </w:r>
      </w:ins>
      <w:ins w:id="73" w:author="" w:date="2018-08-03T09:45:00Z">
        <w:r w:rsidRPr="00AF7B3F">
          <w:t>publiée au titre du</w:t>
        </w:r>
      </w:ins>
      <w:ins w:id="74" w:author="Unknown" w:date="2018-08-06T14:21:00Z">
        <w:r w:rsidRPr="00AF7B3F">
          <w:t> </w:t>
        </w:r>
      </w:ins>
      <w:ins w:id="75" w:author="" w:date="2018-08-03T09:33:00Z">
        <w:r w:rsidRPr="00BB3D72">
          <w:t xml:space="preserve">§ 4.1.15. </w:t>
        </w:r>
      </w:ins>
      <w:ins w:id="76" w:author="" w:date="2018-08-03T09:38:00Z">
        <w:r w:rsidRPr="00AF7B3F">
          <w:t xml:space="preserve">La </w:t>
        </w:r>
      </w:ins>
      <w:ins w:id="77" w:author="" w:date="2018-08-03T09:33:00Z">
        <w:r w:rsidRPr="00BB3D72">
          <w:t>R</w:t>
        </w:r>
      </w:ins>
      <w:ins w:id="78" w:author="" w:date="2018-08-03T09:38:00Z">
        <w:r w:rsidRPr="00BB3D72">
          <w:t>é</w:t>
        </w:r>
      </w:ins>
      <w:ins w:id="79" w:author="" w:date="2018-08-03T09:33:00Z">
        <w:r w:rsidRPr="00BB3D72">
          <w:t xml:space="preserve">solution </w:t>
        </w:r>
        <w:r w:rsidRPr="00BB3D72">
          <w:rPr>
            <w:b/>
            <w:bCs/>
          </w:rPr>
          <w:t>548 (R</w:t>
        </w:r>
      </w:ins>
      <w:ins w:id="80" w:author="" w:date="2018-08-03T09:38:00Z">
        <w:r w:rsidRPr="00BB3D72">
          <w:rPr>
            <w:b/>
            <w:bCs/>
          </w:rPr>
          <w:t>é</w:t>
        </w:r>
      </w:ins>
      <w:ins w:id="81" w:author="" w:date="2018-08-03T09:33:00Z">
        <w:r w:rsidRPr="00BB3D72">
          <w:rPr>
            <w:b/>
            <w:bCs/>
          </w:rPr>
          <w:t>v.</w:t>
        </w:r>
      </w:ins>
      <w:ins w:id="82" w:author="" w:date="2018-08-03T09:38:00Z">
        <w:r w:rsidRPr="00BB3D72">
          <w:rPr>
            <w:b/>
            <w:bCs/>
          </w:rPr>
          <w:t>CMR</w:t>
        </w:r>
      </w:ins>
      <w:ins w:id="83" w:author="" w:date="2018-08-03T09:33:00Z">
        <w:r w:rsidRPr="00BB3D72">
          <w:rPr>
            <w:b/>
            <w:bCs/>
          </w:rPr>
          <w:t>-12)</w:t>
        </w:r>
        <w:r w:rsidRPr="00BB3D72">
          <w:t xml:space="preserve"> </w:t>
        </w:r>
      </w:ins>
      <w:ins w:id="84" w:author="" w:date="2018-08-03T09:38:00Z">
        <w:r w:rsidRPr="00BB3D72">
          <w:t>s</w:t>
        </w:r>
      </w:ins>
      <w:ins w:id="85" w:author="" w:date="2018-09-13T15:58:00Z">
        <w:r w:rsidRPr="00AF7B3F">
          <w:t>'</w:t>
        </w:r>
      </w:ins>
      <w:ins w:id="86" w:author="" w:date="2018-08-03T09:38:00Z">
        <w:r w:rsidRPr="00BB3D72">
          <w:t>applique</w:t>
        </w:r>
      </w:ins>
      <w:ins w:id="87" w:author="" w:date="2018-08-03T09:33:00Z">
        <w:r w:rsidRPr="00BB3D72">
          <w:t>.</w:t>
        </w:r>
      </w:ins>
      <w:ins w:id="88" w:author="" w:date="2018-09-13T14:36:00Z">
        <w:r w:rsidRPr="00AF7B3F">
          <w:rPr>
            <w:sz w:val="16"/>
            <w:szCs w:val="16"/>
            <w:lang w:val="fr-CH"/>
          </w:rPr>
          <w:t>     </w:t>
        </w:r>
        <w:r w:rsidRPr="00AF7B3F">
          <w:rPr>
            <w:sz w:val="16"/>
            <w:szCs w:val="16"/>
          </w:rPr>
          <w:t>(CMR-19)</w:t>
        </w:r>
      </w:ins>
    </w:p>
  </w:footnote>
  <w:footnote w:id="5">
    <w:p w14:paraId="2402C01C" w14:textId="3F201BCA" w:rsidR="007A7EEB" w:rsidRPr="00AF7B3F" w:rsidRDefault="00A04700" w:rsidP="00A159E5">
      <w:pPr>
        <w:pStyle w:val="FootnoteText"/>
      </w:pPr>
      <w:ins w:id="92" w:author="" w:date="2018-07-10T11:40:00Z">
        <w:r w:rsidRPr="00BD7124">
          <w:rPr>
            <w:rStyle w:val="FootnoteReference"/>
          </w:rPr>
          <w:t>XX1</w:t>
        </w:r>
      </w:ins>
      <w:ins w:id="93" w:author="" w:date="2018-07-10T11:41:00Z">
        <w:r w:rsidRPr="00BD7124">
          <w:tab/>
        </w:r>
      </w:ins>
      <w:ins w:id="94" w:author="" w:date="2018-08-03T09:46:00Z">
        <w:r w:rsidRPr="00AF7B3F">
          <w:t>S</w:t>
        </w:r>
      </w:ins>
      <w:ins w:id="95" w:author="" w:date="2018-08-06T12:25:00Z">
        <w:r w:rsidRPr="00AF7B3F">
          <w:t>'</w:t>
        </w:r>
      </w:ins>
      <w:ins w:id="96" w:author="" w:date="2018-08-03T09:46:00Z">
        <w:r w:rsidRPr="00AF7B3F">
          <w:t xml:space="preserve">il </w:t>
        </w:r>
      </w:ins>
      <w:ins w:id="97" w:author="" w:date="2018-08-06T12:25:00Z">
        <w:r w:rsidRPr="00AF7B3F">
          <w:t>existe</w:t>
        </w:r>
      </w:ins>
      <w:ins w:id="98" w:author="" w:date="2018-08-03T09:46:00Z">
        <w:r w:rsidRPr="00AF7B3F">
          <w:t xml:space="preserve"> des réseaux affectés</w:t>
        </w:r>
      </w:ins>
      <w:ins w:id="99" w:author="" w:date="2018-08-06T12:25:00Z">
        <w:r w:rsidRPr="00AF7B3F">
          <w:t xml:space="preserve"> restants</w:t>
        </w:r>
      </w:ins>
      <w:ins w:id="100" w:author="" w:date="2018-08-03T09:46:00Z">
        <w:r w:rsidRPr="00AF7B3F">
          <w:t xml:space="preserve"> dont les assignations ont été inscrites dans le Plan avant la réception de la fiche de notification au titre du § 4.</w:t>
        </w:r>
      </w:ins>
      <w:ins w:id="101" w:author="" w:date="2018-08-03T09:56:00Z">
        <w:r w:rsidRPr="00AF7B3F">
          <w:t>2</w:t>
        </w:r>
      </w:ins>
      <w:ins w:id="102" w:author="" w:date="2018-08-03T09:46:00Z">
        <w:r w:rsidRPr="00AF7B3F">
          <w:t xml:space="preserve">.16, le Bureau </w:t>
        </w:r>
      </w:ins>
      <w:ins w:id="103" w:author="" w:date="2018-08-06T12:25:00Z">
        <w:r w:rsidRPr="00AF7B3F">
          <w:t>applique</w:t>
        </w:r>
      </w:ins>
      <w:ins w:id="104" w:author="" w:date="2018-08-03T09:46:00Z">
        <w:r w:rsidRPr="00AF7B3F">
          <w:t xml:space="preserve"> la méthode de l</w:t>
        </w:r>
      </w:ins>
      <w:ins w:id="105" w:author="" w:date="2018-08-06T12:25:00Z">
        <w:r w:rsidRPr="00AF7B3F">
          <w:t>'</w:t>
        </w:r>
      </w:ins>
      <w:ins w:id="106" w:author="" w:date="2018-08-03T09:46:00Z">
        <w:r w:rsidRPr="00AF7B3F">
          <w:t xml:space="preserve">Annexe 1 pour </w:t>
        </w:r>
      </w:ins>
      <w:ins w:id="107" w:author="" w:date="2018-08-06T12:26:00Z">
        <w:r w:rsidRPr="00AF7B3F">
          <w:t xml:space="preserve">déterminer </w:t>
        </w:r>
      </w:ins>
      <w:ins w:id="108" w:author="" w:date="2018-08-03T10:18:00Z">
        <w:r w:rsidRPr="00AF7B3F">
          <w:t xml:space="preserve">en outre </w:t>
        </w:r>
      </w:ins>
      <w:ins w:id="109" w:author="" w:date="2018-08-03T09:46:00Z">
        <w:r w:rsidRPr="00AF7B3F">
          <w:t xml:space="preserve">si les assignations </w:t>
        </w:r>
      </w:ins>
      <w:ins w:id="110" w:author="Chanavat, Emilie" w:date="2019-09-27T14:20:00Z">
        <w:r w:rsidR="000E35DF">
          <w:t xml:space="preserve">correspondantes restantes </w:t>
        </w:r>
      </w:ins>
      <w:ins w:id="111" w:author="" w:date="2018-08-03T09:46:00Z">
        <w:r w:rsidRPr="00AF7B3F">
          <w:t>figurant dans l</w:t>
        </w:r>
      </w:ins>
      <w:ins w:id="112" w:author="" w:date="2018-08-03T09:47:00Z">
        <w:r w:rsidRPr="00AF7B3F">
          <w:t xml:space="preserve">e Plan </w:t>
        </w:r>
      </w:ins>
      <w:ins w:id="113" w:author="" w:date="2018-08-03T09:46:00Z">
        <w:r w:rsidRPr="00AF7B3F">
          <w:t>sont toujours considérées comme étant affectées. L</w:t>
        </w:r>
      </w:ins>
      <w:ins w:id="114" w:author="" w:date="2018-08-03T09:51:00Z">
        <w:r w:rsidRPr="00AF7B3F">
          <w:t>e Bureau mène l</w:t>
        </w:r>
      </w:ins>
      <w:ins w:id="115" w:author="" w:date="2018-08-06T12:25:00Z">
        <w:r w:rsidRPr="00AF7B3F">
          <w:t>'</w:t>
        </w:r>
      </w:ins>
      <w:ins w:id="116" w:author="" w:date="2018-08-03T09:46:00Z">
        <w:r w:rsidRPr="00AF7B3F">
          <w:t xml:space="preserve">examen </w:t>
        </w:r>
      </w:ins>
      <w:ins w:id="117" w:author="" w:date="2018-08-06T12:26:00Z">
        <w:r w:rsidRPr="00AF7B3F">
          <w:t xml:space="preserve">par rapport </w:t>
        </w:r>
      </w:ins>
      <w:ins w:id="118" w:author="" w:date="2018-08-03T09:46:00Z">
        <w:r w:rsidRPr="00AF7B3F">
          <w:t xml:space="preserve">à ces réseaux affectés restants de façon indépendante, </w:t>
        </w:r>
      </w:ins>
      <w:ins w:id="119" w:author="" w:date="2018-08-03T09:52:00Z">
        <w:r w:rsidRPr="00AF7B3F">
          <w:t xml:space="preserve">en utilisant les </w:t>
        </w:r>
      </w:ins>
      <w:ins w:id="120" w:author="" w:date="2018-08-03T09:50:00Z">
        <w:r w:rsidRPr="00AF7B3F">
          <w:t xml:space="preserve">données </w:t>
        </w:r>
      </w:ins>
      <w:ins w:id="121" w:author="" w:date="2018-08-03T09:46:00Z">
        <w:r w:rsidRPr="00AF7B3F">
          <w:t xml:space="preserve">de la base de données de référence des Appendices </w:t>
        </w:r>
        <w:r w:rsidRPr="00D45EE1">
          <w:rPr>
            <w:rStyle w:val="Appref"/>
            <w:b/>
          </w:rPr>
          <w:t>30</w:t>
        </w:r>
        <w:r w:rsidRPr="00AF7B3F">
          <w:rPr>
            <w:rStyle w:val="Appref"/>
          </w:rPr>
          <w:t xml:space="preserve"> et </w:t>
        </w:r>
        <w:r w:rsidRPr="00D45EE1">
          <w:rPr>
            <w:rStyle w:val="Appref"/>
            <w:b/>
          </w:rPr>
          <w:t>30A</w:t>
        </w:r>
        <w:r w:rsidRPr="00AF7B3F">
          <w:t xml:space="preserve"> correspondant à la Section spéciale Partie B qui a été publiée au titre du</w:t>
        </w:r>
      </w:ins>
      <w:ins w:id="122" w:author="Unknown" w:date="2018-08-06T14:21:00Z">
        <w:r w:rsidRPr="00AF7B3F">
          <w:t> </w:t>
        </w:r>
      </w:ins>
      <w:ins w:id="123" w:author="" w:date="2018-08-03T09:46:00Z">
        <w:r w:rsidRPr="00AF7B3F">
          <w:t>§</w:t>
        </w:r>
      </w:ins>
      <w:ins w:id="124" w:author="" w:date="2018-08-03T09:50:00Z">
        <w:r w:rsidRPr="00AF7B3F">
          <w:t> </w:t>
        </w:r>
      </w:ins>
      <w:ins w:id="125" w:author="" w:date="2018-08-03T09:46:00Z">
        <w:r w:rsidRPr="00AF7B3F">
          <w:t>4.</w:t>
        </w:r>
      </w:ins>
      <w:ins w:id="126" w:author="" w:date="2018-08-03T09:48:00Z">
        <w:r w:rsidRPr="00AF7B3F">
          <w:t>2</w:t>
        </w:r>
      </w:ins>
      <w:ins w:id="127" w:author="" w:date="2018-08-03T09:46:00Z">
        <w:r w:rsidRPr="00AF7B3F">
          <w:t>.1</w:t>
        </w:r>
      </w:ins>
      <w:ins w:id="128" w:author="" w:date="2018-08-03T09:50:00Z">
        <w:r w:rsidRPr="00AF7B3F">
          <w:t>9</w:t>
        </w:r>
      </w:ins>
      <w:ins w:id="129" w:author="" w:date="2018-08-03T09:46:00Z">
        <w:r w:rsidRPr="00AF7B3F">
          <w:t>.</w:t>
        </w:r>
      </w:ins>
      <w:ins w:id="130" w:author="" w:date="2018-09-13T14:37:00Z">
        <w:r w:rsidRPr="00AF7B3F">
          <w:rPr>
            <w:sz w:val="16"/>
            <w:szCs w:val="16"/>
            <w:lang w:val="fr-CH"/>
          </w:rPr>
          <w:t>     </w:t>
        </w:r>
        <w:r w:rsidRPr="00AF7B3F">
          <w:rPr>
            <w:sz w:val="16"/>
            <w:szCs w:val="16"/>
          </w:rPr>
          <w:t>(CMR-19)</w:t>
        </w:r>
      </w:ins>
    </w:p>
  </w:footnote>
  <w:footnote w:id="6">
    <w:p w14:paraId="1890AF64" w14:textId="77777777" w:rsidR="00E555B4" w:rsidRDefault="00A04700"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7">
    <w:p w14:paraId="01A5522B" w14:textId="77777777" w:rsidR="00E555B4" w:rsidRDefault="00A04700"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3E4DEFFF" w14:textId="77777777" w:rsidR="00E555B4" w:rsidRDefault="00A04700"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8">
    <w:p w14:paraId="4EFCE234" w14:textId="77777777" w:rsidR="00E555B4" w:rsidRDefault="00A04700" w:rsidP="00193AD6">
      <w:pPr>
        <w:pStyle w:val="FootnoteText"/>
      </w:pPr>
      <w:r>
        <w:rPr>
          <w:rStyle w:val="FootnoteReference"/>
          <w:color w:val="000000"/>
        </w:rPr>
        <w:t>2</w:t>
      </w:r>
      <w:r>
        <w:tab/>
        <w:t>Cette utilisation de la bande 14,5-14,8 GHz est réservée aux pays extérieurs à l'Europe.</w:t>
      </w:r>
    </w:p>
    <w:p w14:paraId="567EBEA7" w14:textId="77777777" w:rsidR="00E555B4" w:rsidRDefault="00A04700"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9">
    <w:p w14:paraId="5764FDBC" w14:textId="61F5944F" w:rsidR="007A7EEB" w:rsidRPr="00DE18E5" w:rsidRDefault="00A04700" w:rsidP="007132E2">
      <w:pPr>
        <w:pStyle w:val="FootnoteText"/>
        <w:rPr>
          <w:lang w:val="fr-CH"/>
        </w:rPr>
      </w:pPr>
      <w:ins w:id="140" w:author="" w:date="2018-07-10T11:42:00Z">
        <w:r w:rsidRPr="00AF7B3F">
          <w:rPr>
            <w:rStyle w:val="FootnoteReference"/>
          </w:rPr>
          <w:t>XX</w:t>
        </w:r>
        <w:r w:rsidRPr="00AF7B3F">
          <w:tab/>
        </w:r>
      </w:ins>
      <w:ins w:id="141" w:author="" w:date="2018-08-03T09:53:00Z">
        <w:r w:rsidRPr="00AF7B3F">
          <w:t>S</w:t>
        </w:r>
      </w:ins>
      <w:ins w:id="142" w:author="" w:date="2018-08-06T12:28:00Z">
        <w:r w:rsidRPr="00AF7B3F">
          <w:t>'</w:t>
        </w:r>
      </w:ins>
      <w:ins w:id="143" w:author="" w:date="2018-08-03T09:53:00Z">
        <w:r w:rsidRPr="00AF7B3F">
          <w:t xml:space="preserve">il </w:t>
        </w:r>
      </w:ins>
      <w:ins w:id="144" w:author="" w:date="2018-08-06T12:28:00Z">
        <w:r w:rsidRPr="00AF7B3F">
          <w:t>existe</w:t>
        </w:r>
      </w:ins>
      <w:ins w:id="145" w:author="" w:date="2018-08-03T09:53:00Z">
        <w:r w:rsidRPr="00AF7B3F">
          <w:t xml:space="preserve"> des réseaux affectés</w:t>
        </w:r>
      </w:ins>
      <w:ins w:id="146" w:author="" w:date="2018-08-06T12:28:00Z">
        <w:r w:rsidRPr="00AF7B3F">
          <w:t xml:space="preserve"> restants</w:t>
        </w:r>
      </w:ins>
      <w:ins w:id="147" w:author="" w:date="2018-08-03T09:53:00Z">
        <w:r w:rsidRPr="00AF7B3F">
          <w:t xml:space="preserve"> dont les assignations ont été inscrites dans la Liste avant la réception de la fiche de notification au titre du § 4.1.12, le Bureau </w:t>
        </w:r>
      </w:ins>
      <w:ins w:id="148" w:author="" w:date="2018-08-06T12:29:00Z">
        <w:r w:rsidRPr="00AF7B3F">
          <w:t>applique</w:t>
        </w:r>
      </w:ins>
      <w:ins w:id="149" w:author="" w:date="2018-08-03T09:53:00Z">
        <w:r w:rsidRPr="00AF7B3F">
          <w:t xml:space="preserve"> la méthode de l</w:t>
        </w:r>
      </w:ins>
      <w:ins w:id="150" w:author="" w:date="2018-08-06T12:28:00Z">
        <w:r w:rsidRPr="00AF7B3F">
          <w:t>'</w:t>
        </w:r>
      </w:ins>
      <w:ins w:id="151" w:author="" w:date="2018-08-03T09:53:00Z">
        <w:r w:rsidRPr="00AF7B3F">
          <w:t xml:space="preserve">Annexe 1 pour </w:t>
        </w:r>
      </w:ins>
      <w:ins w:id="152" w:author="" w:date="2018-08-06T12:29:00Z">
        <w:r w:rsidRPr="00AF7B3F">
          <w:t>déterminer</w:t>
        </w:r>
      </w:ins>
      <w:ins w:id="153" w:author="" w:date="2018-08-03T09:53:00Z">
        <w:r w:rsidRPr="00AF7B3F">
          <w:t xml:space="preserve"> </w:t>
        </w:r>
      </w:ins>
      <w:ins w:id="154" w:author="" w:date="2018-08-03T10:18:00Z">
        <w:r w:rsidRPr="00AF7B3F">
          <w:t xml:space="preserve">en outre </w:t>
        </w:r>
      </w:ins>
      <w:ins w:id="155" w:author="" w:date="2018-08-03T09:53:00Z">
        <w:r w:rsidRPr="00AF7B3F">
          <w:t>si les assignations</w:t>
        </w:r>
      </w:ins>
      <w:ins w:id="156" w:author="Chanavat, Emilie" w:date="2019-09-27T14:23:00Z">
        <w:r w:rsidR="000E35DF">
          <w:t xml:space="preserve"> correspondantes restantes</w:t>
        </w:r>
      </w:ins>
      <w:ins w:id="157" w:author="" w:date="2018-08-03T09:53:00Z">
        <w:r w:rsidRPr="00AF7B3F">
          <w:t xml:space="preserve"> figurant dans la Liste sont toujours considérées comme étant affectées. Le Bureau mène l</w:t>
        </w:r>
      </w:ins>
      <w:ins w:id="158" w:author="" w:date="2018-08-06T12:29:00Z">
        <w:r w:rsidRPr="00AF7B3F">
          <w:t>'</w:t>
        </w:r>
      </w:ins>
      <w:ins w:id="159" w:author="" w:date="2018-08-03T09:53:00Z">
        <w:r w:rsidRPr="00AF7B3F">
          <w:t xml:space="preserve">examen </w:t>
        </w:r>
      </w:ins>
      <w:ins w:id="160" w:author="" w:date="2018-08-06T12:29:00Z">
        <w:r w:rsidRPr="00AF7B3F">
          <w:t>par rapport</w:t>
        </w:r>
      </w:ins>
      <w:ins w:id="161" w:author="" w:date="2018-08-03T09:53:00Z">
        <w:r w:rsidRPr="00AF7B3F">
          <w:t xml:space="preserve"> à ces réseaux affectés restants de façon indépendante, en utilisant les données de la base de données de référence des Appendices </w:t>
        </w:r>
        <w:r w:rsidRPr="00D45EE1">
          <w:rPr>
            <w:rStyle w:val="Appref"/>
            <w:b/>
          </w:rPr>
          <w:t>30</w:t>
        </w:r>
        <w:r w:rsidRPr="00AF7B3F">
          <w:rPr>
            <w:rStyle w:val="Appref"/>
          </w:rPr>
          <w:t xml:space="preserve"> et </w:t>
        </w:r>
        <w:r w:rsidRPr="00D45EE1">
          <w:rPr>
            <w:rStyle w:val="Appref"/>
            <w:b/>
          </w:rPr>
          <w:t>30A</w:t>
        </w:r>
        <w:r w:rsidRPr="00AF7B3F">
          <w:t xml:space="preserve"> correspondant à la Section spéciale Partie B qui a été publiée au titre du</w:t>
        </w:r>
      </w:ins>
      <w:ins w:id="162" w:author="Unknown" w:date="2018-08-06T14:22:00Z">
        <w:r w:rsidRPr="00AF7B3F">
          <w:t> </w:t>
        </w:r>
      </w:ins>
      <w:ins w:id="163" w:author="" w:date="2018-08-03T09:53:00Z">
        <w:r w:rsidRPr="00AF7B3F">
          <w:t xml:space="preserve">§ 4.1.15. La Résolution </w:t>
        </w:r>
        <w:r w:rsidRPr="00AF7B3F">
          <w:rPr>
            <w:b/>
            <w:bCs/>
          </w:rPr>
          <w:t>548 (Rév.CMR-12)</w:t>
        </w:r>
        <w:r w:rsidRPr="00AF7B3F">
          <w:t xml:space="preserve"> s</w:t>
        </w:r>
      </w:ins>
      <w:ins w:id="164" w:author="" w:date="2018-08-06T12:28:00Z">
        <w:r w:rsidRPr="00AF7B3F">
          <w:t>'</w:t>
        </w:r>
      </w:ins>
      <w:ins w:id="165" w:author="" w:date="2018-08-03T09:53:00Z">
        <w:r w:rsidRPr="00AF7B3F">
          <w:t>applique.</w:t>
        </w:r>
      </w:ins>
      <w:ins w:id="166" w:author="" w:date="2018-09-13T14:44:00Z">
        <w:r w:rsidRPr="00AF7B3F">
          <w:rPr>
            <w:sz w:val="16"/>
            <w:szCs w:val="16"/>
            <w:lang w:val="fr-CH"/>
          </w:rPr>
          <w:t xml:space="preserve">      </w:t>
        </w:r>
        <w:r w:rsidRPr="00AF7B3F">
          <w:rPr>
            <w:sz w:val="16"/>
            <w:szCs w:val="16"/>
          </w:rPr>
          <w:t>(CMR-19)</w:t>
        </w:r>
      </w:ins>
    </w:p>
  </w:footnote>
  <w:footnote w:id="10">
    <w:p w14:paraId="5866F2CE" w14:textId="66C5770F" w:rsidR="007A7EEB" w:rsidRPr="00BD7124" w:rsidRDefault="00A04700" w:rsidP="007132E2">
      <w:pPr>
        <w:pStyle w:val="FootnoteText"/>
        <w:rPr>
          <w:lang w:val="fr-CH"/>
        </w:rPr>
      </w:pPr>
      <w:ins w:id="172" w:author="" w:date="2018-07-10T11:44:00Z">
        <w:r w:rsidRPr="00AF7B3F">
          <w:rPr>
            <w:rStyle w:val="FootnoteReference"/>
          </w:rPr>
          <w:t>XX1</w:t>
        </w:r>
        <w:r w:rsidRPr="00AF7B3F">
          <w:tab/>
        </w:r>
      </w:ins>
      <w:ins w:id="173" w:author="" w:date="2018-08-03T09:46:00Z">
        <w:r w:rsidRPr="00AF7B3F">
          <w:t>S</w:t>
        </w:r>
      </w:ins>
      <w:ins w:id="174" w:author="" w:date="2018-08-06T12:30:00Z">
        <w:r w:rsidRPr="00AF7B3F">
          <w:t>'</w:t>
        </w:r>
      </w:ins>
      <w:ins w:id="175" w:author="" w:date="2018-08-03T09:46:00Z">
        <w:r w:rsidRPr="00AF7B3F">
          <w:t xml:space="preserve">il </w:t>
        </w:r>
      </w:ins>
      <w:ins w:id="176" w:author="" w:date="2018-08-06T12:30:00Z">
        <w:r w:rsidRPr="00AF7B3F">
          <w:t>existe</w:t>
        </w:r>
      </w:ins>
      <w:ins w:id="177" w:author="" w:date="2018-08-03T09:46:00Z">
        <w:r w:rsidRPr="00AF7B3F">
          <w:t xml:space="preserve"> des réseaux affectés </w:t>
        </w:r>
      </w:ins>
      <w:ins w:id="178" w:author="" w:date="2018-08-06T12:31:00Z">
        <w:r w:rsidRPr="00AF7B3F">
          <w:t xml:space="preserve">restants </w:t>
        </w:r>
      </w:ins>
      <w:ins w:id="179" w:author="" w:date="2018-08-03T09:46:00Z">
        <w:r w:rsidRPr="00AF7B3F">
          <w:t>dont les assignations ont été inscrites dans le Plan avant la réception de la fiche de notification au titre du § 4.</w:t>
        </w:r>
      </w:ins>
      <w:ins w:id="180" w:author="" w:date="2018-08-03T09:56:00Z">
        <w:r w:rsidRPr="00AF7B3F">
          <w:t>2</w:t>
        </w:r>
      </w:ins>
      <w:ins w:id="181" w:author="" w:date="2018-08-03T09:46:00Z">
        <w:r w:rsidRPr="00AF7B3F">
          <w:t xml:space="preserve">.16, le Bureau </w:t>
        </w:r>
      </w:ins>
      <w:ins w:id="182" w:author="" w:date="2018-08-06T12:31:00Z">
        <w:r w:rsidRPr="00AF7B3F">
          <w:t>applique</w:t>
        </w:r>
      </w:ins>
      <w:ins w:id="183" w:author="" w:date="2018-08-03T09:46:00Z">
        <w:r w:rsidRPr="00AF7B3F">
          <w:t xml:space="preserve"> la méthode de l</w:t>
        </w:r>
      </w:ins>
      <w:ins w:id="184" w:author="" w:date="2018-08-06T12:30:00Z">
        <w:r w:rsidRPr="00AF7B3F">
          <w:t>'</w:t>
        </w:r>
      </w:ins>
      <w:ins w:id="185" w:author="" w:date="2018-08-03T09:46:00Z">
        <w:r w:rsidRPr="00AF7B3F">
          <w:t xml:space="preserve">Annexe 1 pour </w:t>
        </w:r>
      </w:ins>
      <w:ins w:id="186" w:author="" w:date="2018-08-06T12:31:00Z">
        <w:r w:rsidRPr="00AF7B3F">
          <w:t xml:space="preserve">déterminer </w:t>
        </w:r>
      </w:ins>
      <w:ins w:id="187" w:author="" w:date="2018-08-03T10:18:00Z">
        <w:r w:rsidRPr="00AF7B3F">
          <w:t xml:space="preserve">en outre </w:t>
        </w:r>
      </w:ins>
      <w:ins w:id="188" w:author="" w:date="2018-08-03T09:46:00Z">
        <w:r w:rsidRPr="00AF7B3F">
          <w:t xml:space="preserve">si les assignations </w:t>
        </w:r>
      </w:ins>
      <w:ins w:id="189" w:author="Chanavat, Emilie" w:date="2019-09-27T14:27:00Z">
        <w:r w:rsidR="005509BC">
          <w:t xml:space="preserve">correspondantes restantes </w:t>
        </w:r>
      </w:ins>
      <w:ins w:id="190" w:author="" w:date="2018-08-03T09:46:00Z">
        <w:r w:rsidRPr="00AF7B3F">
          <w:t>figurant dans l</w:t>
        </w:r>
      </w:ins>
      <w:ins w:id="191" w:author="" w:date="2018-08-03T09:47:00Z">
        <w:r w:rsidRPr="00AF7B3F">
          <w:t xml:space="preserve">e Plan </w:t>
        </w:r>
      </w:ins>
      <w:ins w:id="192" w:author="" w:date="2018-08-03T09:46:00Z">
        <w:r w:rsidRPr="00AF7B3F">
          <w:t>sont toujours considérées comme étant affectées. L</w:t>
        </w:r>
      </w:ins>
      <w:ins w:id="193" w:author="" w:date="2018-08-03T09:51:00Z">
        <w:r w:rsidRPr="00AF7B3F">
          <w:t>e Bureau mène l</w:t>
        </w:r>
      </w:ins>
      <w:ins w:id="194" w:author="" w:date="2018-08-06T12:30:00Z">
        <w:r w:rsidRPr="00AF7B3F">
          <w:t>'</w:t>
        </w:r>
      </w:ins>
      <w:ins w:id="195" w:author="" w:date="2018-08-03T09:46:00Z">
        <w:r w:rsidRPr="00AF7B3F">
          <w:t xml:space="preserve">examen </w:t>
        </w:r>
      </w:ins>
      <w:ins w:id="196" w:author="" w:date="2018-08-06T12:31:00Z">
        <w:r w:rsidRPr="00AF7B3F">
          <w:t xml:space="preserve">par rapport </w:t>
        </w:r>
      </w:ins>
      <w:ins w:id="197" w:author="" w:date="2018-08-03T09:46:00Z">
        <w:r w:rsidRPr="00AF7B3F">
          <w:t xml:space="preserve">à ces réseaux affectés restants de façon indépendante, </w:t>
        </w:r>
      </w:ins>
      <w:ins w:id="198" w:author="" w:date="2018-08-03T09:52:00Z">
        <w:r w:rsidRPr="00AF7B3F">
          <w:t xml:space="preserve">en utilisant les </w:t>
        </w:r>
      </w:ins>
      <w:ins w:id="199" w:author="" w:date="2018-08-03T09:50:00Z">
        <w:r w:rsidRPr="00AF7B3F">
          <w:t xml:space="preserve">données </w:t>
        </w:r>
      </w:ins>
      <w:ins w:id="200" w:author="" w:date="2018-08-03T09:46:00Z">
        <w:r w:rsidRPr="00AF7B3F">
          <w:t xml:space="preserve">de la base de données de référence des Appendices </w:t>
        </w:r>
        <w:r w:rsidRPr="00D45EE1">
          <w:rPr>
            <w:rStyle w:val="Appref"/>
            <w:b/>
          </w:rPr>
          <w:t>30</w:t>
        </w:r>
        <w:r w:rsidRPr="00AF7B3F">
          <w:rPr>
            <w:rStyle w:val="Appref"/>
          </w:rPr>
          <w:t xml:space="preserve"> et </w:t>
        </w:r>
        <w:r w:rsidRPr="00D45EE1">
          <w:rPr>
            <w:rStyle w:val="Appref"/>
            <w:b/>
          </w:rPr>
          <w:t>30A</w:t>
        </w:r>
        <w:r w:rsidRPr="00AF7B3F">
          <w:t xml:space="preserve"> correspondant à la Section spéciale Partie B qui a été publiée au titre du</w:t>
        </w:r>
      </w:ins>
      <w:ins w:id="201" w:author="Unknown" w:date="2018-08-06T14:23:00Z">
        <w:r w:rsidRPr="00AF7B3F">
          <w:t> </w:t>
        </w:r>
      </w:ins>
      <w:ins w:id="202" w:author="" w:date="2018-08-03T09:46:00Z">
        <w:r w:rsidRPr="00AF7B3F">
          <w:t>§</w:t>
        </w:r>
      </w:ins>
      <w:ins w:id="203" w:author="" w:date="2018-08-03T09:50:00Z">
        <w:r w:rsidRPr="00AF7B3F">
          <w:t> </w:t>
        </w:r>
      </w:ins>
      <w:ins w:id="204" w:author="" w:date="2018-08-03T09:46:00Z">
        <w:r w:rsidRPr="00AF7B3F">
          <w:t>4.</w:t>
        </w:r>
      </w:ins>
      <w:ins w:id="205" w:author="" w:date="2018-08-03T09:48:00Z">
        <w:r w:rsidRPr="00AF7B3F">
          <w:t>2</w:t>
        </w:r>
      </w:ins>
      <w:ins w:id="206" w:author="" w:date="2018-08-03T09:46:00Z">
        <w:r w:rsidRPr="00AF7B3F">
          <w:t>.1</w:t>
        </w:r>
      </w:ins>
      <w:ins w:id="207" w:author="" w:date="2018-08-03T09:50:00Z">
        <w:r w:rsidRPr="00AF7B3F">
          <w:t>9</w:t>
        </w:r>
      </w:ins>
      <w:ins w:id="208" w:author="" w:date="2018-08-03T09:46:00Z">
        <w:r w:rsidRPr="00AF7B3F">
          <w:t>.</w:t>
        </w:r>
      </w:ins>
      <w:ins w:id="209" w:author="" w:date="2018-09-13T14:44:00Z">
        <w:r w:rsidRPr="00AF7B3F">
          <w:rPr>
            <w:sz w:val="16"/>
            <w:szCs w:val="16"/>
            <w:lang w:val="fr-CH"/>
          </w:rPr>
          <w:t>     </w:t>
        </w:r>
        <w:r w:rsidRPr="00AF7B3F">
          <w:rPr>
            <w:sz w:val="16"/>
            <w:szCs w:val="16"/>
          </w:rPr>
          <w:t>(CMR-19)</w:t>
        </w:r>
      </w:ins>
    </w:p>
  </w:footnote>
  <w:footnote w:id="11">
    <w:p w14:paraId="007DBD0E" w14:textId="77777777" w:rsidR="00E555B4" w:rsidRDefault="00A04700"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w:t>
      </w:r>
      <w:r w:rsidRPr="00B96508">
        <w:rPr>
          <w:rStyle w:val="Artdef"/>
          <w:b w:val="0"/>
          <w:color w:val="000000"/>
          <w:lang w:val="fr-CH"/>
        </w:rPr>
        <w:t>Voir également la</w:t>
      </w:r>
      <w:r>
        <w:rPr>
          <w:rStyle w:val="Artdef"/>
          <w:bCs/>
          <w:color w:val="000000"/>
          <w:lang w:val="fr-CH"/>
        </w:rPr>
        <w:t xml:space="preserve"> </w:t>
      </w:r>
      <w:r w:rsidRPr="00B96508">
        <w:rPr>
          <w:rStyle w:val="Artdef"/>
          <w:b w:val="0"/>
          <w:color w:val="000000"/>
          <w:lang w:val="fr-CH"/>
        </w:rPr>
        <w:t>Résolution</w:t>
      </w:r>
      <w:r>
        <w:rPr>
          <w:rStyle w:val="Artdef"/>
          <w:bCs/>
          <w:color w:val="000000"/>
          <w:lang w:val="fr-CH"/>
        </w:rPr>
        <w:t>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72CA6AFE" w14:textId="77777777" w:rsidR="00E555B4" w:rsidRDefault="00A04700"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12">
    <w:p w14:paraId="5A779938" w14:textId="77777777" w:rsidR="00E555B4" w:rsidRDefault="00A04700"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13">
    <w:p w14:paraId="393DE3F8" w14:textId="331BBF2A" w:rsidR="007A7EEB" w:rsidRPr="00BD7124" w:rsidRDefault="00A04700" w:rsidP="007132E2">
      <w:pPr>
        <w:pStyle w:val="FootnoteText"/>
        <w:rPr>
          <w:lang w:val="fr-CH"/>
        </w:rPr>
      </w:pPr>
      <w:ins w:id="220" w:author="" w:date="2018-07-10T11:46:00Z">
        <w:r w:rsidRPr="00AF7B3F">
          <w:rPr>
            <w:rStyle w:val="FootnoteReference"/>
          </w:rPr>
          <w:t>YY</w:t>
        </w:r>
        <w:r w:rsidRPr="00AF7B3F">
          <w:tab/>
        </w:r>
      </w:ins>
      <w:ins w:id="221" w:author="" w:date="2018-08-03T09:53:00Z">
        <w:r w:rsidRPr="00AF7B3F">
          <w:t>S</w:t>
        </w:r>
      </w:ins>
      <w:ins w:id="222" w:author="" w:date="2018-08-06T12:32:00Z">
        <w:r w:rsidRPr="00AF7B3F">
          <w:t>'</w:t>
        </w:r>
      </w:ins>
      <w:ins w:id="223" w:author="" w:date="2018-08-03T09:53:00Z">
        <w:r w:rsidRPr="00AF7B3F">
          <w:t xml:space="preserve">il </w:t>
        </w:r>
      </w:ins>
      <w:ins w:id="224" w:author="" w:date="2018-08-06T12:32:00Z">
        <w:r w:rsidRPr="00AF7B3F">
          <w:t>existe</w:t>
        </w:r>
      </w:ins>
      <w:ins w:id="225" w:author="" w:date="2018-08-03T09:53:00Z">
        <w:r w:rsidRPr="00AF7B3F">
          <w:t xml:space="preserve"> des réseaux affectés </w:t>
        </w:r>
      </w:ins>
      <w:ins w:id="226" w:author="" w:date="2018-08-06T12:33:00Z">
        <w:r w:rsidRPr="00AF7B3F">
          <w:t xml:space="preserve">restants </w:t>
        </w:r>
      </w:ins>
      <w:ins w:id="227" w:author="" w:date="2018-08-03T09:53:00Z">
        <w:r w:rsidRPr="00AF7B3F">
          <w:t>dont les assignations ont été inscrites dans la Liste avant la réception de la fiche de notification au titre du § </w:t>
        </w:r>
      </w:ins>
      <w:ins w:id="228" w:author="" w:date="2018-08-03T10:02:00Z">
        <w:r w:rsidRPr="00AF7B3F">
          <w:t>6.17</w:t>
        </w:r>
      </w:ins>
      <w:ins w:id="229" w:author="" w:date="2018-08-03T09:53:00Z">
        <w:r w:rsidRPr="00AF7B3F">
          <w:t xml:space="preserve">, le Bureau </w:t>
        </w:r>
      </w:ins>
      <w:ins w:id="230" w:author="" w:date="2018-08-06T12:33:00Z">
        <w:r w:rsidRPr="00AF7B3F">
          <w:t xml:space="preserve">applique </w:t>
        </w:r>
      </w:ins>
      <w:ins w:id="231" w:author="" w:date="2018-08-03T09:53:00Z">
        <w:r w:rsidRPr="00AF7B3F">
          <w:t>la méthode de l</w:t>
        </w:r>
      </w:ins>
      <w:ins w:id="232" w:author="" w:date="2018-08-06T12:32:00Z">
        <w:r w:rsidRPr="00AF7B3F">
          <w:t>'</w:t>
        </w:r>
      </w:ins>
      <w:ins w:id="233" w:author="" w:date="2018-08-03T09:53:00Z">
        <w:r w:rsidRPr="00AF7B3F">
          <w:t>Annexe </w:t>
        </w:r>
      </w:ins>
      <w:ins w:id="234" w:author="" w:date="2018-08-03T10:02:00Z">
        <w:r w:rsidRPr="00AF7B3F">
          <w:t>4</w:t>
        </w:r>
      </w:ins>
      <w:ins w:id="235" w:author="" w:date="2018-08-03T09:53:00Z">
        <w:r w:rsidRPr="00AF7B3F">
          <w:t xml:space="preserve"> pour </w:t>
        </w:r>
      </w:ins>
      <w:ins w:id="236" w:author="" w:date="2018-08-06T12:33:00Z">
        <w:r w:rsidRPr="00AF7B3F">
          <w:t>déterminer</w:t>
        </w:r>
      </w:ins>
      <w:ins w:id="237" w:author="" w:date="2018-08-03T09:53:00Z">
        <w:r w:rsidRPr="00AF7B3F">
          <w:t xml:space="preserve"> </w:t>
        </w:r>
      </w:ins>
      <w:ins w:id="238" w:author="" w:date="2018-08-03T10:19:00Z">
        <w:r w:rsidRPr="00AF7B3F">
          <w:t xml:space="preserve">en outre </w:t>
        </w:r>
      </w:ins>
      <w:ins w:id="239" w:author="" w:date="2018-08-03T09:53:00Z">
        <w:r w:rsidRPr="00AF7B3F">
          <w:t xml:space="preserve">si les assignations </w:t>
        </w:r>
      </w:ins>
      <w:ins w:id="240" w:author="Chanavat, Emilie" w:date="2019-09-27T14:28:00Z">
        <w:r w:rsidR="004A1CB3">
          <w:t xml:space="preserve">correspondantes restantes </w:t>
        </w:r>
      </w:ins>
      <w:ins w:id="241" w:author="" w:date="2018-08-03T09:53:00Z">
        <w:r w:rsidRPr="00AF7B3F">
          <w:t>figurant dans la Liste sont toujours considérées comme étant affectées. Le Bureau mène l</w:t>
        </w:r>
      </w:ins>
      <w:ins w:id="242" w:author="" w:date="2018-08-06T12:32:00Z">
        <w:r w:rsidRPr="00AF7B3F">
          <w:t>'</w:t>
        </w:r>
      </w:ins>
      <w:ins w:id="243" w:author="" w:date="2018-08-03T09:53:00Z">
        <w:r w:rsidRPr="00AF7B3F">
          <w:t xml:space="preserve">examen </w:t>
        </w:r>
      </w:ins>
      <w:ins w:id="244" w:author="" w:date="2018-08-06T12:33:00Z">
        <w:r w:rsidRPr="00AF7B3F">
          <w:t xml:space="preserve">par rapport </w:t>
        </w:r>
      </w:ins>
      <w:ins w:id="245" w:author="" w:date="2018-08-03T09:53:00Z">
        <w:r w:rsidRPr="00AF7B3F">
          <w:t xml:space="preserve">à ces réseaux affectés restants de façon indépendante, en utilisant les données de la base de données de référence </w:t>
        </w:r>
      </w:ins>
      <w:ins w:id="246" w:author="" w:date="2018-08-03T10:03:00Z">
        <w:r w:rsidRPr="00AF7B3F">
          <w:t>de l</w:t>
        </w:r>
      </w:ins>
      <w:ins w:id="247" w:author="Unknown" w:date="2018-08-06T14:24:00Z">
        <w:r w:rsidRPr="00AF7B3F">
          <w:t>'</w:t>
        </w:r>
      </w:ins>
      <w:ins w:id="248" w:author="" w:date="2018-08-03T09:53:00Z">
        <w:r w:rsidRPr="00AF7B3F">
          <w:t xml:space="preserve">Appendice </w:t>
        </w:r>
        <w:r w:rsidRPr="00D45EE1">
          <w:rPr>
            <w:rStyle w:val="Appref"/>
            <w:b/>
          </w:rPr>
          <w:t>30</w:t>
        </w:r>
      </w:ins>
      <w:ins w:id="249" w:author="" w:date="2018-08-03T10:03:00Z">
        <w:r w:rsidRPr="00D45EE1">
          <w:rPr>
            <w:rStyle w:val="Appref"/>
            <w:b/>
          </w:rPr>
          <w:t>B</w:t>
        </w:r>
      </w:ins>
      <w:ins w:id="250" w:author="" w:date="2018-08-03T09:53:00Z">
        <w:r w:rsidRPr="00AF7B3F">
          <w:t xml:space="preserve"> correspondant à la Section spéciale </w:t>
        </w:r>
      </w:ins>
      <w:ins w:id="251" w:author="" w:date="2018-08-03T10:03:00Z">
        <w:r w:rsidRPr="00AF7B3F">
          <w:t xml:space="preserve">A6B </w:t>
        </w:r>
      </w:ins>
      <w:ins w:id="252" w:author="" w:date="2018-08-03T09:53:00Z">
        <w:r w:rsidRPr="00AF7B3F">
          <w:t>qui a été publiée au titre du § </w:t>
        </w:r>
      </w:ins>
      <w:ins w:id="253" w:author="" w:date="2018-08-03T10:03:00Z">
        <w:r w:rsidRPr="00AF7B3F">
          <w:t>6</w:t>
        </w:r>
      </w:ins>
      <w:ins w:id="254" w:author="" w:date="2018-08-03T09:53:00Z">
        <w:r w:rsidRPr="00AF7B3F">
          <w:t>.</w:t>
        </w:r>
      </w:ins>
      <w:ins w:id="255" w:author="" w:date="2018-08-03T10:03:00Z">
        <w:r w:rsidRPr="00AF7B3F">
          <w:t>23 ou</w:t>
        </w:r>
      </w:ins>
      <w:ins w:id="256" w:author="Unknown" w:date="2018-08-06T14:24:00Z">
        <w:r w:rsidRPr="00AF7B3F">
          <w:t> </w:t>
        </w:r>
      </w:ins>
      <w:ins w:id="257" w:author="" w:date="2018-08-03T10:03:00Z">
        <w:r w:rsidRPr="00AF7B3F">
          <w:t>6.25</w:t>
        </w:r>
      </w:ins>
      <w:ins w:id="258" w:author="" w:date="2018-08-03T09:53:00Z">
        <w:r w:rsidRPr="00AF7B3F">
          <w:t>.</w:t>
        </w:r>
      </w:ins>
      <w:ins w:id="259" w:author="" w:date="2018-09-13T14:44:00Z">
        <w:r w:rsidRPr="00AF7B3F">
          <w:rPr>
            <w:sz w:val="16"/>
            <w:szCs w:val="16"/>
            <w:lang w:val="fr-CH"/>
          </w:rPr>
          <w:t>     </w:t>
        </w:r>
        <w:r w:rsidRPr="00AF7B3F">
          <w:rPr>
            <w:sz w:val="16"/>
            <w:szCs w:val="16"/>
          </w:rPr>
          <w:t>(CMR-19)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AB5C" w14:textId="77777777" w:rsidR="004F1F8E" w:rsidRDefault="004F1F8E" w:rsidP="004F1F8E">
    <w:pPr>
      <w:pStyle w:val="Header"/>
    </w:pPr>
    <w:r>
      <w:fldChar w:fldCharType="begin"/>
    </w:r>
    <w:r>
      <w:instrText xml:space="preserve"> PAGE </w:instrText>
    </w:r>
    <w:r>
      <w:fldChar w:fldCharType="separate"/>
    </w:r>
    <w:r w:rsidR="00A130D6">
      <w:rPr>
        <w:noProof/>
      </w:rPr>
      <w:t>8</w:t>
    </w:r>
    <w:r>
      <w:fldChar w:fldCharType="end"/>
    </w:r>
  </w:p>
  <w:p w14:paraId="1436D7FE" w14:textId="77777777" w:rsidR="004F1F8E" w:rsidRDefault="004F1F8E" w:rsidP="00FD7AA3">
    <w:pPr>
      <w:pStyle w:val="Header"/>
    </w:pPr>
    <w:r>
      <w:t>CMR1</w:t>
    </w:r>
    <w:r w:rsidR="00FD7AA3">
      <w:t>9</w:t>
    </w:r>
    <w:r>
      <w:t>/</w:t>
    </w:r>
    <w:r w:rsidR="006A4B45">
      <w:t>11(Add.19)(Add.11)-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rand, Baptiste">
    <w15:presenceInfo w15:providerId="AD" w15:userId="S-1-5-21-8740799-900759487-1415713722-66842"/>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6F42"/>
    <w:rsid w:val="000A4755"/>
    <w:rsid w:val="000A55AE"/>
    <w:rsid w:val="000B2E0C"/>
    <w:rsid w:val="000B3D0C"/>
    <w:rsid w:val="000D487E"/>
    <w:rsid w:val="000D51AE"/>
    <w:rsid w:val="000E0779"/>
    <w:rsid w:val="000E35DF"/>
    <w:rsid w:val="001167B9"/>
    <w:rsid w:val="001267A0"/>
    <w:rsid w:val="0015203F"/>
    <w:rsid w:val="0015722D"/>
    <w:rsid w:val="00160C64"/>
    <w:rsid w:val="0018169B"/>
    <w:rsid w:val="0019352B"/>
    <w:rsid w:val="001960D0"/>
    <w:rsid w:val="001A11F6"/>
    <w:rsid w:val="001B7F10"/>
    <w:rsid w:val="001F17E8"/>
    <w:rsid w:val="002031A2"/>
    <w:rsid w:val="00204306"/>
    <w:rsid w:val="002051F5"/>
    <w:rsid w:val="00206B84"/>
    <w:rsid w:val="00232FD2"/>
    <w:rsid w:val="00255243"/>
    <w:rsid w:val="0026554E"/>
    <w:rsid w:val="002A4622"/>
    <w:rsid w:val="002A6F8F"/>
    <w:rsid w:val="002B17E5"/>
    <w:rsid w:val="002C0EBF"/>
    <w:rsid w:val="002C28A4"/>
    <w:rsid w:val="002D1F40"/>
    <w:rsid w:val="002D7E0A"/>
    <w:rsid w:val="0030280A"/>
    <w:rsid w:val="00315AFE"/>
    <w:rsid w:val="003606A6"/>
    <w:rsid w:val="0036650C"/>
    <w:rsid w:val="00393ACD"/>
    <w:rsid w:val="003A583E"/>
    <w:rsid w:val="003B17BF"/>
    <w:rsid w:val="003B37BA"/>
    <w:rsid w:val="003E112B"/>
    <w:rsid w:val="003E1D1C"/>
    <w:rsid w:val="003E7B05"/>
    <w:rsid w:val="003F3719"/>
    <w:rsid w:val="003F6F2D"/>
    <w:rsid w:val="00466211"/>
    <w:rsid w:val="00483196"/>
    <w:rsid w:val="004834A9"/>
    <w:rsid w:val="00494F3A"/>
    <w:rsid w:val="004A1CB3"/>
    <w:rsid w:val="004C3E50"/>
    <w:rsid w:val="004D01FC"/>
    <w:rsid w:val="004E28C3"/>
    <w:rsid w:val="004F1F8E"/>
    <w:rsid w:val="00512A32"/>
    <w:rsid w:val="005158FD"/>
    <w:rsid w:val="005343DA"/>
    <w:rsid w:val="005509BC"/>
    <w:rsid w:val="00560874"/>
    <w:rsid w:val="0058405E"/>
    <w:rsid w:val="00586CF2"/>
    <w:rsid w:val="00590036"/>
    <w:rsid w:val="005A7C75"/>
    <w:rsid w:val="005C3768"/>
    <w:rsid w:val="005C6C3F"/>
    <w:rsid w:val="00613635"/>
    <w:rsid w:val="0062093D"/>
    <w:rsid w:val="00637ECF"/>
    <w:rsid w:val="00647B59"/>
    <w:rsid w:val="00657148"/>
    <w:rsid w:val="00690C7B"/>
    <w:rsid w:val="006A4B45"/>
    <w:rsid w:val="006C7D96"/>
    <w:rsid w:val="006D4724"/>
    <w:rsid w:val="006F5FA2"/>
    <w:rsid w:val="0070076C"/>
    <w:rsid w:val="00701BAE"/>
    <w:rsid w:val="00721F04"/>
    <w:rsid w:val="00730E95"/>
    <w:rsid w:val="007426B9"/>
    <w:rsid w:val="00764342"/>
    <w:rsid w:val="00774362"/>
    <w:rsid w:val="00786598"/>
    <w:rsid w:val="00790C74"/>
    <w:rsid w:val="007A04E8"/>
    <w:rsid w:val="007B2C34"/>
    <w:rsid w:val="007F4EEB"/>
    <w:rsid w:val="00821AAB"/>
    <w:rsid w:val="00830086"/>
    <w:rsid w:val="00851625"/>
    <w:rsid w:val="00863C0A"/>
    <w:rsid w:val="008A3120"/>
    <w:rsid w:val="008A4006"/>
    <w:rsid w:val="008A4B97"/>
    <w:rsid w:val="008C34A8"/>
    <w:rsid w:val="008C5B8E"/>
    <w:rsid w:val="008C5DD5"/>
    <w:rsid w:val="008D41BE"/>
    <w:rsid w:val="008D58D3"/>
    <w:rsid w:val="008E3BC9"/>
    <w:rsid w:val="00920B83"/>
    <w:rsid w:val="00923064"/>
    <w:rsid w:val="00923A2E"/>
    <w:rsid w:val="00930FFD"/>
    <w:rsid w:val="00936D25"/>
    <w:rsid w:val="00941EA5"/>
    <w:rsid w:val="00964700"/>
    <w:rsid w:val="00966C16"/>
    <w:rsid w:val="0098732F"/>
    <w:rsid w:val="009A045F"/>
    <w:rsid w:val="009A6A2B"/>
    <w:rsid w:val="009B7D9D"/>
    <w:rsid w:val="009C7E7C"/>
    <w:rsid w:val="00A00473"/>
    <w:rsid w:val="00A03C9B"/>
    <w:rsid w:val="00A04700"/>
    <w:rsid w:val="00A130D6"/>
    <w:rsid w:val="00A159E5"/>
    <w:rsid w:val="00A37105"/>
    <w:rsid w:val="00A606C3"/>
    <w:rsid w:val="00A83B09"/>
    <w:rsid w:val="00A84541"/>
    <w:rsid w:val="00AB17F4"/>
    <w:rsid w:val="00AB60FC"/>
    <w:rsid w:val="00AC1F45"/>
    <w:rsid w:val="00AE36A0"/>
    <w:rsid w:val="00B00294"/>
    <w:rsid w:val="00B3749C"/>
    <w:rsid w:val="00B537AC"/>
    <w:rsid w:val="00B64FD0"/>
    <w:rsid w:val="00B96508"/>
    <w:rsid w:val="00BA5BD0"/>
    <w:rsid w:val="00BB1D82"/>
    <w:rsid w:val="00BB3D72"/>
    <w:rsid w:val="00BD51C5"/>
    <w:rsid w:val="00BD7124"/>
    <w:rsid w:val="00BF26E7"/>
    <w:rsid w:val="00C02647"/>
    <w:rsid w:val="00C232A0"/>
    <w:rsid w:val="00C53FCA"/>
    <w:rsid w:val="00C54C07"/>
    <w:rsid w:val="00C76BAF"/>
    <w:rsid w:val="00C814B9"/>
    <w:rsid w:val="00CB2C2F"/>
    <w:rsid w:val="00CC7E71"/>
    <w:rsid w:val="00CD516F"/>
    <w:rsid w:val="00CE1E9E"/>
    <w:rsid w:val="00D119A7"/>
    <w:rsid w:val="00D25FBA"/>
    <w:rsid w:val="00D32B28"/>
    <w:rsid w:val="00D41FA3"/>
    <w:rsid w:val="00D42954"/>
    <w:rsid w:val="00D45552"/>
    <w:rsid w:val="00D45EE1"/>
    <w:rsid w:val="00D66EAC"/>
    <w:rsid w:val="00D730DF"/>
    <w:rsid w:val="00D772F0"/>
    <w:rsid w:val="00D77BDC"/>
    <w:rsid w:val="00DC402B"/>
    <w:rsid w:val="00DE0932"/>
    <w:rsid w:val="00DE18E5"/>
    <w:rsid w:val="00E03A27"/>
    <w:rsid w:val="00E049F1"/>
    <w:rsid w:val="00E37A25"/>
    <w:rsid w:val="00E537FF"/>
    <w:rsid w:val="00E6539B"/>
    <w:rsid w:val="00E70A31"/>
    <w:rsid w:val="00E723A7"/>
    <w:rsid w:val="00EA3F38"/>
    <w:rsid w:val="00EA5AB6"/>
    <w:rsid w:val="00EC7615"/>
    <w:rsid w:val="00ED16AA"/>
    <w:rsid w:val="00ED6B8D"/>
    <w:rsid w:val="00EE3D7B"/>
    <w:rsid w:val="00EE4B7E"/>
    <w:rsid w:val="00EF012B"/>
    <w:rsid w:val="00EF662E"/>
    <w:rsid w:val="00F10064"/>
    <w:rsid w:val="00F148F1"/>
    <w:rsid w:val="00F375B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E240F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 w:type="paragraph" w:styleId="BalloonText">
    <w:name w:val="Balloon Text"/>
    <w:basedOn w:val="Normal"/>
    <w:link w:val="BalloonTextChar"/>
    <w:semiHidden/>
    <w:unhideWhenUsed/>
    <w:rsid w:val="00920B8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20B8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53AC8-5E0A-4799-A9D2-C3EEDB9F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D1824-4888-4331-8015-E77D1D538E4D}">
  <ds:schemaRefs>
    <ds:schemaRef ds:uri="http://purl.org/dc/terms/"/>
    <ds:schemaRef ds:uri="32a1a8c5-2265-4ebc-b7a0-2071e2c5c9bb"/>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C421EAF5-E98B-4900-93AE-6A7A4C61C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1746</Words>
  <Characters>9206</Characters>
  <Application>Microsoft Office Word</Application>
  <DocSecurity>0</DocSecurity>
  <Lines>158</Lines>
  <Paragraphs>61</Paragraphs>
  <ScaleCrop>false</ScaleCrop>
  <HeadingPairs>
    <vt:vector size="2" baseType="variant">
      <vt:variant>
        <vt:lpstr>Title</vt:lpstr>
      </vt:variant>
      <vt:variant>
        <vt:i4>1</vt:i4>
      </vt:variant>
    </vt:vector>
  </HeadingPairs>
  <TitlesOfParts>
    <vt:vector size="1" baseType="lpstr">
      <vt:lpstr>R16-WRC19-C-0011!A19-A11!MSW-F</vt:lpstr>
    </vt:vector>
  </TitlesOfParts>
  <Manager>Secrétariat général - Pool</Manager>
  <Company>Union internationale des télécommunications (UIT)</Company>
  <LinksUpToDate>false</LinksUpToDate>
  <CharactersWithSpaces>10891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R16-WRC19-C-0011!A19-A11!MSW-F</dc:title>
  <dc:subject>Conférence mondiale des radiocommunications - 2019</dc:subject>
  <dc:creator>Documents Proposals Manager (DPM)</dc:creator>
  <cp:keywords>DPM_v2019.9.20.1_prod</cp:keywords>
  <dc:description/>
  <cp:lastModifiedBy>Barbier, Marie-Claire</cp:lastModifiedBy>
  <cp:revision>15</cp:revision>
  <cp:lastPrinted>2019-09-30T09:04:00Z</cp:lastPrinted>
  <dcterms:created xsi:type="dcterms:W3CDTF">2019-09-27T12:10:00Z</dcterms:created>
  <dcterms:modified xsi:type="dcterms:W3CDTF">2019-09-30T09:04:00Z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