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8"/>
        <w:gridCol w:w="3114"/>
      </w:tblGrid>
      <w:tr w:rsidR="00280E04" w14:paraId="4D81D4F3" w14:textId="77777777" w:rsidTr="00691542">
        <w:trPr>
          <w:cantSplit/>
          <w:trHeight w:val="20"/>
        </w:trPr>
        <w:tc>
          <w:tcPr>
            <w:tcW w:w="6558" w:type="dxa"/>
          </w:tcPr>
          <w:p w14:paraId="4A53DB5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114" w:type="dxa"/>
          </w:tcPr>
          <w:p w14:paraId="0E116CA6" w14:textId="77777777" w:rsidR="00280E04" w:rsidRDefault="00A375BD" w:rsidP="00D44350">
            <w:pPr>
              <w:rPr>
                <w:rtl/>
                <w:lang w:bidi="ar-EG"/>
              </w:rPr>
            </w:pPr>
            <w:r>
              <w:rPr>
                <w:noProof/>
                <w:lang w:eastAsia="zh-CN"/>
              </w:rPr>
              <w:drawing>
                <wp:inline distT="0" distB="0" distL="0" distR="0" wp14:anchorId="00DAF957" wp14:editId="6B9C1E4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974287F" w14:textId="77777777" w:rsidTr="00691542">
        <w:trPr>
          <w:cantSplit/>
          <w:trHeight w:val="20"/>
        </w:trPr>
        <w:tc>
          <w:tcPr>
            <w:tcW w:w="6558" w:type="dxa"/>
            <w:tcBorders>
              <w:bottom w:val="single" w:sz="12" w:space="0" w:color="auto"/>
            </w:tcBorders>
          </w:tcPr>
          <w:p w14:paraId="08D35469" w14:textId="77777777" w:rsidR="00280E04" w:rsidRPr="00960962" w:rsidRDefault="00280E04" w:rsidP="00D44350">
            <w:pPr>
              <w:rPr>
                <w:rtl/>
                <w:lang w:bidi="ar-EG"/>
              </w:rPr>
            </w:pPr>
          </w:p>
        </w:tc>
        <w:tc>
          <w:tcPr>
            <w:tcW w:w="3114" w:type="dxa"/>
            <w:tcBorders>
              <w:bottom w:val="single" w:sz="12" w:space="0" w:color="auto"/>
            </w:tcBorders>
          </w:tcPr>
          <w:p w14:paraId="2E59E35D" w14:textId="77777777" w:rsidR="00280E04" w:rsidRPr="00A9645C" w:rsidRDefault="00280E04" w:rsidP="00D44350">
            <w:pPr>
              <w:rPr>
                <w:lang w:bidi="ar-EG"/>
              </w:rPr>
            </w:pPr>
          </w:p>
        </w:tc>
      </w:tr>
      <w:tr w:rsidR="00280E04" w14:paraId="35D29D6F" w14:textId="77777777" w:rsidTr="00691542">
        <w:trPr>
          <w:cantSplit/>
          <w:trHeight w:val="20"/>
        </w:trPr>
        <w:tc>
          <w:tcPr>
            <w:tcW w:w="6558" w:type="dxa"/>
            <w:tcBorders>
              <w:top w:val="single" w:sz="12" w:space="0" w:color="auto"/>
            </w:tcBorders>
          </w:tcPr>
          <w:p w14:paraId="08427572" w14:textId="77777777" w:rsidR="00280E04" w:rsidRPr="00BD6EF3" w:rsidRDefault="00280E04" w:rsidP="00A42709">
            <w:pPr>
              <w:pStyle w:val="Adress"/>
              <w:framePr w:hSpace="0" w:wrap="auto" w:xAlign="left" w:yAlign="inline"/>
              <w:spacing w:before="0"/>
              <w:rPr>
                <w:rtl/>
              </w:rPr>
            </w:pPr>
          </w:p>
        </w:tc>
        <w:tc>
          <w:tcPr>
            <w:tcW w:w="3114" w:type="dxa"/>
            <w:tcBorders>
              <w:top w:val="single" w:sz="12" w:space="0" w:color="auto"/>
            </w:tcBorders>
          </w:tcPr>
          <w:p w14:paraId="78A039B4" w14:textId="77777777" w:rsidR="00280E04" w:rsidRPr="00BD6EF3" w:rsidRDefault="00280E04" w:rsidP="00A42709">
            <w:pPr>
              <w:pStyle w:val="Adress"/>
              <w:framePr w:hSpace="0" w:wrap="auto" w:xAlign="left" w:yAlign="inline"/>
              <w:spacing w:before="0"/>
            </w:pPr>
          </w:p>
        </w:tc>
      </w:tr>
      <w:tr w:rsidR="00A809E8" w:rsidRPr="00F545E4" w14:paraId="6C427A10" w14:textId="77777777" w:rsidTr="00691542">
        <w:trPr>
          <w:cantSplit/>
        </w:trPr>
        <w:tc>
          <w:tcPr>
            <w:tcW w:w="6558" w:type="dxa"/>
          </w:tcPr>
          <w:p w14:paraId="6BEE8CA7" w14:textId="77777777" w:rsidR="00A809E8" w:rsidRPr="00691542" w:rsidRDefault="00F55E63" w:rsidP="00A42709">
            <w:pPr>
              <w:pStyle w:val="Committee"/>
              <w:framePr w:hSpace="0" w:wrap="auto" w:hAnchor="text" w:yAlign="inline"/>
              <w:bidi/>
              <w:spacing w:before="0"/>
              <w:rPr>
                <w:rFonts w:ascii="Verdana" w:hAnsi="Verdana"/>
                <w:sz w:val="19"/>
                <w:szCs w:val="30"/>
                <w:rtl/>
              </w:rPr>
            </w:pPr>
            <w:r w:rsidRPr="00691542">
              <w:rPr>
                <w:rFonts w:ascii="Verdana" w:hAnsi="Verdana"/>
                <w:sz w:val="19"/>
                <w:szCs w:val="30"/>
                <w:rtl/>
                <w:lang w:val="en-US" w:bidi="ar-EG"/>
              </w:rPr>
              <w:t>الجلسة العامة</w:t>
            </w:r>
          </w:p>
        </w:tc>
        <w:tc>
          <w:tcPr>
            <w:tcW w:w="3114" w:type="dxa"/>
            <w:vAlign w:val="center"/>
          </w:tcPr>
          <w:p w14:paraId="3996E0FF" w14:textId="72447AA0" w:rsidR="00691542" w:rsidRPr="00691542" w:rsidRDefault="00691542" w:rsidP="00A42709">
            <w:pPr>
              <w:pStyle w:val="Adress"/>
              <w:framePr w:hSpace="0" w:wrap="auto" w:xAlign="left" w:yAlign="inline"/>
              <w:spacing w:before="0"/>
              <w:rPr>
                <w:rFonts w:ascii="Verdana" w:hAnsi="Verdana"/>
                <w:rtl/>
              </w:rPr>
            </w:pPr>
            <w:r>
              <w:rPr>
                <w:rFonts w:ascii="Verdana" w:eastAsia="SimSun" w:hAnsi="Verdana" w:hint="cs"/>
                <w:rtl/>
              </w:rPr>
              <w:t xml:space="preserve">الإضافة </w:t>
            </w:r>
            <w:r>
              <w:rPr>
                <w:rFonts w:ascii="Verdana" w:eastAsia="SimSun" w:hAnsi="Verdana"/>
              </w:rPr>
              <w:t>2</w:t>
            </w:r>
            <w:r>
              <w:rPr>
                <w:rFonts w:ascii="Verdana" w:eastAsia="SimSun" w:hAnsi="Verdana"/>
                <w:rtl/>
              </w:rPr>
              <w:br/>
            </w:r>
            <w:r>
              <w:rPr>
                <w:rFonts w:ascii="Verdana" w:eastAsia="SimSun" w:hAnsi="Verdana" w:hint="cs"/>
                <w:rtl/>
              </w:rPr>
              <w:t xml:space="preserve">للوثيقة </w:t>
            </w:r>
            <w:r>
              <w:rPr>
                <w:rFonts w:ascii="Verdana" w:eastAsia="SimSun" w:hAnsi="Verdana"/>
              </w:rPr>
              <w:t>11(Add.</w:t>
            </w:r>
            <w:proofErr w:type="gramStart"/>
            <w:r>
              <w:rPr>
                <w:rFonts w:ascii="Verdana" w:eastAsia="SimSun" w:hAnsi="Verdana"/>
              </w:rPr>
              <w:t>19)(</w:t>
            </w:r>
            <w:proofErr w:type="gramEnd"/>
            <w:r>
              <w:rPr>
                <w:rFonts w:ascii="Verdana" w:eastAsia="SimSun" w:hAnsi="Verdana"/>
              </w:rPr>
              <w:t>Add.3)-A</w:t>
            </w:r>
          </w:p>
        </w:tc>
      </w:tr>
      <w:tr w:rsidR="00A809E8" w:rsidRPr="00F545E4" w14:paraId="6E1497AD" w14:textId="77777777" w:rsidTr="00691542">
        <w:trPr>
          <w:cantSplit/>
        </w:trPr>
        <w:tc>
          <w:tcPr>
            <w:tcW w:w="6558" w:type="dxa"/>
          </w:tcPr>
          <w:p w14:paraId="4D51B970" w14:textId="77777777" w:rsidR="00A809E8" w:rsidRPr="00691542" w:rsidRDefault="00A809E8" w:rsidP="00A42709">
            <w:pPr>
              <w:pStyle w:val="Adress"/>
              <w:framePr w:hSpace="0" w:wrap="auto" w:xAlign="left" w:yAlign="inline"/>
              <w:spacing w:before="0"/>
              <w:rPr>
                <w:rFonts w:ascii="Verdana" w:hAnsi="Verdana"/>
                <w:rtl/>
              </w:rPr>
            </w:pPr>
          </w:p>
        </w:tc>
        <w:tc>
          <w:tcPr>
            <w:tcW w:w="3114" w:type="dxa"/>
            <w:vAlign w:val="center"/>
          </w:tcPr>
          <w:p w14:paraId="5343E0D1" w14:textId="77777777" w:rsidR="00A809E8" w:rsidRPr="00691542" w:rsidRDefault="00F55E63" w:rsidP="00A42709">
            <w:pPr>
              <w:pStyle w:val="Adress"/>
              <w:framePr w:hSpace="0" w:wrap="auto" w:xAlign="left" w:yAlign="inline"/>
              <w:spacing w:before="0"/>
              <w:rPr>
                <w:rFonts w:ascii="Verdana" w:hAnsi="Verdana"/>
                <w:rtl/>
              </w:rPr>
            </w:pPr>
            <w:r w:rsidRPr="00691542">
              <w:rPr>
                <w:rFonts w:ascii="Verdana" w:eastAsia="SimSun" w:hAnsi="Verdana"/>
              </w:rPr>
              <w:t>13</w:t>
            </w:r>
            <w:r w:rsidRPr="00691542">
              <w:rPr>
                <w:rFonts w:ascii="Verdana" w:eastAsia="SimSun" w:hAnsi="Verdana"/>
                <w:rtl/>
              </w:rPr>
              <w:t xml:space="preserve"> سبتمبر </w:t>
            </w:r>
            <w:r w:rsidRPr="00691542">
              <w:rPr>
                <w:rFonts w:ascii="Verdana" w:eastAsia="SimSun" w:hAnsi="Verdana"/>
              </w:rPr>
              <w:t>2019</w:t>
            </w:r>
          </w:p>
        </w:tc>
      </w:tr>
      <w:tr w:rsidR="00A809E8" w:rsidRPr="00F545E4" w14:paraId="78B9C689" w14:textId="77777777" w:rsidTr="00691542">
        <w:trPr>
          <w:cantSplit/>
        </w:trPr>
        <w:tc>
          <w:tcPr>
            <w:tcW w:w="6558" w:type="dxa"/>
          </w:tcPr>
          <w:p w14:paraId="270BBB50" w14:textId="77777777" w:rsidR="00A809E8" w:rsidRPr="00691542" w:rsidRDefault="00A809E8" w:rsidP="00A42709">
            <w:pPr>
              <w:pStyle w:val="Adress"/>
              <w:framePr w:hSpace="0" w:wrap="auto" w:xAlign="left" w:yAlign="inline"/>
              <w:spacing w:before="0"/>
              <w:rPr>
                <w:rFonts w:ascii="Verdana" w:eastAsia="SimSun" w:hAnsi="Verdana"/>
              </w:rPr>
            </w:pPr>
          </w:p>
        </w:tc>
        <w:tc>
          <w:tcPr>
            <w:tcW w:w="3114" w:type="dxa"/>
            <w:vAlign w:val="center"/>
          </w:tcPr>
          <w:p w14:paraId="081DC275" w14:textId="188E8191" w:rsidR="00A809E8" w:rsidRPr="00691542" w:rsidRDefault="00F55E63" w:rsidP="00A42709">
            <w:pPr>
              <w:pStyle w:val="Adress"/>
              <w:framePr w:hSpace="0" w:wrap="auto" w:xAlign="left" w:yAlign="inline"/>
              <w:spacing w:before="0"/>
              <w:rPr>
                <w:rFonts w:ascii="Verdana" w:eastAsia="SimSun" w:hAnsi="Verdana"/>
              </w:rPr>
            </w:pPr>
            <w:r w:rsidRPr="00691542">
              <w:rPr>
                <w:rFonts w:ascii="Verdana" w:hAnsi="Verdana"/>
                <w:rtl/>
              </w:rPr>
              <w:t>الأصل: بالإنكليزية</w:t>
            </w:r>
            <w:r w:rsidR="00691542">
              <w:rPr>
                <w:rFonts w:ascii="Verdana" w:hAnsi="Verdana" w:hint="cs"/>
                <w:rtl/>
              </w:rPr>
              <w:t>/بالإسبانية</w:t>
            </w:r>
          </w:p>
        </w:tc>
      </w:tr>
      <w:tr w:rsidR="00764079" w14:paraId="1B0D27DD" w14:textId="77777777" w:rsidTr="00F55E63">
        <w:trPr>
          <w:cantSplit/>
        </w:trPr>
        <w:tc>
          <w:tcPr>
            <w:tcW w:w="9672" w:type="dxa"/>
            <w:gridSpan w:val="2"/>
          </w:tcPr>
          <w:p w14:paraId="0A027347" w14:textId="77777777" w:rsidR="00764079" w:rsidRDefault="00764079" w:rsidP="00A42709">
            <w:pPr>
              <w:pStyle w:val="Adress"/>
              <w:framePr w:hSpace="0" w:wrap="auto" w:xAlign="left" w:yAlign="inline"/>
              <w:spacing w:before="0"/>
              <w:rPr>
                <w:rFonts w:eastAsia="SimSun" w:hint="eastAsia"/>
              </w:rPr>
            </w:pPr>
          </w:p>
        </w:tc>
      </w:tr>
      <w:tr w:rsidR="00764079" w14:paraId="542A340E" w14:textId="77777777" w:rsidTr="00F55E63">
        <w:trPr>
          <w:cantSplit/>
        </w:trPr>
        <w:tc>
          <w:tcPr>
            <w:tcW w:w="9672" w:type="dxa"/>
            <w:gridSpan w:val="2"/>
          </w:tcPr>
          <w:p w14:paraId="62BEFE2F" w14:textId="7911A1D7" w:rsidR="00764079" w:rsidRPr="00E621A3" w:rsidRDefault="00F55E63" w:rsidP="00F55E63">
            <w:pPr>
              <w:pStyle w:val="Source"/>
              <w:rPr>
                <w:rtl/>
              </w:rPr>
            </w:pPr>
            <w:r w:rsidRPr="00F55E63">
              <w:rPr>
                <w:rtl/>
              </w:rPr>
              <w:t xml:space="preserve">الدول الأعضاء في لجنة البلدان الأمريكية للاتصالات </w:t>
            </w:r>
            <w:r w:rsidR="00691542" w:rsidRPr="00765403">
              <w:t>(CITEL)</w:t>
            </w:r>
          </w:p>
        </w:tc>
      </w:tr>
      <w:tr w:rsidR="00764079" w14:paraId="30C37743" w14:textId="77777777" w:rsidTr="00F55E63">
        <w:trPr>
          <w:cantSplit/>
        </w:trPr>
        <w:tc>
          <w:tcPr>
            <w:tcW w:w="9672" w:type="dxa"/>
            <w:gridSpan w:val="2"/>
          </w:tcPr>
          <w:p w14:paraId="721BD4E6" w14:textId="2FE43FEF" w:rsidR="00764079" w:rsidRPr="00BD6EF3" w:rsidRDefault="00691542" w:rsidP="00F55E63">
            <w:pPr>
              <w:pStyle w:val="Title1"/>
              <w:spacing w:before="240"/>
              <w:rPr>
                <w:rtl/>
              </w:rPr>
            </w:pPr>
            <w:r>
              <w:rPr>
                <w:rFonts w:hint="cs"/>
                <w:rtl/>
              </w:rPr>
              <w:t>مقترحات بشأن أعمال المؤتمر</w:t>
            </w:r>
          </w:p>
        </w:tc>
      </w:tr>
      <w:tr w:rsidR="00764079" w14:paraId="38EF00A0" w14:textId="77777777" w:rsidTr="00F55E63">
        <w:trPr>
          <w:cantSplit/>
        </w:trPr>
        <w:tc>
          <w:tcPr>
            <w:tcW w:w="9672" w:type="dxa"/>
            <w:gridSpan w:val="2"/>
          </w:tcPr>
          <w:p w14:paraId="55C31AFB" w14:textId="77777777" w:rsidR="00764079" w:rsidRPr="00BD6EF3" w:rsidRDefault="00764079" w:rsidP="00F55E63">
            <w:pPr>
              <w:pStyle w:val="Title2"/>
              <w:rPr>
                <w:rtl/>
              </w:rPr>
            </w:pPr>
          </w:p>
        </w:tc>
      </w:tr>
      <w:tr w:rsidR="00764079" w14:paraId="15913C26" w14:textId="77777777" w:rsidTr="00F55E63">
        <w:trPr>
          <w:cantSplit/>
        </w:trPr>
        <w:tc>
          <w:tcPr>
            <w:tcW w:w="9672" w:type="dxa"/>
            <w:gridSpan w:val="2"/>
          </w:tcPr>
          <w:p w14:paraId="43F7D41D" w14:textId="4B64AC5B" w:rsidR="00764079" w:rsidRPr="00AF0541" w:rsidRDefault="00DB4CC9" w:rsidP="00F55E63">
            <w:pPr>
              <w:pStyle w:val="Agendaitem"/>
              <w:rPr>
                <w:lang w:val="en-US" w:bidi="ar-SA"/>
              </w:rPr>
            </w:pPr>
            <w:r>
              <w:rPr>
                <w:rtl/>
                <w:lang w:val="en-US"/>
              </w:rPr>
              <w:t>بند جدول الأعمال</w:t>
            </w:r>
            <w:r w:rsidR="00691542">
              <w:rPr>
                <w:rFonts w:hint="cs"/>
                <w:rtl/>
                <w:lang w:val="en-US"/>
              </w:rPr>
              <w:t xml:space="preserve"> </w:t>
            </w:r>
            <w:r w:rsidR="00DB0891">
              <w:rPr>
                <w:lang w:val="en-US"/>
              </w:rPr>
              <w:t>7</w:t>
            </w:r>
            <w:r w:rsidR="00691542">
              <w:rPr>
                <w:lang w:val="en-US"/>
              </w:rPr>
              <w:t>(C)</w:t>
            </w:r>
          </w:p>
        </w:tc>
      </w:tr>
    </w:tbl>
    <w:p w14:paraId="7FBD2896" w14:textId="77777777" w:rsidR="001D597A" w:rsidRPr="007E63A1" w:rsidRDefault="00691542"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w:t>
      </w:r>
      <w:r w:rsidRPr="00140B01">
        <w:rPr>
          <w:rFonts w:eastAsia="SimSun" w:hint="cs"/>
          <w:spacing w:val="2"/>
          <w:rtl/>
          <w:lang w:eastAsia="zh-CN"/>
        </w:rPr>
        <w:t>لمؤتمر</w:t>
      </w:r>
      <w:r w:rsidRPr="00140B01">
        <w:rPr>
          <w:rFonts w:eastAsia="SimSun" w:hint="eastAsia"/>
          <w:spacing w:val="2"/>
          <w:rtl/>
          <w:lang w:eastAsia="zh-CN"/>
        </w:rPr>
        <w:t> </w:t>
      </w:r>
      <w:r w:rsidRPr="00140B01">
        <w:rPr>
          <w:rFonts w:eastAsia="SimSun" w:hint="cs"/>
          <w:spacing w:val="2"/>
          <w:rtl/>
          <w:lang w:eastAsia="zh-CN"/>
        </w:rPr>
        <w:t xml:space="preserve">المندوبين المفوضين، بشأن "إجراءات النشر المسبق والتنسيق والتبليغ والتسجيل لتخصيصات التردد للشبكات </w:t>
      </w:r>
      <w:proofErr w:type="spellStart"/>
      <w:r w:rsidRPr="00140B01">
        <w:rPr>
          <w:rFonts w:eastAsia="SimSun" w:hint="cs"/>
          <w:spacing w:val="2"/>
          <w:rtl/>
          <w:lang w:eastAsia="zh-CN"/>
        </w:rPr>
        <w:t>الساتلية</w:t>
      </w:r>
      <w:proofErr w:type="spellEnd"/>
      <w:r w:rsidRPr="00140B01">
        <w:rPr>
          <w:rFonts w:eastAsia="SimSun" w:hint="cs"/>
          <w:spacing w:val="2"/>
          <w:rtl/>
          <w:lang w:eastAsia="zh-CN"/>
        </w:rPr>
        <w:t>"، وفقاً للقرار</w:t>
      </w:r>
      <w:r w:rsidRPr="00140B01">
        <w:rPr>
          <w:rFonts w:eastAsia="SimSun" w:hint="eastAsia"/>
          <w:spacing w:val="2"/>
          <w:rtl/>
          <w:lang w:eastAsia="zh-CN"/>
        </w:rPr>
        <w:t> </w:t>
      </w:r>
      <w:r w:rsidRPr="00140B01">
        <w:rPr>
          <w:rFonts w:eastAsia="SimSun"/>
          <w:b/>
          <w:bCs/>
          <w:spacing w:val="2"/>
          <w:lang w:eastAsia="zh-CN" w:bidi="ar-SY"/>
        </w:rPr>
        <w:t>86 (Rev.WRC</w:t>
      </w:r>
      <w:r w:rsidRPr="00140B01">
        <w:rPr>
          <w:rFonts w:eastAsia="SimSun"/>
          <w:b/>
          <w:bCs/>
          <w:spacing w:val="2"/>
          <w:lang w:eastAsia="zh-CN" w:bidi="ar-SY"/>
        </w:rPr>
        <w:noBreakHyphen/>
        <w:t>07)</w:t>
      </w:r>
      <w:r w:rsidRPr="00140B01">
        <w:rPr>
          <w:rFonts w:eastAsia="SimSun" w:hint="cs"/>
          <w:spacing w:val="2"/>
          <w:rtl/>
          <w:lang w:eastAsia="zh-CN"/>
        </w:rPr>
        <w:t xml:space="preserve"> تيسيراً للاستخدام الرشيد والفعّال والاقتصادي للترددات الراديوية وأي مدارات مرتبطة بها، بما</w:t>
      </w:r>
      <w:r w:rsidRPr="00723691">
        <w:rPr>
          <w:rFonts w:eastAsia="SimSun" w:hint="cs"/>
          <w:rtl/>
          <w:lang w:eastAsia="zh-CN"/>
        </w:rPr>
        <w:t xml:space="preserve">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16CAF7D5" w14:textId="3DE98273" w:rsidR="001D597A" w:rsidRPr="007E63A1" w:rsidRDefault="00DB0891" w:rsidP="00776464">
      <w:pPr>
        <w:rPr>
          <w:rFonts w:eastAsia="SimSun"/>
          <w:szCs w:val="22"/>
          <w:rtl/>
          <w:lang w:bidi="ar-SY"/>
        </w:rPr>
      </w:pPr>
      <w:r>
        <w:rPr>
          <w:lang w:bidi="ar-EG"/>
        </w:rPr>
        <w:t>7</w:t>
      </w:r>
      <w:r w:rsidR="00691542">
        <w:rPr>
          <w:lang w:bidi="ar-EG"/>
        </w:rPr>
        <w:t>(C)</w:t>
      </w:r>
      <w:r w:rsidR="00691542">
        <w:rPr>
          <w:rFonts w:hint="cs"/>
          <w:rtl/>
        </w:rPr>
        <w:tab/>
      </w:r>
      <w:r w:rsidR="00691542" w:rsidRPr="00385BA5">
        <w:rPr>
          <w:rtl/>
          <w:lang w:bidi="ar-EG"/>
        </w:rPr>
        <w:t xml:space="preserve">المسألة </w:t>
      </w:r>
      <w:r w:rsidR="00691542" w:rsidRPr="00385BA5">
        <w:rPr>
          <w:lang w:bidi="ar-EG"/>
        </w:rPr>
        <w:t>C</w:t>
      </w:r>
      <w:r w:rsidR="00691542" w:rsidRPr="00385BA5">
        <w:rPr>
          <w:rtl/>
          <w:lang w:bidi="ar-EG"/>
        </w:rPr>
        <w:t xml:space="preserve"> - مسائل تحقق توافق الآراء بشأنها في قطاع الاتصالات الراديوية وجرى تحديد أسلوب واحد لتناولها</w:t>
      </w:r>
    </w:p>
    <w:p w14:paraId="35BDF142" w14:textId="4A0D58B1" w:rsidR="00691542" w:rsidRDefault="00691542" w:rsidP="00691542">
      <w:pPr>
        <w:rPr>
          <w:lang w:bidi="ar-EG"/>
        </w:rPr>
      </w:pPr>
      <w:r w:rsidRPr="00140B01">
        <w:rPr>
          <w:spacing w:val="-6"/>
          <w:rtl/>
          <w:lang w:bidi="ar-EG"/>
        </w:rPr>
        <w:t xml:space="preserve">تمثل المسألة </w:t>
      </w:r>
      <w:r w:rsidRPr="00140B01">
        <w:rPr>
          <w:spacing w:val="-6"/>
          <w:lang w:bidi="ar-EG"/>
        </w:rPr>
        <w:t>C</w:t>
      </w:r>
      <w:r w:rsidRPr="00140B01">
        <w:rPr>
          <w:spacing w:val="-6"/>
          <w:rtl/>
          <w:lang w:bidi="ar-EG"/>
        </w:rPr>
        <w:t xml:space="preserve"> مجموعة من عدة موضوعات مختلفة تعد ذات طابع بسيط وتحقق توافق الآراء بشأنها بالفعل داخل قطاع الاتصالات الراديوية.</w:t>
      </w:r>
      <w:r w:rsidRPr="006C0670">
        <w:rPr>
          <w:rtl/>
          <w:lang w:bidi="ar-EG"/>
        </w:rPr>
        <w:t xml:space="preserve"> وتتناول المسائل قضايا مثل حل مشاكل أوجه عدم الاتساق في الأحكام التنظيمية، أو توضيح بعض الممارسات الحالية، أو زيادة الشفافية في العملية التنظيمية. وتُرقم المسائل على نحو منفصل في الأقسام التالية.</w:t>
      </w:r>
    </w:p>
    <w:p w14:paraId="03926B3E" w14:textId="31F2C939" w:rsidR="002F3E46" w:rsidRDefault="00691542" w:rsidP="00691542">
      <w:pPr>
        <w:pStyle w:val="Title4"/>
        <w:rPr>
          <w:rtl/>
        </w:rPr>
      </w:pPr>
      <w:r w:rsidRPr="00765403">
        <w:rPr>
          <w:rFonts w:hint="cs"/>
          <w:rtl/>
        </w:rPr>
        <w:lastRenderedPageBreak/>
        <w:t xml:space="preserve">المسألة </w:t>
      </w:r>
      <w:r w:rsidRPr="00765403">
        <w:t>C2</w:t>
      </w:r>
    </w:p>
    <w:p w14:paraId="4A1E5DEF" w14:textId="7EB8BF0C" w:rsidR="00691542" w:rsidRDefault="00691542" w:rsidP="00691542">
      <w:pPr>
        <w:pStyle w:val="Headingb"/>
        <w:rPr>
          <w:rtl/>
        </w:rPr>
      </w:pPr>
      <w:r>
        <w:rPr>
          <w:rFonts w:hint="cs"/>
          <w:rtl/>
        </w:rPr>
        <w:t>خلفية</w:t>
      </w:r>
    </w:p>
    <w:p w14:paraId="0FBA8802" w14:textId="18C690DF" w:rsidR="00691542" w:rsidRDefault="00691542" w:rsidP="00691542">
      <w:pPr>
        <w:keepNext/>
        <w:keepLines/>
        <w:rPr>
          <w:lang w:bidi="ar-EG"/>
        </w:rPr>
      </w:pPr>
      <w:r>
        <w:rPr>
          <w:rtl/>
          <w:lang w:bidi="ar-EG"/>
        </w:rPr>
        <w:t xml:space="preserve">يتألف التذييل </w:t>
      </w:r>
      <w:r>
        <w:rPr>
          <w:rStyle w:val="ApprefBold"/>
        </w:rPr>
        <w:t>30B</w:t>
      </w:r>
      <w:r>
        <w:rPr>
          <w:rtl/>
          <w:lang w:bidi="ar-EG"/>
        </w:rPr>
        <w:t xml:space="preserve"> من لوائح الراديو من فدرتين/نطاقين فرعيين من </w:t>
      </w:r>
      <w:r>
        <w:rPr>
          <w:lang w:bidi="ar-EG"/>
        </w:rPr>
        <w:t>MHz 250</w:t>
      </w:r>
      <w:r>
        <w:rPr>
          <w:rtl/>
          <w:lang w:bidi="ar-EG"/>
        </w:rPr>
        <w:t xml:space="preserve"> لكل منهما في نطاق التردد </w:t>
      </w:r>
      <w:r>
        <w:rPr>
          <w:lang w:bidi="ar-EG"/>
        </w:rPr>
        <w:t>GHz</w:t>
      </w:r>
      <w:r>
        <w:rPr>
          <w:lang w:val="en-CA" w:bidi="ar-EG"/>
        </w:rPr>
        <w:t> 11-10</w:t>
      </w:r>
      <w:r>
        <w:rPr>
          <w:rtl/>
          <w:lang w:bidi="ar-EG"/>
        </w:rPr>
        <w:t>، هما </w:t>
      </w:r>
      <w:r>
        <w:rPr>
          <w:lang w:val="fr-FR" w:bidi="ar-EG"/>
        </w:rPr>
        <w:t>GHz</w:t>
      </w:r>
      <w:r>
        <w:rPr>
          <w:lang w:val="en-CA" w:bidi="ar-EG"/>
        </w:rPr>
        <w:t> 10,95</w:t>
      </w:r>
      <w:r>
        <w:rPr>
          <w:lang w:val="en-CA" w:bidi="ar-EG"/>
        </w:rPr>
        <w:noBreakHyphen/>
        <w:t>10,70</w:t>
      </w:r>
      <w:r>
        <w:rPr>
          <w:rtl/>
          <w:lang w:val="fr-FR" w:bidi="ar-EG"/>
        </w:rPr>
        <w:t xml:space="preserve"> و</w:t>
      </w:r>
      <w:r>
        <w:rPr>
          <w:lang w:bidi="ar-EG"/>
        </w:rPr>
        <w:t>GHz 11,45</w:t>
      </w:r>
      <w:r>
        <w:rPr>
          <w:lang w:bidi="ar-EG"/>
        </w:rPr>
        <w:noBreakHyphen/>
        <w:t>11,2</w:t>
      </w:r>
      <w:r>
        <w:rPr>
          <w:rtl/>
          <w:lang w:bidi="ar-EG"/>
        </w:rPr>
        <w:t xml:space="preserve"> للوصلة الهابطة و</w:t>
      </w:r>
      <w:r>
        <w:rPr>
          <w:lang w:bidi="ar-EG"/>
        </w:rPr>
        <w:t>GHz 13,0</w:t>
      </w:r>
      <w:r>
        <w:rPr>
          <w:lang w:bidi="ar-EG"/>
        </w:rPr>
        <w:noBreakHyphen/>
        <w:t>12,75</w:t>
      </w:r>
      <w:r>
        <w:rPr>
          <w:rtl/>
          <w:lang w:bidi="ar-EG"/>
        </w:rPr>
        <w:t xml:space="preserve"> و</w:t>
      </w:r>
      <w:r>
        <w:rPr>
          <w:lang w:bidi="ar-EG"/>
        </w:rPr>
        <w:t>GHz</w:t>
      </w:r>
      <w:r>
        <w:rPr>
          <w:lang w:val="en-CA" w:bidi="ar-EG"/>
        </w:rPr>
        <w:t> 13,25</w:t>
      </w:r>
      <w:r>
        <w:rPr>
          <w:lang w:val="en-CA" w:bidi="ar-EG"/>
        </w:rPr>
        <w:noBreakHyphen/>
        <w:t>13,0</w:t>
      </w:r>
      <w:r>
        <w:rPr>
          <w:rtl/>
          <w:lang w:bidi="ar-EG"/>
        </w:rPr>
        <w:t xml:space="preserve"> للوصلة الصاعدة. وعادةً ما يشمل أي طلب مقدم من الإدارات عند تطبيق المادة </w:t>
      </w:r>
      <w:r w:rsidRPr="00691542">
        <w:rPr>
          <w:rStyle w:val="Artref"/>
        </w:rPr>
        <w:t>6</w:t>
      </w:r>
      <w:r>
        <w:rPr>
          <w:rtl/>
          <w:lang w:bidi="ar-EG"/>
        </w:rPr>
        <w:t xml:space="preserve"> من التذييل </w:t>
      </w:r>
      <w:r>
        <w:rPr>
          <w:rStyle w:val="ApprefBold"/>
        </w:rPr>
        <w:t>30B</w:t>
      </w:r>
      <w:r>
        <w:rPr>
          <w:rtl/>
          <w:lang w:bidi="ar-EG"/>
        </w:rPr>
        <w:t xml:space="preserve"> من لوائح الراديو لأغراض الاستعمال الإضافي كلا الفدرتين/النطاقين الفرعيين </w:t>
      </w:r>
      <w:r>
        <w:rPr>
          <w:lang w:bidi="ar-EG"/>
        </w:rPr>
        <w:t>MHz 250</w:t>
      </w:r>
      <w:r>
        <w:rPr>
          <w:rtl/>
          <w:lang w:bidi="ar-EG"/>
        </w:rPr>
        <w:t xml:space="preserve"> المذكورين أعلاه أو قد يشمل فقط أحد الفدرتين</w:t>
      </w:r>
      <w:r>
        <w:rPr>
          <w:rtl/>
          <w:lang w:val="fr-FR" w:bidi="ar-EG"/>
        </w:rPr>
        <w:t xml:space="preserve"> لأغراض الاستعمال الإضافي أو مع التطبيق الناجح للمادة </w:t>
      </w:r>
      <w:r w:rsidRPr="00726D13">
        <w:rPr>
          <w:rStyle w:val="Artref"/>
        </w:rPr>
        <w:t>6</w:t>
      </w:r>
      <w:r>
        <w:rPr>
          <w:rtl/>
          <w:lang w:bidi="ar-EG"/>
        </w:rPr>
        <w:t xml:space="preserve"> للفدرتين/النطاقين الفرعيين، عند تطبيق المادة </w:t>
      </w:r>
      <w:r w:rsidRPr="00726D13">
        <w:rPr>
          <w:rStyle w:val="Artref"/>
        </w:rPr>
        <w:t>8</w:t>
      </w:r>
      <w:r>
        <w:rPr>
          <w:rtl/>
          <w:lang w:val="es-ES" w:bidi="ar-EG"/>
        </w:rPr>
        <w:t>، لا توضع في الخدمة إلا فدرة واحدة/نطاق فرعي واحد من النطاق </w:t>
      </w:r>
      <w:r>
        <w:rPr>
          <w:lang w:bidi="ar-EG"/>
        </w:rPr>
        <w:t>GHz 13/11</w:t>
      </w:r>
      <w:r>
        <w:rPr>
          <w:rtl/>
          <w:lang w:bidi="ar-EG"/>
        </w:rPr>
        <w:t>.</w:t>
      </w:r>
    </w:p>
    <w:p w14:paraId="0200753E" w14:textId="45CDF826" w:rsidR="00691542" w:rsidRDefault="00691542" w:rsidP="00691542">
      <w:pPr>
        <w:rPr>
          <w:rtl/>
          <w:lang w:bidi="ar-EG"/>
        </w:rPr>
      </w:pPr>
      <w:r>
        <w:rPr>
          <w:rtl/>
          <w:lang w:bidi="ar-EG"/>
        </w:rPr>
        <w:t xml:space="preserve">ولا توجد أي أحكام في التذييل </w:t>
      </w:r>
      <w:r w:rsidRPr="00691542">
        <w:rPr>
          <w:b/>
          <w:bCs/>
          <w:lang w:bidi="ar-EG"/>
        </w:rPr>
        <w:t>30B</w:t>
      </w:r>
      <w:r>
        <w:rPr>
          <w:rFonts w:hint="cs"/>
          <w:rtl/>
          <w:lang w:bidi="ar-EG"/>
        </w:rPr>
        <w:t xml:space="preserve"> </w:t>
      </w:r>
      <w:r>
        <w:rPr>
          <w:rtl/>
          <w:lang w:bidi="ar-EG"/>
        </w:rPr>
        <w:t xml:space="preserve">تحظر، بالمعنى الدقيق، السماح للإدارات بتقديم طلب لتخصيص إحدى </w:t>
      </w:r>
      <w:proofErr w:type="spellStart"/>
      <w:r>
        <w:rPr>
          <w:rtl/>
          <w:lang w:bidi="ar-EG"/>
        </w:rPr>
        <w:t>الفدرات</w:t>
      </w:r>
      <w:proofErr w:type="spellEnd"/>
      <w:r>
        <w:rPr>
          <w:rtl/>
          <w:lang w:bidi="ar-EG"/>
        </w:rPr>
        <w:t xml:space="preserve">/أحد النطاقات الفرعية في طلب صريح. إلا أنه لا توجد أحكام محددة تأذن بهذا التطبيق عند تقديم طلب بموجب التذييل </w:t>
      </w:r>
      <w:r>
        <w:rPr>
          <w:rStyle w:val="ApprefBold"/>
        </w:rPr>
        <w:t>4</w:t>
      </w:r>
      <w:r>
        <w:rPr>
          <w:rtl/>
          <w:lang w:bidi="ar-EG"/>
        </w:rPr>
        <w:t xml:space="preserve"> من لوائح الراديو لأي من النطاقين الفرعيين. </w:t>
      </w:r>
    </w:p>
    <w:p w14:paraId="108636AF" w14:textId="2A5E974D" w:rsidR="00691542" w:rsidRPr="00726D13" w:rsidRDefault="006C0670" w:rsidP="006C0670">
      <w:pPr>
        <w:rPr>
          <w:spacing w:val="2"/>
          <w:rtl/>
          <w:lang w:bidi="ar-EG"/>
        </w:rPr>
      </w:pPr>
      <w:r w:rsidRPr="00726D13">
        <w:rPr>
          <w:rFonts w:hint="cs"/>
          <w:spacing w:val="2"/>
          <w:rtl/>
          <w:lang w:bidi="ar-EG"/>
        </w:rPr>
        <w:t>و</w:t>
      </w:r>
      <w:r w:rsidRPr="00726D13">
        <w:rPr>
          <w:spacing w:val="2"/>
          <w:rtl/>
          <w:lang w:bidi="ar-EG"/>
        </w:rPr>
        <w:t xml:space="preserve">استجابة لهذه المشكلة، وضع قطاع الاتصالات الراديوية تقرير الاجتماع التحضيري للمؤتمر بنهج فريد </w:t>
      </w:r>
      <w:r w:rsidRPr="00726D13">
        <w:rPr>
          <w:rFonts w:hint="cs"/>
          <w:spacing w:val="2"/>
          <w:rtl/>
          <w:lang w:bidi="ar-EG"/>
        </w:rPr>
        <w:t xml:space="preserve">إزاء </w:t>
      </w:r>
      <w:r w:rsidRPr="00726D13">
        <w:rPr>
          <w:spacing w:val="2"/>
          <w:rtl/>
          <w:lang w:bidi="ar-EG"/>
        </w:rPr>
        <w:t xml:space="preserve">هذه المسألة </w:t>
      </w:r>
      <w:r w:rsidRPr="00726D13">
        <w:rPr>
          <w:rFonts w:hint="cs"/>
          <w:spacing w:val="2"/>
          <w:rtl/>
          <w:lang w:bidi="ar-EG"/>
        </w:rPr>
        <w:t>يتمثل</w:t>
      </w:r>
      <w:r w:rsidRPr="00726D13">
        <w:rPr>
          <w:spacing w:val="2"/>
          <w:rtl/>
          <w:lang w:bidi="ar-EG"/>
        </w:rPr>
        <w:t xml:space="preserve"> </w:t>
      </w:r>
      <w:r w:rsidRPr="00726D13">
        <w:rPr>
          <w:rFonts w:hint="cs"/>
          <w:spacing w:val="2"/>
          <w:rtl/>
          <w:lang w:bidi="ar-EG"/>
        </w:rPr>
        <w:t xml:space="preserve">في </w:t>
      </w:r>
      <w:r w:rsidRPr="00726D13">
        <w:rPr>
          <w:spacing w:val="2"/>
          <w:rtl/>
          <w:lang w:bidi="ar-EG"/>
        </w:rPr>
        <w:t xml:space="preserve">إضافة حاشية إلى الفقرة </w:t>
      </w:r>
      <w:r w:rsidR="00726D13" w:rsidRPr="00C07D95">
        <w:rPr>
          <w:lang w:bidi="ar-EG"/>
        </w:rPr>
        <w:t>1.6</w:t>
      </w:r>
      <w:r w:rsidR="00726D13">
        <w:rPr>
          <w:rFonts w:hint="cs"/>
          <w:rtl/>
        </w:rPr>
        <w:t xml:space="preserve"> </w:t>
      </w:r>
      <w:r w:rsidRPr="00726D13">
        <w:rPr>
          <w:spacing w:val="2"/>
          <w:rtl/>
          <w:lang w:bidi="ar-EG"/>
        </w:rPr>
        <w:t xml:space="preserve">من المادة </w:t>
      </w:r>
      <w:r w:rsidR="00726D13">
        <w:rPr>
          <w:spacing w:val="2"/>
          <w:lang w:bidi="ar-EG"/>
        </w:rPr>
        <w:t>6</w:t>
      </w:r>
      <w:r w:rsidRPr="00726D13">
        <w:rPr>
          <w:spacing w:val="2"/>
          <w:rtl/>
          <w:lang w:bidi="ar-EG"/>
        </w:rPr>
        <w:t xml:space="preserve"> من التذييل </w:t>
      </w:r>
      <w:r w:rsidRPr="00726D13">
        <w:rPr>
          <w:b/>
          <w:bCs/>
          <w:spacing w:val="2"/>
          <w:lang w:bidi="ar-EG"/>
        </w:rPr>
        <w:t>30B</w:t>
      </w:r>
      <w:r w:rsidRPr="00726D13">
        <w:rPr>
          <w:spacing w:val="2"/>
          <w:rtl/>
          <w:lang w:bidi="ar-EG"/>
        </w:rPr>
        <w:t xml:space="preserve"> </w:t>
      </w:r>
      <w:r w:rsidRPr="00726D13">
        <w:rPr>
          <w:rFonts w:hint="cs"/>
          <w:spacing w:val="2"/>
          <w:rtl/>
          <w:lang w:bidi="ar-EG"/>
        </w:rPr>
        <w:t>ل</w:t>
      </w:r>
      <w:r w:rsidRPr="00726D13">
        <w:rPr>
          <w:spacing w:val="2"/>
          <w:rtl/>
          <w:lang w:bidi="ar-EG"/>
        </w:rPr>
        <w:t>لوائح الراديو، للسماح بما يلي:</w:t>
      </w:r>
    </w:p>
    <w:p w14:paraId="3D8C6F33" w14:textId="3B5E7430" w:rsidR="00691542" w:rsidRPr="006C0670" w:rsidRDefault="00691542" w:rsidP="00691542">
      <w:pPr>
        <w:pStyle w:val="enumlev1"/>
        <w:rPr>
          <w:lang w:bidi="ar-EG"/>
        </w:rPr>
      </w:pPr>
      <w:r>
        <w:rPr>
          <w:rtl/>
          <w:lang w:bidi="ar-EG"/>
        </w:rPr>
        <w:t> </w:t>
      </w:r>
      <w:proofErr w:type="gramStart"/>
      <w:r w:rsidRPr="006C0670">
        <w:rPr>
          <w:rtl/>
          <w:lang w:bidi="ar-EG"/>
        </w:rPr>
        <w:t>أ )</w:t>
      </w:r>
      <w:proofErr w:type="gramEnd"/>
      <w:r w:rsidRPr="006C0670">
        <w:rPr>
          <w:rtl/>
          <w:lang w:bidi="ar-EG"/>
        </w:rPr>
        <w:tab/>
        <w:t xml:space="preserve">تقديم طلب لاستعمال إضافي بموجب الفقرة </w:t>
      </w:r>
      <w:r w:rsidRPr="006C0670">
        <w:rPr>
          <w:lang w:bidi="ar-EG"/>
        </w:rPr>
        <w:t>1.6</w:t>
      </w:r>
      <w:r w:rsidRPr="006C0670">
        <w:rPr>
          <w:rtl/>
          <w:lang w:bidi="ar-EG"/>
        </w:rPr>
        <w:t xml:space="preserve"> لفدرتين/نطاقين فرعيين </w:t>
      </w:r>
      <w:r w:rsidRPr="006C0670">
        <w:rPr>
          <w:lang w:bidi="ar-EG"/>
        </w:rPr>
        <w:t>GHz 11-10</w:t>
      </w:r>
      <w:r w:rsidRPr="006C0670">
        <w:rPr>
          <w:rtl/>
          <w:lang w:bidi="ar-EG"/>
        </w:rPr>
        <w:t xml:space="preserve"> </w:t>
      </w:r>
      <w:r w:rsidR="006C0670" w:rsidRPr="006C0670">
        <w:rPr>
          <w:rFonts w:hint="cs"/>
          <w:rtl/>
          <w:lang w:bidi="ar-EG"/>
        </w:rPr>
        <w:t>على</w:t>
      </w:r>
      <w:r w:rsidRPr="006C0670">
        <w:rPr>
          <w:rtl/>
          <w:lang w:bidi="ar-EG"/>
        </w:rPr>
        <w:t xml:space="preserve"> </w:t>
      </w:r>
      <w:r w:rsidR="006C0670" w:rsidRPr="006C0670">
        <w:rPr>
          <w:rFonts w:hint="cs"/>
          <w:rtl/>
          <w:lang w:bidi="ar-EG"/>
        </w:rPr>
        <w:t xml:space="preserve">أن </w:t>
      </w:r>
      <w:r w:rsidRPr="006C0670">
        <w:rPr>
          <w:rtl/>
          <w:lang w:bidi="ar-EG"/>
        </w:rPr>
        <w:t>لا يوضع في الخدمة سوى فدرة واحدة/نطاق فرعي واحد؛ أو</w:t>
      </w:r>
    </w:p>
    <w:p w14:paraId="4F92C048" w14:textId="5500464B" w:rsidR="00691542" w:rsidRDefault="00691542" w:rsidP="006C0670">
      <w:pPr>
        <w:pStyle w:val="enumlev1"/>
        <w:rPr>
          <w:rtl/>
          <w:lang w:bidi="ar-EG"/>
        </w:rPr>
      </w:pPr>
      <w:r w:rsidRPr="006C0670">
        <w:rPr>
          <w:rtl/>
          <w:lang w:bidi="ar-EG"/>
        </w:rPr>
        <w:t>ب)</w:t>
      </w:r>
      <w:r w:rsidRPr="006C0670">
        <w:rPr>
          <w:rtl/>
          <w:lang w:bidi="ar-EG"/>
        </w:rPr>
        <w:tab/>
        <w:t xml:space="preserve">تقديم طلب لاستعمال إضافي بموجب الفقرة </w:t>
      </w:r>
      <w:r w:rsidRPr="006C0670">
        <w:rPr>
          <w:lang w:bidi="ar-EG"/>
        </w:rPr>
        <w:t>1.6</w:t>
      </w:r>
      <w:r w:rsidRPr="006C0670">
        <w:rPr>
          <w:rtl/>
          <w:lang w:bidi="ar-EG"/>
        </w:rPr>
        <w:t xml:space="preserve"> لفدرة واحدة/نطاق فرعي واحد فقط</w:t>
      </w:r>
      <w:r w:rsidR="006C0670" w:rsidRPr="006C0670">
        <w:rPr>
          <w:rFonts w:hint="cs"/>
          <w:rtl/>
          <w:lang w:bidi="ar-EG"/>
        </w:rPr>
        <w:t xml:space="preserve"> من</w:t>
      </w:r>
      <w:r w:rsidR="006C0670" w:rsidRPr="006C0670">
        <w:rPr>
          <w:rtl/>
          <w:lang w:bidi="ar-EG"/>
        </w:rPr>
        <w:t xml:space="preserve"> </w:t>
      </w:r>
      <w:r w:rsidR="006C0670" w:rsidRPr="006C0670">
        <w:rPr>
          <w:rFonts w:hint="cs"/>
          <w:rtl/>
          <w:lang w:bidi="ar-EG"/>
        </w:rPr>
        <w:t>ا</w:t>
      </w:r>
      <w:r w:rsidR="006C0670" w:rsidRPr="006C0670">
        <w:rPr>
          <w:rtl/>
          <w:lang w:bidi="ar-EG"/>
        </w:rPr>
        <w:t>لفدرتين/</w:t>
      </w:r>
      <w:r w:rsidR="006C0670" w:rsidRPr="006C0670">
        <w:rPr>
          <w:rFonts w:hint="cs"/>
          <w:rtl/>
          <w:lang w:bidi="ar-EG"/>
        </w:rPr>
        <w:t>ال</w:t>
      </w:r>
      <w:r w:rsidR="006C0670" w:rsidRPr="006C0670">
        <w:rPr>
          <w:rtl/>
          <w:lang w:bidi="ar-EG"/>
        </w:rPr>
        <w:t xml:space="preserve">نطاقين </w:t>
      </w:r>
      <w:r w:rsidR="006C0670" w:rsidRPr="006C0670">
        <w:rPr>
          <w:rFonts w:hint="cs"/>
          <w:rtl/>
          <w:lang w:bidi="ar-EG"/>
        </w:rPr>
        <w:t>ال</w:t>
      </w:r>
      <w:r w:rsidR="006C0670" w:rsidRPr="006C0670">
        <w:rPr>
          <w:rtl/>
          <w:lang w:bidi="ar-EG"/>
        </w:rPr>
        <w:t>فرعيين</w:t>
      </w:r>
      <w:r w:rsidRPr="006C0670">
        <w:rPr>
          <w:rtl/>
          <w:lang w:bidi="ar-EG"/>
        </w:rPr>
        <w:t xml:space="preserve"> </w:t>
      </w:r>
      <w:r w:rsidRPr="006C0670">
        <w:rPr>
          <w:lang w:bidi="ar-EG"/>
        </w:rPr>
        <w:t>GHz 11</w:t>
      </w:r>
      <w:r w:rsidR="00DB0891">
        <w:rPr>
          <w:lang w:bidi="ar-EG"/>
        </w:rPr>
        <w:noBreakHyphen/>
      </w:r>
      <w:r w:rsidRPr="006C0670">
        <w:rPr>
          <w:lang w:bidi="ar-EG"/>
        </w:rPr>
        <w:t>10</w:t>
      </w:r>
      <w:r w:rsidRPr="006C0670">
        <w:rPr>
          <w:rtl/>
          <w:lang w:bidi="ar-EG"/>
        </w:rPr>
        <w:t xml:space="preserve"> و</w:t>
      </w:r>
      <w:r w:rsidR="006C0670" w:rsidRPr="006C0670">
        <w:rPr>
          <w:rFonts w:hint="cs"/>
          <w:rtl/>
          <w:lang w:bidi="ar-EG"/>
        </w:rPr>
        <w:t>ال</w:t>
      </w:r>
      <w:r w:rsidRPr="006C0670">
        <w:rPr>
          <w:rtl/>
          <w:lang w:bidi="ar-EG"/>
        </w:rPr>
        <w:t xml:space="preserve">تبليغ </w:t>
      </w:r>
      <w:r w:rsidR="006C0670" w:rsidRPr="006C0670">
        <w:rPr>
          <w:rFonts w:hint="cs"/>
          <w:rtl/>
          <w:lang w:bidi="ar-EG"/>
        </w:rPr>
        <w:t xml:space="preserve">عن </w:t>
      </w:r>
      <w:r w:rsidRPr="006C0670">
        <w:rPr>
          <w:rtl/>
          <w:lang w:bidi="ar-EG"/>
        </w:rPr>
        <w:t>تلك الفدرة/النطاق الفرعي أو وضعها/وضعه في الخدمة؛</w:t>
      </w:r>
    </w:p>
    <w:p w14:paraId="5983011A" w14:textId="79EBC8EF" w:rsidR="00691542" w:rsidRDefault="00691542" w:rsidP="00E55B57">
      <w:pPr>
        <w:rPr>
          <w:rtl/>
          <w:lang w:bidi="ar-EG"/>
        </w:rPr>
      </w:pPr>
      <w:r>
        <w:rPr>
          <w:rFonts w:hint="cs"/>
          <w:rtl/>
          <w:lang w:bidi="ar-EG"/>
        </w:rPr>
        <w:t>ج)</w:t>
      </w:r>
      <w:r>
        <w:rPr>
          <w:rtl/>
          <w:lang w:bidi="ar-EG"/>
        </w:rPr>
        <w:tab/>
      </w:r>
      <w:r w:rsidR="00E55B57" w:rsidRPr="00E55B57">
        <w:rPr>
          <w:rtl/>
          <w:lang w:bidi="ar-EG"/>
        </w:rPr>
        <w:t xml:space="preserve">تمكين المكتب، من خلال تطبيق المادة </w:t>
      </w:r>
      <w:r w:rsidR="00726D13">
        <w:rPr>
          <w:lang w:bidi="ar-EG"/>
        </w:rPr>
        <w:t>6</w:t>
      </w:r>
      <w:r w:rsidR="00E55B57" w:rsidRPr="00E55B57">
        <w:rPr>
          <w:rtl/>
          <w:lang w:bidi="ar-EG"/>
        </w:rPr>
        <w:t xml:space="preserve">، من معالجة الطلب وفقاً </w:t>
      </w:r>
      <w:r w:rsidR="00E55B57" w:rsidRPr="00E55B57">
        <w:rPr>
          <w:rFonts w:hint="cs"/>
          <w:rtl/>
          <w:lang w:bidi="ar-EG"/>
        </w:rPr>
        <w:t>للتبليغ الخاص به</w:t>
      </w:r>
      <w:r w:rsidR="00E55B57" w:rsidRPr="00E55B57">
        <w:rPr>
          <w:rtl/>
          <w:lang w:bidi="ar-EG"/>
        </w:rPr>
        <w:t>، أي معالجة الفدرتين/</w:t>
      </w:r>
      <w:r w:rsidR="00E55B57" w:rsidRPr="00E55B57">
        <w:rPr>
          <w:rFonts w:hint="cs"/>
          <w:rtl/>
          <w:lang w:bidi="ar-EG"/>
        </w:rPr>
        <w:t>ال</w:t>
      </w:r>
      <w:r w:rsidR="00E55B57" w:rsidRPr="00E55B57">
        <w:rPr>
          <w:rtl/>
          <w:lang w:bidi="ar-EG"/>
        </w:rPr>
        <w:t xml:space="preserve">نطاقين </w:t>
      </w:r>
      <w:r w:rsidR="00E55B57" w:rsidRPr="00E55B57">
        <w:rPr>
          <w:rFonts w:hint="cs"/>
          <w:rtl/>
          <w:lang w:bidi="ar-EG"/>
        </w:rPr>
        <w:t>ال</w:t>
      </w:r>
      <w:r w:rsidR="00E55B57" w:rsidRPr="00E55B57">
        <w:rPr>
          <w:rtl/>
          <w:lang w:bidi="ar-EG"/>
        </w:rPr>
        <w:t xml:space="preserve">فرعيين أو معالجة </w:t>
      </w:r>
      <w:r w:rsidR="00E55B57" w:rsidRPr="00E55B57">
        <w:rPr>
          <w:rFonts w:hint="cs"/>
          <w:rtl/>
          <w:lang w:bidi="ar-EG"/>
        </w:rPr>
        <w:t>إحدى/أحد</w:t>
      </w:r>
      <w:r w:rsidR="00E55B57" w:rsidRPr="00E55B57">
        <w:rPr>
          <w:rtl/>
          <w:lang w:bidi="ar-EG"/>
        </w:rPr>
        <w:t xml:space="preserve"> من الفدرتين/</w:t>
      </w:r>
      <w:r w:rsidR="00E55B57" w:rsidRPr="00E55B57">
        <w:rPr>
          <w:rFonts w:hint="cs"/>
          <w:rtl/>
          <w:lang w:bidi="ar-EG"/>
        </w:rPr>
        <w:t>ال</w:t>
      </w:r>
      <w:r w:rsidR="00E55B57" w:rsidRPr="00E55B57">
        <w:rPr>
          <w:rtl/>
          <w:lang w:bidi="ar-EG"/>
        </w:rPr>
        <w:t xml:space="preserve">نطاقين </w:t>
      </w:r>
      <w:r w:rsidR="00E55B57" w:rsidRPr="00E55B57">
        <w:rPr>
          <w:rFonts w:hint="cs"/>
          <w:rtl/>
          <w:lang w:bidi="ar-EG"/>
        </w:rPr>
        <w:t>ال</w:t>
      </w:r>
      <w:r w:rsidR="00E55B57" w:rsidRPr="00E55B57">
        <w:rPr>
          <w:rtl/>
          <w:lang w:bidi="ar-EG"/>
        </w:rPr>
        <w:t>فرعيين ومواصلة معالجة الطلب كما ورد</w:t>
      </w:r>
      <w:r w:rsidR="00E55B57">
        <w:rPr>
          <w:rFonts w:hint="cs"/>
          <w:rtl/>
          <w:lang w:bidi="ar-EG"/>
        </w:rPr>
        <w:t>؛</w:t>
      </w:r>
    </w:p>
    <w:p w14:paraId="0088FA34" w14:textId="4283270F" w:rsidR="00691542" w:rsidRDefault="00691542" w:rsidP="00E55B57">
      <w:pPr>
        <w:rPr>
          <w:rtl/>
          <w:lang w:bidi="ar-EG"/>
        </w:rPr>
      </w:pPr>
      <w:proofErr w:type="gramStart"/>
      <w:r>
        <w:rPr>
          <w:rFonts w:hint="cs"/>
          <w:rtl/>
          <w:lang w:bidi="ar-EG"/>
        </w:rPr>
        <w:t>د )</w:t>
      </w:r>
      <w:proofErr w:type="gramEnd"/>
      <w:r>
        <w:rPr>
          <w:rtl/>
          <w:lang w:bidi="ar-EG"/>
        </w:rPr>
        <w:tab/>
      </w:r>
      <w:r w:rsidR="00E55B57" w:rsidRPr="00E55B57">
        <w:rPr>
          <w:rtl/>
          <w:lang w:bidi="ar-EG"/>
        </w:rPr>
        <w:t xml:space="preserve">تمكين المكتب، من خلال تطبيق المادة </w:t>
      </w:r>
      <w:r w:rsidR="00726D13">
        <w:rPr>
          <w:lang w:bidi="ar-EG"/>
        </w:rPr>
        <w:t>8</w:t>
      </w:r>
      <w:r w:rsidR="00E55B57" w:rsidRPr="00E55B57">
        <w:rPr>
          <w:rtl/>
          <w:lang w:bidi="ar-EG"/>
        </w:rPr>
        <w:t xml:space="preserve">، من معالجة </w:t>
      </w:r>
      <w:r w:rsidR="00E55B57" w:rsidRPr="00E55B57">
        <w:rPr>
          <w:rFonts w:hint="cs"/>
          <w:rtl/>
          <w:lang w:bidi="ar-EG"/>
        </w:rPr>
        <w:t>إحدى/أحد</w:t>
      </w:r>
      <w:r w:rsidR="00E55B57" w:rsidRPr="00E55B57">
        <w:rPr>
          <w:rtl/>
          <w:lang w:bidi="ar-EG"/>
        </w:rPr>
        <w:t xml:space="preserve"> الفدرتين/</w:t>
      </w:r>
      <w:r w:rsidR="00E55B57" w:rsidRPr="00E55B57">
        <w:rPr>
          <w:rFonts w:hint="cs"/>
          <w:rtl/>
          <w:lang w:bidi="ar-EG"/>
        </w:rPr>
        <w:t>ال</w:t>
      </w:r>
      <w:r w:rsidR="00E55B57" w:rsidRPr="00E55B57">
        <w:rPr>
          <w:rtl/>
          <w:lang w:bidi="ar-EG"/>
        </w:rPr>
        <w:t xml:space="preserve">نطاقين </w:t>
      </w:r>
      <w:r w:rsidR="00E55B57" w:rsidRPr="00E55B57">
        <w:rPr>
          <w:rFonts w:hint="cs"/>
          <w:rtl/>
          <w:lang w:bidi="ar-EG"/>
        </w:rPr>
        <w:t>ال</w:t>
      </w:r>
      <w:r w:rsidR="00E55B57" w:rsidRPr="00E55B57">
        <w:rPr>
          <w:rtl/>
          <w:lang w:bidi="ar-EG"/>
        </w:rPr>
        <w:t>فرعيين فقط، على الرغم من أن الفدرتين/</w:t>
      </w:r>
      <w:r w:rsidR="00E55B57" w:rsidRPr="00E55B57">
        <w:rPr>
          <w:rFonts w:hint="cs"/>
          <w:rtl/>
          <w:lang w:bidi="ar-EG"/>
        </w:rPr>
        <w:t>ال</w:t>
      </w:r>
      <w:r w:rsidR="00E55B57" w:rsidRPr="00E55B57">
        <w:rPr>
          <w:rtl/>
          <w:lang w:bidi="ar-EG"/>
        </w:rPr>
        <w:t xml:space="preserve">نطاقين </w:t>
      </w:r>
      <w:r w:rsidR="00E55B57" w:rsidRPr="00E55B57">
        <w:rPr>
          <w:rFonts w:hint="cs"/>
          <w:rtl/>
          <w:lang w:bidi="ar-EG"/>
        </w:rPr>
        <w:t>ال</w:t>
      </w:r>
      <w:r w:rsidR="00E55B57" w:rsidRPr="00E55B57">
        <w:rPr>
          <w:rtl/>
          <w:lang w:bidi="ar-EG"/>
        </w:rPr>
        <w:t xml:space="preserve">فرعيين طلبتهما إدارة </w:t>
      </w:r>
      <w:r w:rsidR="00E55B57" w:rsidRPr="00E55B57">
        <w:rPr>
          <w:rFonts w:hint="cs"/>
          <w:rtl/>
          <w:lang w:bidi="ar-EG"/>
        </w:rPr>
        <w:t xml:space="preserve">ما </w:t>
      </w:r>
      <w:r w:rsidR="00E55B57" w:rsidRPr="00E55B57">
        <w:rPr>
          <w:rtl/>
          <w:lang w:bidi="ar-EG"/>
        </w:rPr>
        <w:t xml:space="preserve">بموجب المادة </w:t>
      </w:r>
      <w:r w:rsidR="00726D13">
        <w:rPr>
          <w:lang w:bidi="ar-EG"/>
        </w:rPr>
        <w:t>6</w:t>
      </w:r>
      <w:r w:rsidR="00E55B57" w:rsidRPr="00E55B57">
        <w:rPr>
          <w:rtl/>
          <w:lang w:bidi="ar-EG"/>
        </w:rPr>
        <w:t xml:space="preserve"> أو </w:t>
      </w:r>
      <w:r w:rsidR="00E55B57" w:rsidRPr="00E55B57">
        <w:rPr>
          <w:rFonts w:hint="cs"/>
          <w:rtl/>
          <w:lang w:bidi="ar-EG"/>
        </w:rPr>
        <w:t>نُسقا</w:t>
      </w:r>
      <w:r w:rsidR="00E55B57" w:rsidRPr="00E55B57">
        <w:rPr>
          <w:rtl/>
          <w:lang w:bidi="ar-EG"/>
        </w:rPr>
        <w:t xml:space="preserve"> بنجاح بموجب المادة </w:t>
      </w:r>
      <w:r w:rsidR="00726D13">
        <w:rPr>
          <w:lang w:bidi="ar-EG"/>
        </w:rPr>
        <w:t>6</w:t>
      </w:r>
      <w:r w:rsidR="00E55B57" w:rsidRPr="00E55B57">
        <w:rPr>
          <w:rtl/>
          <w:lang w:bidi="ar-EG"/>
        </w:rPr>
        <w:t xml:space="preserve"> ولكن</w:t>
      </w:r>
      <w:r w:rsidR="00E55B57">
        <w:rPr>
          <w:rFonts w:hint="cs"/>
          <w:rtl/>
          <w:lang w:bidi="ar-EG"/>
        </w:rPr>
        <w:t xml:space="preserve"> لم</w:t>
      </w:r>
      <w:r w:rsidR="00E55B57" w:rsidRPr="00E55B57">
        <w:rPr>
          <w:rtl/>
          <w:lang w:bidi="ar-EG"/>
        </w:rPr>
        <w:t xml:space="preserve"> يوضع في الخدمة سوى فدرة واحدة/نطاق فرعي واحد</w:t>
      </w:r>
      <w:r w:rsidR="00E55B57">
        <w:rPr>
          <w:rFonts w:hint="cs"/>
          <w:rtl/>
          <w:lang w:bidi="ar-EG"/>
        </w:rPr>
        <w:t>.</w:t>
      </w:r>
    </w:p>
    <w:p w14:paraId="412E7950" w14:textId="10209067" w:rsidR="006C0670" w:rsidRDefault="00E55B57" w:rsidP="00E55B57">
      <w:pPr>
        <w:rPr>
          <w:rtl/>
          <w:lang w:bidi="ar-EG"/>
        </w:rPr>
      </w:pPr>
      <w:r w:rsidRPr="00E55B57">
        <w:rPr>
          <w:rFonts w:hint="cs"/>
          <w:rtl/>
          <w:lang w:bidi="ar-EG"/>
        </w:rPr>
        <w:t>و</w:t>
      </w:r>
      <w:r w:rsidRPr="00E55B57">
        <w:rPr>
          <w:rtl/>
          <w:lang w:bidi="ar-EG"/>
        </w:rPr>
        <w:t xml:space="preserve">يُقترح تطبيق الإضافات على لوائح الراديو وفقاً </w:t>
      </w:r>
      <w:r w:rsidRPr="00E55B57">
        <w:rPr>
          <w:rFonts w:hint="cs"/>
          <w:rtl/>
          <w:lang w:bidi="ar-EG"/>
        </w:rPr>
        <w:t>للأسلوب</w:t>
      </w:r>
      <w:r w:rsidRPr="00E55B57">
        <w:rPr>
          <w:rtl/>
          <w:lang w:bidi="ar-EG"/>
        </w:rPr>
        <w:t xml:space="preserve"> الوحيد ال</w:t>
      </w:r>
      <w:r w:rsidRPr="00E55B57">
        <w:rPr>
          <w:rFonts w:hint="cs"/>
          <w:rtl/>
          <w:lang w:bidi="ar-EG"/>
        </w:rPr>
        <w:t>ذ</w:t>
      </w:r>
      <w:r w:rsidRPr="00E55B57">
        <w:rPr>
          <w:rtl/>
          <w:lang w:bidi="ar-EG"/>
        </w:rPr>
        <w:t>ي اقترحه قطاع الاتصالات الراديوية.</w:t>
      </w:r>
    </w:p>
    <w:p w14:paraId="2328DA3B" w14:textId="77777777" w:rsidR="0012545F" w:rsidRDefault="0012545F">
      <w:pPr>
        <w:tabs>
          <w:tab w:val="clear" w:pos="1134"/>
          <w:tab w:val="clear" w:pos="1871"/>
          <w:tab w:val="clear" w:pos="2268"/>
        </w:tabs>
        <w:bidi w:val="0"/>
        <w:spacing w:before="0" w:line="240" w:lineRule="auto"/>
        <w:jc w:val="left"/>
        <w:rPr>
          <w:rtl/>
          <w:lang w:bidi="ar-EG"/>
        </w:rPr>
      </w:pPr>
      <w:r>
        <w:rPr>
          <w:rtl/>
        </w:rPr>
        <w:br w:type="page"/>
      </w:r>
    </w:p>
    <w:p w14:paraId="5560D79B" w14:textId="63AD72F8" w:rsidR="006419E8" w:rsidRPr="001E31EF" w:rsidRDefault="00691542" w:rsidP="006419E8">
      <w:pPr>
        <w:pStyle w:val="AppendixNo"/>
        <w:spacing w:before="0"/>
        <w:rPr>
          <w:rtl/>
        </w:rPr>
      </w:pPr>
      <w:bookmarkStart w:id="0" w:name="_Toc333932899"/>
      <w:bookmarkStart w:id="1"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0"/>
      <w:bookmarkEnd w:id="1"/>
    </w:p>
    <w:p w14:paraId="7F3C301E" w14:textId="77777777" w:rsidR="006419E8" w:rsidRDefault="00691542" w:rsidP="00765403">
      <w:pPr>
        <w:pStyle w:val="Appendixtitle"/>
        <w:rPr>
          <w:rtl/>
          <w:lang w:bidi="ar-EG"/>
        </w:rPr>
      </w:pPr>
      <w:bookmarkStart w:id="2" w:name="_Toc335225824"/>
      <w:r w:rsidRPr="00F73395">
        <w:rPr>
          <w:rtl/>
          <w:lang w:bidi="ar-EG"/>
        </w:rPr>
        <w:t xml:space="preserve">الأحكام والخطة </w:t>
      </w:r>
      <w:r w:rsidRPr="00650FD6">
        <w:rPr>
          <w:rtl/>
          <w:lang w:bidi="ar-EG"/>
        </w:rPr>
        <w:t xml:space="preserve">المصاحبة </w:t>
      </w:r>
      <w:r>
        <w:rPr>
          <w:rtl/>
          <w:lang w:bidi="ar-EG"/>
        </w:rPr>
        <w:t xml:space="preserve">بشأن الخدمة الثابتة </w:t>
      </w:r>
      <w:proofErr w:type="spellStart"/>
      <w:r>
        <w:rPr>
          <w:rtl/>
          <w:lang w:bidi="ar-EG"/>
        </w:rPr>
        <w:t>الساتلية</w:t>
      </w:r>
      <w:proofErr w:type="spellEnd"/>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bookmarkStart w:id="3" w:name="_GoBack"/>
      <w:bookmarkEnd w:id="3"/>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
    </w:p>
    <w:p w14:paraId="430EF4CC" w14:textId="5FBACC71" w:rsidR="006419E8" w:rsidRDefault="00691542" w:rsidP="006419E8">
      <w:pPr>
        <w:pStyle w:val="AppArtNo"/>
        <w:keepLines/>
        <w:tabs>
          <w:tab w:val="center" w:pos="4678"/>
        </w:tabs>
        <w:spacing w:before="0"/>
        <w:rPr>
          <w:rtl/>
        </w:rPr>
      </w:pPr>
      <w:r w:rsidRPr="006C512C">
        <w:rPr>
          <w:rtl/>
        </w:rPr>
        <w:t>الم</w:t>
      </w:r>
      <w:r>
        <w:rPr>
          <w:rtl/>
        </w:rPr>
        <w:t>ـ</w:t>
      </w:r>
      <w:r w:rsidRPr="006C512C">
        <w:rPr>
          <w:rtl/>
        </w:rPr>
        <w:t xml:space="preserve">ادة </w:t>
      </w:r>
      <w:r w:rsidR="00A34608">
        <w:rPr>
          <w:lang w:val="en-GB"/>
        </w:rP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2FD2005D" w14:textId="117A1FF1" w:rsidR="006419E8" w:rsidRPr="00277A71" w:rsidRDefault="00691542" w:rsidP="00765403">
      <w:pPr>
        <w:pStyle w:val="AppArttitle"/>
        <w:rPr>
          <w:rtl/>
        </w:rPr>
      </w:pPr>
      <w:r w:rsidRPr="00765403">
        <w:rPr>
          <w:rtl/>
        </w:rPr>
        <w:t>الإجراءات الخاصة بتحويل تعيين إلى تخصيص من أجل</w:t>
      </w:r>
      <w:r w:rsidRPr="00765403">
        <w:rPr>
          <w:rtl/>
        </w:rPr>
        <w:br/>
        <w:t>استحداث نظام إضافي أو من أجل إدخال تعديل</w:t>
      </w:r>
      <w:r w:rsidRPr="00765403">
        <w:rPr>
          <w:rtl/>
        </w:rPr>
        <w:br/>
      </w:r>
      <w:r w:rsidRPr="00765403">
        <w:rPr>
          <w:rFonts w:hint="cs"/>
          <w:rtl/>
        </w:rPr>
        <w:t>في </w:t>
      </w:r>
      <w:r w:rsidRPr="00765403">
        <w:rPr>
          <w:rtl/>
        </w:rPr>
        <w:t>تخصيص وارد في القائمة</w:t>
      </w:r>
      <w:r w:rsidRPr="00765403">
        <w:rPr>
          <w:rStyle w:val="FootnoteReference"/>
          <w:b w:val="0"/>
          <w:bCs w:val="0"/>
        </w:rPr>
        <w:t>1</w:t>
      </w:r>
      <w:r w:rsidRPr="00A939B0">
        <w:rPr>
          <w:rStyle w:val="FootnoteReference"/>
          <w:rFonts w:ascii="Traditional Arabic" w:hAnsi="Traditional Arabic" w:cs="Traditional Arabic" w:hint="cs"/>
          <w:b w:val="0"/>
          <w:bCs w:val="0"/>
          <w:sz w:val="24"/>
          <w:szCs w:val="24"/>
          <w:rtl/>
        </w:rPr>
        <w:t xml:space="preserve">، </w:t>
      </w:r>
      <w:r w:rsidRPr="00765403">
        <w:rPr>
          <w:rStyle w:val="FootnoteReference"/>
          <w:b w:val="0"/>
          <w:bCs w:val="0"/>
        </w:rPr>
        <w:t>2</w:t>
      </w:r>
      <w:r w:rsidRPr="00765403">
        <w:rPr>
          <w:b w:val="0"/>
          <w:bCs w:val="0"/>
          <w:sz w:val="16"/>
          <w:szCs w:val="16"/>
          <w:rtl/>
        </w:rPr>
        <w:t> </w:t>
      </w:r>
      <w:r w:rsidRPr="00CE3EC1">
        <w:rPr>
          <w:rFonts w:ascii="Times New Roman" w:hAnsi="Times New Roman"/>
          <w:b w:val="0"/>
          <w:bCs w:val="0"/>
          <w:sz w:val="16"/>
          <w:szCs w:val="24"/>
        </w:rPr>
        <w:t>(WRC-15)     </w:t>
      </w:r>
    </w:p>
    <w:p w14:paraId="2664C9DA" w14:textId="77777777" w:rsidR="00494B02" w:rsidRDefault="00691542">
      <w:pPr>
        <w:pStyle w:val="Proposal"/>
      </w:pPr>
      <w:r>
        <w:t>ADD</w:t>
      </w:r>
      <w:r>
        <w:tab/>
        <w:t>IAP/11A19A3A2/1</w:t>
      </w:r>
      <w:r>
        <w:rPr>
          <w:vanish/>
          <w:color w:val="7F7F7F" w:themeColor="text1" w:themeTint="80"/>
          <w:vertAlign w:val="superscript"/>
        </w:rPr>
        <w:t>#50067</w:t>
      </w:r>
    </w:p>
    <w:p w14:paraId="03A0706A" w14:textId="769D534F" w:rsidR="00824978" w:rsidRDefault="00691542" w:rsidP="00E55B57">
      <w:pPr>
        <w:rPr>
          <w:rtl/>
          <w:lang w:bidi="ar-EG"/>
        </w:rPr>
      </w:pPr>
      <w:r w:rsidRPr="00C07D95">
        <w:rPr>
          <w:rStyle w:val="Provsplit"/>
        </w:rPr>
        <w:t>1.6</w:t>
      </w:r>
      <w:r w:rsidRPr="00C07D95">
        <w:rPr>
          <w:rStyle w:val="Provsplit"/>
          <w:rFonts w:hint="cs"/>
          <w:i/>
          <w:iCs/>
          <w:rtl/>
        </w:rPr>
        <w:t>مكرراً</w:t>
      </w:r>
      <w:r w:rsidRPr="00C07D95">
        <w:rPr>
          <w:rtl/>
          <w:lang w:bidi="ar-EG"/>
        </w:rPr>
        <w:tab/>
      </w:r>
      <w:r w:rsidRPr="00C07D95">
        <w:rPr>
          <w:rFonts w:hint="cs"/>
          <w:rtl/>
          <w:lang w:bidi="ar-EG"/>
        </w:rPr>
        <w:t xml:space="preserve">يجوز للإدارات لدى تقديم طلب لاستعمال إضافي بموجب الفقرة </w:t>
      </w:r>
      <w:r w:rsidRPr="00C07D95">
        <w:rPr>
          <w:lang w:bidi="ar-EG"/>
        </w:rPr>
        <w:t>1.6</w:t>
      </w:r>
      <w:r w:rsidRPr="00C07D95">
        <w:rPr>
          <w:rFonts w:hint="cs"/>
          <w:rtl/>
          <w:lang w:bidi="ar-EG"/>
        </w:rPr>
        <w:t xml:space="preserve"> من التذييل </w:t>
      </w:r>
      <w:r w:rsidRPr="00C07D95">
        <w:rPr>
          <w:rStyle w:val="ApprefBold"/>
        </w:rPr>
        <w:t>30B</w:t>
      </w:r>
      <w:r w:rsidRPr="00C07D95">
        <w:rPr>
          <w:rFonts w:hint="cs"/>
          <w:rtl/>
          <w:lang w:bidi="ar-EG"/>
        </w:rPr>
        <w:t xml:space="preserve"> تقديم </w:t>
      </w:r>
      <w:r w:rsidR="00E55B57" w:rsidRPr="00E55B57">
        <w:rPr>
          <w:rtl/>
          <w:lang w:bidi="ar-EG"/>
        </w:rPr>
        <w:t>المعلومات المحددة في</w:t>
      </w:r>
      <w:r w:rsidR="00E55B57" w:rsidRPr="00C07D95">
        <w:rPr>
          <w:rFonts w:hint="cs"/>
          <w:rtl/>
          <w:lang w:bidi="ar-EG"/>
        </w:rPr>
        <w:t xml:space="preserve"> </w:t>
      </w:r>
      <w:r w:rsidRPr="00C07D95">
        <w:rPr>
          <w:rFonts w:hint="cs"/>
          <w:rtl/>
          <w:lang w:bidi="ar-EG"/>
        </w:rPr>
        <w:t>التذييل</w:t>
      </w:r>
      <w:r w:rsidRPr="00C07D95">
        <w:rPr>
          <w:rFonts w:hint="eastAsia"/>
          <w:rtl/>
          <w:lang w:bidi="ar-EG"/>
        </w:rPr>
        <w:t> </w:t>
      </w:r>
      <w:r w:rsidRPr="00C07D95">
        <w:rPr>
          <w:rStyle w:val="ApprefBold"/>
        </w:rPr>
        <w:t>4</w:t>
      </w:r>
      <w:r w:rsidRPr="00C07D95">
        <w:rPr>
          <w:rFonts w:hint="cs"/>
          <w:rtl/>
          <w:lang w:bidi="ar-EG"/>
        </w:rPr>
        <w:t xml:space="preserve"> </w:t>
      </w:r>
      <w:proofErr w:type="spellStart"/>
      <w:r w:rsidRPr="00C07D95">
        <w:rPr>
          <w:rFonts w:hint="cs"/>
          <w:rtl/>
          <w:lang w:bidi="ar-EG"/>
        </w:rPr>
        <w:t>للفدرات</w:t>
      </w:r>
      <w:proofErr w:type="spellEnd"/>
      <w:r w:rsidRPr="00C07D95">
        <w:rPr>
          <w:rFonts w:hint="cs"/>
          <w:rtl/>
          <w:lang w:bidi="ar-EG"/>
        </w:rPr>
        <w:t xml:space="preserve">/النطاقات الفرعية على السواء بنطاق تردد </w:t>
      </w:r>
      <w:r w:rsidRPr="00C07D95">
        <w:rPr>
          <w:lang w:bidi="ar-EG"/>
        </w:rPr>
        <w:t>MHz 250</w:t>
      </w:r>
      <w:r w:rsidRPr="00C07D95">
        <w:rPr>
          <w:rFonts w:hint="cs"/>
          <w:rtl/>
          <w:lang w:bidi="ar-EG"/>
        </w:rPr>
        <w:t xml:space="preserve"> لكل منها (</w:t>
      </w:r>
      <w:r w:rsidRPr="00C07D95">
        <w:rPr>
          <w:lang w:bidi="ar-EG"/>
        </w:rPr>
        <w:t>GHz 10,95-10,7</w:t>
      </w:r>
      <w:r w:rsidRPr="00C07D95">
        <w:rPr>
          <w:rFonts w:hint="cs"/>
          <w:rtl/>
          <w:lang w:bidi="ar-EG"/>
        </w:rPr>
        <w:t xml:space="preserve"> أو </w:t>
      </w:r>
      <w:r w:rsidRPr="00C07D95">
        <w:rPr>
          <w:lang w:bidi="ar-EG"/>
        </w:rPr>
        <w:t>GHz 11,45</w:t>
      </w:r>
      <w:r w:rsidRPr="00C07D95">
        <w:rPr>
          <w:lang w:bidi="ar-EG"/>
        </w:rPr>
        <w:noBreakHyphen/>
        <w:t>11,2</w:t>
      </w:r>
      <w:r w:rsidRPr="00C07D95">
        <w:rPr>
          <w:rFonts w:hint="cs"/>
          <w:rtl/>
          <w:lang w:bidi="ar-EG"/>
        </w:rPr>
        <w:t xml:space="preserve"> للوصلة الهابطة </w:t>
      </w:r>
      <w:r w:rsidRPr="00C07D95">
        <w:rPr>
          <w:lang w:bidi="ar-EG"/>
        </w:rPr>
        <w:t>GHz 13,0-12,75</w:t>
      </w:r>
      <w:r w:rsidRPr="00C07D95">
        <w:rPr>
          <w:rFonts w:hint="cs"/>
          <w:rtl/>
          <w:lang w:bidi="ar-EG"/>
        </w:rPr>
        <w:t xml:space="preserve"> أو </w:t>
      </w:r>
      <w:r w:rsidRPr="00C07D95">
        <w:rPr>
          <w:lang w:bidi="ar-EG"/>
        </w:rPr>
        <w:t>GHz 13,25</w:t>
      </w:r>
      <w:r w:rsidRPr="00C07D95">
        <w:rPr>
          <w:lang w:bidi="ar-EG"/>
        </w:rPr>
        <w:noBreakHyphen/>
        <w:t>13,0</w:t>
      </w:r>
      <w:r w:rsidRPr="00C07D95">
        <w:rPr>
          <w:rFonts w:hint="cs"/>
          <w:rtl/>
          <w:lang w:bidi="ar-EG"/>
        </w:rPr>
        <w:t xml:space="preserve"> للوصلة الصاعدة) والتبليغ بموجب المادة </w:t>
      </w:r>
      <w:r w:rsidRPr="00D46B94">
        <w:rPr>
          <w:rStyle w:val="Artref"/>
        </w:rPr>
        <w:t>8</w:t>
      </w:r>
      <w:r w:rsidRPr="00C07D95">
        <w:rPr>
          <w:rFonts w:hint="cs"/>
          <w:rtl/>
          <w:lang w:bidi="ar-EG"/>
        </w:rPr>
        <w:t xml:space="preserve"> عن واحدة من الفدرتين/واحد من النطاقين الفرعيين فقط ووضعها/وضعه في الخدمة بنطاق </w:t>
      </w:r>
      <w:r w:rsidRPr="00C07D95">
        <w:rPr>
          <w:lang w:bidi="ar-EG"/>
        </w:rPr>
        <w:t>MHz 250</w:t>
      </w:r>
      <w:r w:rsidRPr="00C07D95">
        <w:rPr>
          <w:rFonts w:hint="cs"/>
          <w:rtl/>
          <w:lang w:bidi="ar-EG"/>
        </w:rPr>
        <w:t xml:space="preserve"> لكل منها (</w:t>
      </w:r>
      <w:r w:rsidRPr="00C07D95">
        <w:rPr>
          <w:lang w:bidi="ar-EG"/>
        </w:rPr>
        <w:t>GHz 10,95-10,7</w:t>
      </w:r>
      <w:r w:rsidRPr="00C07D95">
        <w:rPr>
          <w:rFonts w:hint="cs"/>
          <w:rtl/>
          <w:lang w:bidi="ar-EG"/>
        </w:rPr>
        <w:t xml:space="preserve"> أو </w:t>
      </w:r>
      <w:r w:rsidRPr="00C07D95">
        <w:rPr>
          <w:lang w:bidi="ar-EG"/>
        </w:rPr>
        <w:t>GHz 11,45-11,2</w:t>
      </w:r>
      <w:r w:rsidRPr="00C07D95">
        <w:rPr>
          <w:rFonts w:hint="cs"/>
          <w:rtl/>
          <w:lang w:bidi="ar-EG"/>
        </w:rPr>
        <w:t xml:space="preserve"> للوصلة الهابطة و</w:t>
      </w:r>
      <w:r w:rsidRPr="00C07D95">
        <w:rPr>
          <w:lang w:bidi="ar-EG"/>
        </w:rPr>
        <w:t>GHz 13,0</w:t>
      </w:r>
      <w:r w:rsidRPr="00C07D95">
        <w:rPr>
          <w:lang w:bidi="ar-EG"/>
        </w:rPr>
        <w:noBreakHyphen/>
        <w:t>12,75</w:t>
      </w:r>
      <w:r w:rsidRPr="00C07D95">
        <w:rPr>
          <w:rFonts w:hint="cs"/>
          <w:rtl/>
          <w:lang w:bidi="ar-EG"/>
        </w:rPr>
        <w:t xml:space="preserve"> أو </w:t>
      </w:r>
      <w:r w:rsidRPr="00C07D95">
        <w:rPr>
          <w:lang w:bidi="ar-EG"/>
        </w:rPr>
        <w:t>GHz 13,25-13,0</w:t>
      </w:r>
      <w:r w:rsidRPr="00C07D95">
        <w:rPr>
          <w:rFonts w:hint="cs"/>
          <w:rtl/>
          <w:lang w:bidi="ar-EG"/>
        </w:rPr>
        <w:t xml:space="preserve"> للوصلة الصاعدة) أو تقديم بموجب الفقرة </w:t>
      </w:r>
      <w:r w:rsidRPr="00C07D95">
        <w:rPr>
          <w:lang w:bidi="ar-EG"/>
        </w:rPr>
        <w:t>1.6</w:t>
      </w:r>
      <w:r w:rsidRPr="00C07D95">
        <w:rPr>
          <w:rFonts w:hint="cs"/>
          <w:rtl/>
          <w:lang w:bidi="ar-EG"/>
        </w:rPr>
        <w:t xml:space="preserve"> أي من الفدرتين/النطاقين الفرعيين </w:t>
      </w:r>
      <w:r w:rsidRPr="00C07D95">
        <w:rPr>
          <w:lang w:bidi="ar-EG"/>
        </w:rPr>
        <w:t>MHz 250</w:t>
      </w:r>
      <w:r w:rsidRPr="00C07D95">
        <w:rPr>
          <w:rFonts w:hint="cs"/>
          <w:rtl/>
          <w:lang w:bidi="ar-EG"/>
        </w:rPr>
        <w:t xml:space="preserve"> (</w:t>
      </w:r>
      <w:r w:rsidRPr="00C07D95">
        <w:rPr>
          <w:lang w:bidi="ar-EG"/>
        </w:rPr>
        <w:t>GHz 10,95-10,7</w:t>
      </w:r>
      <w:r w:rsidRPr="00C07D95">
        <w:rPr>
          <w:rFonts w:hint="cs"/>
          <w:rtl/>
          <w:lang w:bidi="ar-EG"/>
        </w:rPr>
        <w:t xml:space="preserve"> أو </w:t>
      </w:r>
      <w:r w:rsidRPr="00C07D95">
        <w:rPr>
          <w:lang w:bidi="ar-EG"/>
        </w:rPr>
        <w:t>GHz 11,45-11,2</w:t>
      </w:r>
      <w:r w:rsidRPr="00C07D95">
        <w:rPr>
          <w:rFonts w:hint="cs"/>
          <w:rtl/>
          <w:lang w:bidi="ar-EG"/>
        </w:rPr>
        <w:t xml:space="preserve"> للوصلة الهابطة و</w:t>
      </w:r>
      <w:r w:rsidRPr="00C07D95">
        <w:rPr>
          <w:lang w:bidi="ar-EG"/>
        </w:rPr>
        <w:t>GHz 13,0</w:t>
      </w:r>
      <w:r w:rsidRPr="00C07D95">
        <w:rPr>
          <w:lang w:bidi="ar-EG"/>
        </w:rPr>
        <w:noBreakHyphen/>
        <w:t>12,75</w:t>
      </w:r>
      <w:r w:rsidRPr="00C07D95">
        <w:rPr>
          <w:rFonts w:hint="cs"/>
          <w:rtl/>
          <w:lang w:bidi="ar-EG"/>
        </w:rPr>
        <w:t xml:space="preserve"> أو </w:t>
      </w:r>
      <w:r w:rsidRPr="00C07D95">
        <w:rPr>
          <w:lang w:bidi="ar-EG"/>
        </w:rPr>
        <w:t>GHz 13,25</w:t>
      </w:r>
      <w:r w:rsidRPr="00C07D95">
        <w:rPr>
          <w:lang w:bidi="ar-EG"/>
        </w:rPr>
        <w:noBreakHyphen/>
        <w:t>13,0</w:t>
      </w:r>
      <w:r w:rsidRPr="00C07D95">
        <w:rPr>
          <w:rFonts w:hint="cs"/>
          <w:rtl/>
          <w:lang w:bidi="ar-EG"/>
        </w:rPr>
        <w:t xml:space="preserve"> للوصلة الصاعدة) والتبليغ عن تلك الفدرة/ذلك النطاق الفرعي ووضعها/وضعه في الخدمة بموجب المادة </w:t>
      </w:r>
      <w:r w:rsidRPr="00D46B94">
        <w:rPr>
          <w:rStyle w:val="Artref"/>
        </w:rPr>
        <w:t>8</w:t>
      </w:r>
      <w:r w:rsidRPr="00D46B94">
        <w:rPr>
          <w:rFonts w:hint="cs"/>
          <w:rtl/>
          <w:lang w:bidi="ar-EG"/>
        </w:rPr>
        <w:t>.</w:t>
      </w:r>
      <w:r w:rsidRPr="00C07D95">
        <w:rPr>
          <w:rFonts w:hint="cs"/>
          <w:rtl/>
          <w:lang w:bidi="ar-EG"/>
        </w:rPr>
        <w:t xml:space="preserve"> وعلى المكتب أن يعالج تلك الفدرة المقدمة/ذلك النطاق الفرعي المقدم بموجب المادة </w:t>
      </w:r>
      <w:r w:rsidRPr="00D46B94">
        <w:rPr>
          <w:rStyle w:val="Artref"/>
        </w:rPr>
        <w:t>6</w:t>
      </w:r>
      <w:r w:rsidRPr="00C07D95">
        <w:rPr>
          <w:rFonts w:hint="cs"/>
          <w:rtl/>
          <w:lang w:bidi="ar-EG"/>
        </w:rPr>
        <w:t xml:space="preserve">، ويطبق المادة </w:t>
      </w:r>
      <w:r w:rsidRPr="00D46B94">
        <w:rPr>
          <w:rStyle w:val="Artref"/>
        </w:rPr>
        <w:t>8</w:t>
      </w:r>
      <w:r w:rsidRPr="00C07D95">
        <w:rPr>
          <w:rFonts w:hint="cs"/>
          <w:rtl/>
          <w:lang w:bidi="ar-EG"/>
        </w:rPr>
        <w:t xml:space="preserve"> على الفدرة/النطاق الفرعي المبلغ عنها/عنه والموضوع/الموضوعة في الخدمة ويلغي الفدرة الأخرى/النطاق الفرعي الآخر من قاعدة </w:t>
      </w:r>
      <w:r w:rsidR="00122AD0" w:rsidRPr="00C07D95">
        <w:rPr>
          <w:rFonts w:hint="cs"/>
          <w:rtl/>
          <w:lang w:bidi="ar-EG"/>
        </w:rPr>
        <w:t>بياناته.</w:t>
      </w:r>
      <w:r w:rsidR="00122AD0" w:rsidRPr="00C07D95">
        <w:rPr>
          <w:sz w:val="16"/>
          <w:szCs w:val="24"/>
          <w:lang w:bidi="ar-EG"/>
        </w:rPr>
        <w:t xml:space="preserve"> (</w:t>
      </w:r>
      <w:r w:rsidRPr="00C07D95">
        <w:rPr>
          <w:sz w:val="16"/>
          <w:szCs w:val="24"/>
          <w:lang w:bidi="ar-EG"/>
        </w:rPr>
        <w:t>WRC-19)</w:t>
      </w:r>
      <w:r>
        <w:rPr>
          <w:sz w:val="16"/>
          <w:szCs w:val="24"/>
          <w:lang w:bidi="ar-EG"/>
        </w:rPr>
        <w:t>     </w:t>
      </w:r>
    </w:p>
    <w:p w14:paraId="28352022" w14:textId="04FD9043" w:rsidR="00C07D95" w:rsidRPr="00E55B57" w:rsidRDefault="00691542" w:rsidP="00D46B94">
      <w:pPr>
        <w:pStyle w:val="Reasons"/>
        <w:rPr>
          <w:rtl/>
          <w:lang w:bidi="ar-EG"/>
        </w:rPr>
      </w:pPr>
      <w:r w:rsidRPr="00C07D95">
        <w:rPr>
          <w:rtl/>
        </w:rPr>
        <w:t>الأسباب</w:t>
      </w:r>
      <w:r>
        <w:rPr>
          <w:rtl/>
        </w:rPr>
        <w:t>:</w:t>
      </w:r>
      <w:r>
        <w:tab/>
      </w:r>
      <w:r w:rsidR="00C07D95" w:rsidRPr="00D46B94">
        <w:rPr>
          <w:rFonts w:hint="cs"/>
          <w:b w:val="0"/>
          <w:bCs w:val="0"/>
          <w:rtl/>
          <w:lang w:bidi="ar-EG"/>
        </w:rPr>
        <w:t>تُتطلب</w:t>
      </w:r>
      <w:r w:rsidR="00C07D95" w:rsidRPr="00D46B94">
        <w:rPr>
          <w:b w:val="0"/>
          <w:bCs w:val="0"/>
          <w:rtl/>
          <w:lang w:bidi="ar-EG"/>
        </w:rPr>
        <w:t xml:space="preserve"> إضافات لتحديث لوائح الراديو وفقاً للممارسات القائمة بين الإدارات في إجراءات تقديم</w:t>
      </w:r>
      <w:r w:rsidR="00C07D95" w:rsidRPr="00D46B94">
        <w:rPr>
          <w:rFonts w:hint="cs"/>
          <w:b w:val="0"/>
          <w:bCs w:val="0"/>
          <w:rtl/>
          <w:lang w:bidi="ar-EG"/>
        </w:rPr>
        <w:t xml:space="preserve"> الطلبات بشأن الاستعمال </w:t>
      </w:r>
      <w:r w:rsidR="00C07D95" w:rsidRPr="00D46B94">
        <w:rPr>
          <w:b w:val="0"/>
          <w:bCs w:val="0"/>
          <w:rtl/>
          <w:lang w:bidi="ar-EG"/>
        </w:rPr>
        <w:t xml:space="preserve">الإضافي و/أو وضع فدرة/نطاق فرعي </w:t>
      </w:r>
      <w:r w:rsidR="00C07D95" w:rsidRPr="00D46B94">
        <w:rPr>
          <w:rFonts w:hint="cs"/>
          <w:b w:val="0"/>
          <w:bCs w:val="0"/>
          <w:rtl/>
          <w:lang w:bidi="ar-EG"/>
        </w:rPr>
        <w:t>بعرض</w:t>
      </w:r>
      <w:r w:rsidR="00C07D95" w:rsidRPr="00D46B94">
        <w:rPr>
          <w:b w:val="0"/>
          <w:bCs w:val="0"/>
          <w:rtl/>
          <w:lang w:bidi="ar-EG"/>
        </w:rPr>
        <w:t xml:space="preserve"> </w:t>
      </w:r>
      <w:r w:rsidR="00C07D95" w:rsidRPr="00765403">
        <w:rPr>
          <w:rFonts w:ascii="Times New Roman" w:hAnsi="Times New Roman"/>
          <w:b w:val="0"/>
          <w:bCs w:val="0"/>
          <w:lang w:bidi="ar-EG"/>
        </w:rPr>
        <w:t>MHz 250</w:t>
      </w:r>
      <w:r w:rsidR="00C07D95" w:rsidRPr="00765403">
        <w:rPr>
          <w:rFonts w:ascii="Times New Roman" w:hAnsi="Times New Roman" w:hint="cs"/>
          <w:b w:val="0"/>
          <w:bCs w:val="0"/>
          <w:rtl/>
          <w:lang w:bidi="ar-EG"/>
        </w:rPr>
        <w:t xml:space="preserve"> </w:t>
      </w:r>
      <w:r w:rsidR="00C07D95" w:rsidRPr="00D46B94">
        <w:rPr>
          <w:b w:val="0"/>
          <w:bCs w:val="0"/>
          <w:rtl/>
          <w:lang w:bidi="ar-EG"/>
        </w:rPr>
        <w:t xml:space="preserve">في النطاق </w:t>
      </w:r>
      <w:r w:rsidR="00C07D95" w:rsidRPr="00765403">
        <w:rPr>
          <w:rFonts w:ascii="Times New Roman" w:hAnsi="Times New Roman"/>
          <w:b w:val="0"/>
          <w:bCs w:val="0"/>
        </w:rPr>
        <w:t>GHz 13-1</w:t>
      </w:r>
      <w:r w:rsidR="003C1582">
        <w:rPr>
          <w:rFonts w:ascii="Times New Roman" w:hAnsi="Times New Roman"/>
          <w:b w:val="0"/>
          <w:bCs w:val="0"/>
        </w:rPr>
        <w:t>1</w:t>
      </w:r>
      <w:r w:rsidR="00C07D95" w:rsidRPr="00D46B94">
        <w:rPr>
          <w:b w:val="0"/>
          <w:bCs w:val="0"/>
          <w:rtl/>
          <w:lang w:bidi="ar-EG"/>
        </w:rPr>
        <w:t xml:space="preserve"> حسب احتياجاتها.</w:t>
      </w:r>
    </w:p>
    <w:p w14:paraId="0C6F1C56" w14:textId="77777777" w:rsidR="00494B02" w:rsidRDefault="00691542">
      <w:pPr>
        <w:pStyle w:val="Proposal"/>
      </w:pPr>
      <w:r>
        <w:t>ADD</w:t>
      </w:r>
      <w:r>
        <w:tab/>
        <w:t>IAP/11A19A3A2/2</w:t>
      </w:r>
      <w:r>
        <w:rPr>
          <w:vanish/>
          <w:color w:val="7F7F7F" w:themeColor="text1" w:themeTint="80"/>
          <w:vertAlign w:val="superscript"/>
        </w:rPr>
        <w:t>#50068</w:t>
      </w:r>
    </w:p>
    <w:p w14:paraId="1D9ED06F" w14:textId="77777777" w:rsidR="00824978" w:rsidRPr="00CB4245" w:rsidRDefault="00691542" w:rsidP="00824978">
      <w:pPr>
        <w:rPr>
          <w:lang w:val="fr-FR" w:bidi="ar-EG"/>
        </w:rPr>
      </w:pPr>
      <w:r w:rsidRPr="00D60C8A">
        <w:rPr>
          <w:rStyle w:val="Provsplit"/>
        </w:rPr>
        <w:t>17.6</w:t>
      </w:r>
      <w:r w:rsidRPr="00D60C8A">
        <w:rPr>
          <w:rStyle w:val="Provsplit"/>
          <w:rFonts w:hint="cs"/>
          <w:i/>
          <w:iCs/>
          <w:rtl/>
        </w:rPr>
        <w:t>مكرراً</w:t>
      </w:r>
      <w:r>
        <w:rPr>
          <w:rtl/>
          <w:lang w:bidi="ar-EG"/>
        </w:rPr>
        <w:tab/>
      </w:r>
      <w:r w:rsidRPr="00BB3852">
        <w:rPr>
          <w:rFonts w:hint="cs"/>
          <w:spacing w:val="4"/>
          <w:rtl/>
          <w:lang w:bidi="ar-EG"/>
        </w:rPr>
        <w:t xml:space="preserve">يجوز للإدارة التي قدمت بطاقة تبليغ لاستعمال إضافي بموجب الرقم </w:t>
      </w:r>
      <w:r w:rsidRPr="00BB3852">
        <w:rPr>
          <w:spacing w:val="4"/>
          <w:lang w:bidi="ar-EG"/>
        </w:rPr>
        <w:t>1.6</w:t>
      </w:r>
      <w:r w:rsidRPr="00BB3852">
        <w:rPr>
          <w:rFonts w:hint="cs"/>
          <w:spacing w:val="4"/>
          <w:rtl/>
          <w:lang w:bidi="ar-EG"/>
        </w:rPr>
        <w:t xml:space="preserve"> أن تطلب إلى المكتب أن يدرج في</w:t>
      </w:r>
      <w:r>
        <w:rPr>
          <w:rFonts w:hint="eastAsia"/>
          <w:spacing w:val="4"/>
          <w:rtl/>
          <w:lang w:bidi="ar-EG"/>
        </w:rPr>
        <w:t> </w:t>
      </w:r>
      <w:r w:rsidRPr="00BB3852">
        <w:rPr>
          <w:rFonts w:hint="cs"/>
          <w:spacing w:val="4"/>
          <w:rtl/>
          <w:lang w:bidi="ar-EG"/>
        </w:rPr>
        <w:t xml:space="preserve">القائمة فدرة واحدة/نطاق فرعي واحد فقط بقيمة </w:t>
      </w:r>
      <w:r w:rsidRPr="00BB3852">
        <w:rPr>
          <w:spacing w:val="4"/>
          <w:lang w:bidi="ar-EG"/>
        </w:rPr>
        <w:t>MHz 250</w:t>
      </w:r>
      <w:r w:rsidRPr="00BB3852">
        <w:rPr>
          <w:rFonts w:hint="cs"/>
          <w:spacing w:val="4"/>
          <w:rtl/>
          <w:lang w:bidi="ar-EG"/>
        </w:rPr>
        <w:t xml:space="preserve"> (</w:t>
      </w:r>
      <w:r w:rsidRPr="00BB3852">
        <w:rPr>
          <w:spacing w:val="4"/>
          <w:lang w:bidi="ar-EG"/>
        </w:rPr>
        <w:t>GHz 10,95-10,7</w:t>
      </w:r>
      <w:r w:rsidRPr="00BB3852">
        <w:rPr>
          <w:rFonts w:hint="cs"/>
          <w:spacing w:val="4"/>
          <w:rtl/>
          <w:lang w:bidi="ar-EG"/>
        </w:rPr>
        <w:t xml:space="preserve"> أو </w:t>
      </w:r>
      <w:r w:rsidRPr="00BB3852">
        <w:rPr>
          <w:spacing w:val="4"/>
          <w:lang w:bidi="ar-EG"/>
        </w:rPr>
        <w:t>GHz 11,45-11,2</w:t>
      </w:r>
      <w:r w:rsidRPr="00BB3852">
        <w:rPr>
          <w:rFonts w:hint="cs"/>
          <w:spacing w:val="4"/>
          <w:rtl/>
          <w:lang w:bidi="ar-EG"/>
        </w:rPr>
        <w:t xml:space="preserve"> للوصلة الهابطة </w:t>
      </w:r>
      <w:r>
        <w:rPr>
          <w:rFonts w:hint="cs"/>
          <w:rtl/>
          <w:lang w:bidi="ar-EG"/>
        </w:rPr>
        <w:t>و</w:t>
      </w:r>
      <w:r>
        <w:rPr>
          <w:lang w:bidi="ar-EG"/>
        </w:rPr>
        <w:t>GHz 13,0</w:t>
      </w:r>
      <w:r>
        <w:rPr>
          <w:lang w:bidi="ar-EG"/>
        </w:rPr>
        <w:noBreakHyphen/>
        <w:t>12,75</w:t>
      </w:r>
      <w:r>
        <w:rPr>
          <w:rFonts w:hint="cs"/>
          <w:rtl/>
          <w:lang w:bidi="ar-EG"/>
        </w:rPr>
        <w:t xml:space="preserve"> أو </w:t>
      </w:r>
      <w:r>
        <w:rPr>
          <w:lang w:bidi="ar-EG"/>
        </w:rPr>
        <w:t>GHz 13,25</w:t>
      </w:r>
      <w:r>
        <w:rPr>
          <w:lang w:bidi="ar-EG"/>
        </w:rPr>
        <w:noBreakHyphen/>
        <w:t>13,0</w:t>
      </w:r>
      <w:r>
        <w:rPr>
          <w:rFonts w:hint="cs"/>
          <w:rtl/>
          <w:lang w:bidi="ar-EG"/>
        </w:rPr>
        <w:t xml:space="preserve"> للوصلة الصاعدة).</w:t>
      </w:r>
      <w:r w:rsidRPr="00B06A8F">
        <w:rPr>
          <w:sz w:val="16"/>
          <w:szCs w:val="24"/>
          <w:lang w:bidi="ar-EG"/>
        </w:rPr>
        <w:t xml:space="preserve"> </w:t>
      </w:r>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61888C05" w14:textId="6252CC0B" w:rsidR="00C07D95" w:rsidRPr="00E55B57" w:rsidRDefault="00691542" w:rsidP="00C07D95">
      <w:pPr>
        <w:pStyle w:val="Reasons"/>
        <w:rPr>
          <w:b w:val="0"/>
          <w:bCs w:val="0"/>
          <w:rtl/>
          <w:lang w:bidi="ar-EG"/>
        </w:rPr>
      </w:pPr>
      <w:r>
        <w:rPr>
          <w:rtl/>
        </w:rPr>
        <w:t>الأسباب:</w:t>
      </w:r>
      <w:r>
        <w:tab/>
      </w:r>
      <w:r w:rsidR="00C07D95" w:rsidRPr="00C07D95">
        <w:rPr>
          <w:rFonts w:hint="cs"/>
          <w:b w:val="0"/>
          <w:bCs w:val="0"/>
          <w:rtl/>
          <w:lang w:bidi="ar-EG"/>
        </w:rPr>
        <w:t>تُتطلب</w:t>
      </w:r>
      <w:r w:rsidR="00C07D95" w:rsidRPr="00E55B57">
        <w:rPr>
          <w:b w:val="0"/>
          <w:bCs w:val="0"/>
          <w:rtl/>
          <w:lang w:bidi="ar-EG"/>
        </w:rPr>
        <w:t xml:space="preserve"> إضافات لتحديث لوائح الراديو وفقاً للممارسات القائمة بين الإدارات في إجراءات تقديم</w:t>
      </w:r>
      <w:r w:rsidR="00C07D95" w:rsidRPr="00C07D95">
        <w:rPr>
          <w:rFonts w:hint="cs"/>
          <w:b w:val="0"/>
          <w:bCs w:val="0"/>
          <w:rtl/>
          <w:lang w:bidi="ar-EG"/>
        </w:rPr>
        <w:t xml:space="preserve"> الطلبات بشأن الاستعمال </w:t>
      </w:r>
      <w:r w:rsidR="00C07D95" w:rsidRPr="00E55B57">
        <w:rPr>
          <w:b w:val="0"/>
          <w:bCs w:val="0"/>
          <w:rtl/>
          <w:lang w:bidi="ar-EG"/>
        </w:rPr>
        <w:t xml:space="preserve">الإضافي و/أو وضع فدرة/نطاق فرعي </w:t>
      </w:r>
      <w:r w:rsidR="00C07D95" w:rsidRPr="00C07D95">
        <w:rPr>
          <w:rFonts w:hint="cs"/>
          <w:b w:val="0"/>
          <w:bCs w:val="0"/>
          <w:rtl/>
          <w:lang w:bidi="ar-EG"/>
        </w:rPr>
        <w:t>بعرض</w:t>
      </w:r>
      <w:r w:rsidR="00C07D95" w:rsidRPr="00E55B57">
        <w:rPr>
          <w:b w:val="0"/>
          <w:bCs w:val="0"/>
          <w:rtl/>
          <w:lang w:bidi="ar-EG"/>
        </w:rPr>
        <w:t xml:space="preserve"> </w:t>
      </w:r>
      <w:r w:rsidR="00C07D95" w:rsidRPr="00765403">
        <w:rPr>
          <w:rFonts w:ascii="Times New Roman" w:hAnsi="Times New Roman"/>
          <w:b w:val="0"/>
          <w:bCs w:val="0"/>
        </w:rPr>
        <w:t>MHz 250</w:t>
      </w:r>
      <w:r w:rsidR="00C07D95" w:rsidRPr="00C07D95">
        <w:rPr>
          <w:rFonts w:hint="cs"/>
          <w:b w:val="0"/>
          <w:bCs w:val="0"/>
          <w:rtl/>
          <w:lang w:bidi="ar-EG"/>
        </w:rPr>
        <w:t xml:space="preserve"> </w:t>
      </w:r>
      <w:r w:rsidR="00C07D95" w:rsidRPr="00E55B57">
        <w:rPr>
          <w:b w:val="0"/>
          <w:bCs w:val="0"/>
          <w:rtl/>
          <w:lang w:bidi="ar-EG"/>
        </w:rPr>
        <w:t xml:space="preserve">في النطاق </w:t>
      </w:r>
      <w:r w:rsidR="00C07D95" w:rsidRPr="00765403">
        <w:rPr>
          <w:rFonts w:ascii="Times New Roman" w:hAnsi="Times New Roman"/>
          <w:b w:val="0"/>
          <w:bCs w:val="0"/>
        </w:rPr>
        <w:t>GHz 13-1</w:t>
      </w:r>
      <w:r w:rsidR="003C1582">
        <w:rPr>
          <w:rFonts w:ascii="Times New Roman" w:hAnsi="Times New Roman"/>
          <w:b w:val="0"/>
          <w:bCs w:val="0"/>
        </w:rPr>
        <w:t>1</w:t>
      </w:r>
      <w:r w:rsidR="00C07D95" w:rsidRPr="00E55B57">
        <w:rPr>
          <w:b w:val="0"/>
          <w:bCs w:val="0"/>
          <w:rtl/>
          <w:lang w:bidi="ar-EG"/>
        </w:rPr>
        <w:t xml:space="preserve"> حسب احتياجاتها.</w:t>
      </w:r>
    </w:p>
    <w:p w14:paraId="26A69782" w14:textId="54219551" w:rsidR="00691542" w:rsidRPr="00691542" w:rsidRDefault="00691542" w:rsidP="00691542">
      <w:pPr>
        <w:spacing w:before="600"/>
        <w:jc w:val="center"/>
      </w:pPr>
      <w:r>
        <w:rPr>
          <w:rFonts w:hint="cs"/>
          <w:rtl/>
        </w:rPr>
        <w:t>_____________</w:t>
      </w:r>
    </w:p>
    <w:sectPr w:rsidR="00691542" w:rsidRPr="00691542">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5ACA7" w14:textId="77777777" w:rsidR="00F73F45" w:rsidRDefault="00F73F45" w:rsidP="002919E1">
      <w:r>
        <w:separator/>
      </w:r>
    </w:p>
    <w:p w14:paraId="7ECD6CEA" w14:textId="77777777" w:rsidR="00F73F45" w:rsidRDefault="00F73F45" w:rsidP="002919E1"/>
    <w:p w14:paraId="29D83CBA" w14:textId="77777777" w:rsidR="00F73F45" w:rsidRDefault="00F73F45" w:rsidP="002919E1"/>
    <w:p w14:paraId="679E7ED0" w14:textId="77777777" w:rsidR="00F73F45" w:rsidRDefault="00F73F45"/>
  </w:endnote>
  <w:endnote w:type="continuationSeparator" w:id="0">
    <w:p w14:paraId="67EC6AEF" w14:textId="77777777" w:rsidR="00F73F45" w:rsidRDefault="00F73F45" w:rsidP="002919E1">
      <w:r>
        <w:continuationSeparator/>
      </w:r>
    </w:p>
    <w:p w14:paraId="73CF4CCE" w14:textId="77777777" w:rsidR="00F73F45" w:rsidRDefault="00F73F45" w:rsidP="002919E1"/>
    <w:p w14:paraId="72C26FF2" w14:textId="77777777" w:rsidR="00F73F45" w:rsidRDefault="00F73F45" w:rsidP="002919E1"/>
    <w:p w14:paraId="284D9386" w14:textId="77777777" w:rsidR="00F73F45" w:rsidRDefault="00F73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F07F" w14:textId="389DDA2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E2724">
      <w:rPr>
        <w:noProof/>
      </w:rPr>
      <w:t>P:\ARA\ITU-R\CONF-R\CMR19\000\011ADD19ADD03ADD02A.docx</w:t>
    </w:r>
    <w:r>
      <w:fldChar w:fldCharType="end"/>
    </w:r>
    <w:r w:rsidRPr="00A809E8">
      <w:t xml:space="preserve">   (</w:t>
    </w:r>
    <w:r w:rsidR="00691542">
      <w:t>460801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EACF" w14:textId="3194912A" w:rsidR="00691542" w:rsidRPr="00691542" w:rsidRDefault="00691542" w:rsidP="00691542">
    <w:pPr>
      <w:pStyle w:val="Footer"/>
      <w:tabs>
        <w:tab w:val="clear" w:pos="1134"/>
        <w:tab w:val="clear" w:pos="1871"/>
        <w:tab w:val="clear" w:pos="2268"/>
        <w:tab w:val="clear" w:pos="5812"/>
        <w:tab w:val="center" w:pos="5387"/>
      </w:tabs>
      <w:rPr>
        <w:vanish/>
      </w:rPr>
    </w:pPr>
    <w:r w:rsidRPr="00691542">
      <w:rPr>
        <w:vanish/>
      </w:rPr>
      <w:fldChar w:fldCharType="begin"/>
    </w:r>
    <w:r w:rsidRPr="00691542">
      <w:rPr>
        <w:vanish/>
      </w:rPr>
      <w:instrText xml:space="preserve"> FILENAME \p \* MERGEFORMAT </w:instrText>
    </w:r>
    <w:r w:rsidRPr="00691542">
      <w:rPr>
        <w:vanish/>
      </w:rPr>
      <w:fldChar w:fldCharType="separate"/>
    </w:r>
    <w:r w:rsidR="003E2724">
      <w:rPr>
        <w:noProof/>
        <w:vanish/>
      </w:rPr>
      <w:t>P:\ARA\ITU-R\CONF-R\CMR19\000\011ADD19ADD03ADD02A.docx</w:t>
    </w:r>
    <w:r w:rsidRPr="00691542">
      <w:rPr>
        <w:vanish/>
      </w:rPr>
      <w:fldChar w:fldCharType="end"/>
    </w:r>
    <w:r w:rsidRPr="00691542">
      <w:rPr>
        <w:vanish/>
      </w:rPr>
      <w:t xml:space="preserve">   (460801)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425A" w14:textId="77777777" w:rsidR="00F73F45" w:rsidRDefault="00F73F45" w:rsidP="002919E1">
      <w:r>
        <w:t>___________________</w:t>
      </w:r>
    </w:p>
  </w:footnote>
  <w:footnote w:type="continuationSeparator" w:id="0">
    <w:p w14:paraId="2BA74D49" w14:textId="77777777" w:rsidR="00F73F45" w:rsidRDefault="00F73F45" w:rsidP="002919E1">
      <w:r>
        <w:continuationSeparator/>
      </w:r>
    </w:p>
    <w:p w14:paraId="4C4CA559" w14:textId="77777777" w:rsidR="00F73F45" w:rsidRDefault="00F73F45" w:rsidP="002919E1"/>
    <w:p w14:paraId="337035E4" w14:textId="77777777" w:rsidR="00F73F45" w:rsidRDefault="00F73F45" w:rsidP="002919E1"/>
    <w:p w14:paraId="72D032DB" w14:textId="77777777" w:rsidR="00F73F45" w:rsidRDefault="00F73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7A2C" w14:textId="77777777" w:rsidR="00281F5F" w:rsidRDefault="00281F5F" w:rsidP="002919E1"/>
  <w:p w14:paraId="7A8CC638" w14:textId="77777777" w:rsidR="00281F5F" w:rsidRDefault="00281F5F" w:rsidP="002919E1"/>
  <w:p w14:paraId="059D433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ACF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11(Add.19)(Add.3)(Add.2)-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5620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4BC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85C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BE86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AD0"/>
    <w:rsid w:val="00122D64"/>
    <w:rsid w:val="00123AA6"/>
    <w:rsid w:val="00123B85"/>
    <w:rsid w:val="0012545F"/>
    <w:rsid w:val="00136B82"/>
    <w:rsid w:val="00140B01"/>
    <w:rsid w:val="001464F2"/>
    <w:rsid w:val="00167364"/>
    <w:rsid w:val="001903B2"/>
    <w:rsid w:val="001B0F78"/>
    <w:rsid w:val="001B5953"/>
    <w:rsid w:val="001D746E"/>
    <w:rsid w:val="001E190C"/>
    <w:rsid w:val="001E51EE"/>
    <w:rsid w:val="001E54F6"/>
    <w:rsid w:val="001E5A8C"/>
    <w:rsid w:val="00201A0A"/>
    <w:rsid w:val="002075D4"/>
    <w:rsid w:val="00211B2A"/>
    <w:rsid w:val="0021672C"/>
    <w:rsid w:val="00223C6C"/>
    <w:rsid w:val="002333A0"/>
    <w:rsid w:val="002543CF"/>
    <w:rsid w:val="0026062E"/>
    <w:rsid w:val="00260F50"/>
    <w:rsid w:val="00261EF7"/>
    <w:rsid w:val="0027069F"/>
    <w:rsid w:val="00280E04"/>
    <w:rsid w:val="00281F5F"/>
    <w:rsid w:val="002843E4"/>
    <w:rsid w:val="002919E1"/>
    <w:rsid w:val="00294962"/>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1582"/>
    <w:rsid w:val="003C3A13"/>
    <w:rsid w:val="003E02EF"/>
    <w:rsid w:val="003E1D90"/>
    <w:rsid w:val="003E2724"/>
    <w:rsid w:val="00400CD4"/>
    <w:rsid w:val="004147B9"/>
    <w:rsid w:val="00422C04"/>
    <w:rsid w:val="00423A40"/>
    <w:rsid w:val="00426144"/>
    <w:rsid w:val="004636E2"/>
    <w:rsid w:val="00470CBD"/>
    <w:rsid w:val="0047407D"/>
    <w:rsid w:val="004909DD"/>
    <w:rsid w:val="00491C86"/>
    <w:rsid w:val="00494B02"/>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1542"/>
    <w:rsid w:val="00694690"/>
    <w:rsid w:val="0069526C"/>
    <w:rsid w:val="006A12AC"/>
    <w:rsid w:val="006A1C2C"/>
    <w:rsid w:val="006A2162"/>
    <w:rsid w:val="006B4B90"/>
    <w:rsid w:val="006B658C"/>
    <w:rsid w:val="006C00B7"/>
    <w:rsid w:val="006C0670"/>
    <w:rsid w:val="006D2674"/>
    <w:rsid w:val="006E38D0"/>
    <w:rsid w:val="006E465B"/>
    <w:rsid w:val="006F70BF"/>
    <w:rsid w:val="00715285"/>
    <w:rsid w:val="00716B1D"/>
    <w:rsid w:val="007248EC"/>
    <w:rsid w:val="00726744"/>
    <w:rsid w:val="00726D13"/>
    <w:rsid w:val="00731150"/>
    <w:rsid w:val="00734E41"/>
    <w:rsid w:val="00736DCC"/>
    <w:rsid w:val="00741855"/>
    <w:rsid w:val="00742B73"/>
    <w:rsid w:val="00751251"/>
    <w:rsid w:val="007610E7"/>
    <w:rsid w:val="00764079"/>
    <w:rsid w:val="00765403"/>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45F26"/>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4608"/>
    <w:rsid w:val="00A356BB"/>
    <w:rsid w:val="00A3584A"/>
    <w:rsid w:val="00A35E1F"/>
    <w:rsid w:val="00A36268"/>
    <w:rsid w:val="00A375BD"/>
    <w:rsid w:val="00A40B2C"/>
    <w:rsid w:val="00A42709"/>
    <w:rsid w:val="00A42ADC"/>
    <w:rsid w:val="00A66D2B"/>
    <w:rsid w:val="00A809E8"/>
    <w:rsid w:val="00A870AD"/>
    <w:rsid w:val="00A90843"/>
    <w:rsid w:val="00A939B0"/>
    <w:rsid w:val="00A9645C"/>
    <w:rsid w:val="00AB2A33"/>
    <w:rsid w:val="00AC1275"/>
    <w:rsid w:val="00AC7395"/>
    <w:rsid w:val="00AD162B"/>
    <w:rsid w:val="00AD690F"/>
    <w:rsid w:val="00AD69DD"/>
    <w:rsid w:val="00AE6B26"/>
    <w:rsid w:val="00AF0541"/>
    <w:rsid w:val="00AF0B2E"/>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07D95"/>
    <w:rsid w:val="00C1165E"/>
    <w:rsid w:val="00C22074"/>
    <w:rsid w:val="00C2377B"/>
    <w:rsid w:val="00C3693C"/>
    <w:rsid w:val="00C4321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3EC1"/>
    <w:rsid w:val="00CE5BA4"/>
    <w:rsid w:val="00D25120"/>
    <w:rsid w:val="00D419CB"/>
    <w:rsid w:val="00D44350"/>
    <w:rsid w:val="00D44E3F"/>
    <w:rsid w:val="00D46B94"/>
    <w:rsid w:val="00D51BB8"/>
    <w:rsid w:val="00D525F5"/>
    <w:rsid w:val="00D535D0"/>
    <w:rsid w:val="00D577D8"/>
    <w:rsid w:val="00D62C78"/>
    <w:rsid w:val="00D81703"/>
    <w:rsid w:val="00D82929"/>
    <w:rsid w:val="00D84214"/>
    <w:rsid w:val="00D943E5"/>
    <w:rsid w:val="00DA1AE0"/>
    <w:rsid w:val="00DB0891"/>
    <w:rsid w:val="00DB4CC9"/>
    <w:rsid w:val="00DC29DD"/>
    <w:rsid w:val="00DC7C0E"/>
    <w:rsid w:val="00DE7387"/>
    <w:rsid w:val="00DF2A6A"/>
    <w:rsid w:val="00DF3B72"/>
    <w:rsid w:val="00E10821"/>
    <w:rsid w:val="00E2476B"/>
    <w:rsid w:val="00E2489D"/>
    <w:rsid w:val="00E26520"/>
    <w:rsid w:val="00E343A3"/>
    <w:rsid w:val="00E51BFA"/>
    <w:rsid w:val="00E55B57"/>
    <w:rsid w:val="00E611F1"/>
    <w:rsid w:val="00E621A3"/>
    <w:rsid w:val="00E833BC"/>
    <w:rsid w:val="00E8580E"/>
    <w:rsid w:val="00E97E21"/>
    <w:rsid w:val="00EA1B76"/>
    <w:rsid w:val="00EA5D25"/>
    <w:rsid w:val="00EA77D7"/>
    <w:rsid w:val="00EB203E"/>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3395"/>
    <w:rsid w:val="00F73F4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A0AB0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character" w:customStyle="1" w:styleId="ApprefBold">
    <w:name w:val="App_ref +  Bold"/>
    <w:rsid w:val="007742EC"/>
    <w:rPr>
      <w:b/>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0742">
      <w:bodyDiv w:val="1"/>
      <w:marLeft w:val="0"/>
      <w:marRight w:val="0"/>
      <w:marTop w:val="0"/>
      <w:marBottom w:val="0"/>
      <w:divBdr>
        <w:top w:val="none" w:sz="0" w:space="0" w:color="auto"/>
        <w:left w:val="none" w:sz="0" w:space="0" w:color="auto"/>
        <w:bottom w:val="none" w:sz="0" w:space="0" w:color="auto"/>
        <w:right w:val="none" w:sz="0" w:space="0" w:color="auto"/>
      </w:divBdr>
    </w:div>
    <w:div w:id="121215440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708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A7C2-AAAE-4E87-9A0A-18033F6B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CD836-C182-4D30-A305-E3F6E5492349}">
  <ds:schemaRefs>
    <ds:schemaRef ds:uri="http://schemas.microsoft.com/office/2006/metadata/properties"/>
    <ds:schemaRef ds:uri="http://purl.org/dc/elements/1.1/"/>
    <ds:schemaRef ds:uri="http://purl.org/dc/dcmitype/"/>
    <ds:schemaRef ds:uri="http://www.w3.org/XML/1998/namespace"/>
    <ds:schemaRef ds:uri="32a1a8c5-2265-4ebc-b7a0-2071e2c5c9bb"/>
    <ds:schemaRef ds:uri="http://schemas.microsoft.com/office/infopath/2007/PartnerControls"/>
    <ds:schemaRef ds:uri="http://schemas.microsoft.com/office/2006/documentManagement/types"/>
    <ds:schemaRef ds:uri="996b2e75-67fd-4955-a3b0-5ab9934cb50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EF258B-615B-4C93-8A16-305A905B8BCC}">
  <ds:schemaRefs>
    <ds:schemaRef ds:uri="http://schemas.microsoft.com/sharepoint/events"/>
  </ds:schemaRefs>
</ds:datastoreItem>
</file>

<file path=customXml/itemProps4.xml><?xml version="1.0" encoding="utf-8"?>
<ds:datastoreItem xmlns:ds="http://schemas.openxmlformats.org/officeDocument/2006/customXml" ds:itemID="{79DE3F13-86FE-4349-BA60-EA5186A90F8B}">
  <ds:schemaRefs>
    <ds:schemaRef ds:uri="http://schemas.microsoft.com/sharepoint/v3/contenttype/forms"/>
  </ds:schemaRefs>
</ds:datastoreItem>
</file>

<file path=customXml/itemProps5.xml><?xml version="1.0" encoding="utf-8"?>
<ds:datastoreItem xmlns:ds="http://schemas.openxmlformats.org/officeDocument/2006/customXml" ds:itemID="{BE3FD370-8EA5-49B8-BCCF-66548EE1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791</Words>
  <Characters>4265</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R16-WRC19-C-0011!A19-A3-A2!MSW-A</vt:lpstr>
    </vt:vector>
  </TitlesOfParts>
  <Manager>General Secretariat - Pool</Manager>
  <Company>International Telecommunication Union (ITU)</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R16-WRC19-C-0011!A19-A3-A2!MSW-A</dc:title>
  <dc:creator>Documents Proposals Manager (DPM)</dc:creator>
  <cp:keywords>DPM_v2019.9.18.2_prod</cp:keywords>
  <cp:lastModifiedBy>Riz, Imad</cp:lastModifiedBy>
  <cp:revision>16</cp:revision>
  <cp:lastPrinted>2019-10-14T13:31:00Z</cp:lastPrinted>
  <dcterms:created xsi:type="dcterms:W3CDTF">2019-09-30T08:10:00Z</dcterms:created>
  <dcterms:modified xsi:type="dcterms:W3CDTF">2019-10-14T14:11:00Z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