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A1145C" w14:paraId="7CD3FD53" w14:textId="77777777" w:rsidTr="00987A8C">
        <w:trPr>
          <w:cantSplit/>
        </w:trPr>
        <w:tc>
          <w:tcPr>
            <w:tcW w:w="6804" w:type="dxa"/>
          </w:tcPr>
          <w:p w14:paraId="71AFAC0F" w14:textId="77777777" w:rsidR="00BB1D82" w:rsidRPr="00A1145C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A1145C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A1145C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A1145C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A1145C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A1145C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14:paraId="7B68C17E" w14:textId="77777777" w:rsidR="00BB1D82" w:rsidRPr="00A1145C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A1145C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0170ADB" wp14:editId="7F083CE9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1145C" w14:paraId="6B4CEBDB" w14:textId="77777777" w:rsidTr="00987A8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BAA5169" w14:textId="77777777" w:rsidR="00BB1D82" w:rsidRPr="00A1145C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0021785" w14:textId="77777777" w:rsidR="00BB1D82" w:rsidRPr="00A1145C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A1145C" w14:paraId="0C359DB1" w14:textId="77777777" w:rsidTr="00987A8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10126A7" w14:textId="77777777" w:rsidR="00BB1D82" w:rsidRPr="00A1145C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43479E9" w14:textId="77777777" w:rsidR="00BB1D82" w:rsidRPr="00A1145C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A1145C" w14:paraId="14F6FE0E" w14:textId="77777777" w:rsidTr="00987A8C">
        <w:trPr>
          <w:cantSplit/>
        </w:trPr>
        <w:tc>
          <w:tcPr>
            <w:tcW w:w="6804" w:type="dxa"/>
          </w:tcPr>
          <w:p w14:paraId="7FEF3732" w14:textId="77777777" w:rsidR="00BB1D82" w:rsidRPr="00A1145C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145C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14:paraId="172581F3" w14:textId="77777777" w:rsidR="00BB1D82" w:rsidRPr="00A1145C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1145C">
              <w:rPr>
                <w:rFonts w:ascii="Verdana" w:hAnsi="Verdana"/>
                <w:b/>
                <w:sz w:val="20"/>
                <w:lang w:val="fr-CH"/>
              </w:rPr>
              <w:t>Addendum 2 au</w:t>
            </w:r>
            <w:r w:rsidRPr="00A1145C">
              <w:rPr>
                <w:rFonts w:ascii="Verdana" w:hAnsi="Verdana"/>
                <w:b/>
                <w:sz w:val="20"/>
                <w:lang w:val="fr-CH"/>
              </w:rPr>
              <w:br/>
              <w:t>Document 11(Add.19)(Add.3)</w:t>
            </w:r>
            <w:r w:rsidR="00BB1D82" w:rsidRPr="00A1145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1145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A1145C" w14:paraId="7D17B24A" w14:textId="77777777" w:rsidTr="00987A8C">
        <w:trPr>
          <w:cantSplit/>
        </w:trPr>
        <w:tc>
          <w:tcPr>
            <w:tcW w:w="6804" w:type="dxa"/>
          </w:tcPr>
          <w:p w14:paraId="627D0A18" w14:textId="77777777" w:rsidR="00690C7B" w:rsidRPr="00A1145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71F91E98" w14:textId="77777777" w:rsidR="00690C7B" w:rsidRPr="00A1145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145C">
              <w:rPr>
                <w:rFonts w:ascii="Verdana" w:hAnsi="Verdana"/>
                <w:b/>
                <w:sz w:val="20"/>
                <w:lang w:val="fr-CH"/>
              </w:rPr>
              <w:t>13 septembre 2019</w:t>
            </w:r>
          </w:p>
        </w:tc>
      </w:tr>
      <w:tr w:rsidR="00690C7B" w:rsidRPr="00A1145C" w14:paraId="1D873BC3" w14:textId="77777777" w:rsidTr="00987A8C">
        <w:trPr>
          <w:cantSplit/>
        </w:trPr>
        <w:tc>
          <w:tcPr>
            <w:tcW w:w="6804" w:type="dxa"/>
          </w:tcPr>
          <w:p w14:paraId="111FB181" w14:textId="77777777" w:rsidR="00690C7B" w:rsidRPr="00A1145C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14:paraId="07E955A4" w14:textId="4F577374" w:rsidR="00690C7B" w:rsidRPr="00A1145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1145C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6A7B39" w:rsidRPr="00A1145C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A1145C" w14:paraId="404E1F1C" w14:textId="77777777" w:rsidTr="00C11970">
        <w:trPr>
          <w:cantSplit/>
        </w:trPr>
        <w:tc>
          <w:tcPr>
            <w:tcW w:w="10031" w:type="dxa"/>
            <w:gridSpan w:val="2"/>
          </w:tcPr>
          <w:p w14:paraId="680C70BE" w14:textId="77777777" w:rsidR="00690C7B" w:rsidRPr="00A1145C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A1145C" w14:paraId="44C6E62C" w14:textId="77777777" w:rsidTr="0050008E">
        <w:trPr>
          <w:cantSplit/>
        </w:trPr>
        <w:tc>
          <w:tcPr>
            <w:tcW w:w="10031" w:type="dxa"/>
            <w:gridSpan w:val="2"/>
          </w:tcPr>
          <w:p w14:paraId="100C5934" w14:textId="77777777" w:rsidR="00690C7B" w:rsidRPr="00A1145C" w:rsidRDefault="00690C7B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A1145C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690C7B" w:rsidRPr="00A1145C" w14:paraId="4828BA3C" w14:textId="77777777" w:rsidTr="0050008E">
        <w:trPr>
          <w:cantSplit/>
        </w:trPr>
        <w:tc>
          <w:tcPr>
            <w:tcW w:w="10031" w:type="dxa"/>
            <w:gridSpan w:val="2"/>
          </w:tcPr>
          <w:p w14:paraId="1D790E5D" w14:textId="0E9342C3" w:rsidR="00690C7B" w:rsidRPr="00A1145C" w:rsidRDefault="006A7B39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A1145C">
              <w:rPr>
                <w:lang w:val="fr-CH"/>
              </w:rPr>
              <w:t>PROPOSITIONS POU</w:t>
            </w:r>
            <w:bookmarkStart w:id="3" w:name="_GoBack"/>
            <w:bookmarkEnd w:id="3"/>
            <w:r w:rsidRPr="00A1145C">
              <w:rPr>
                <w:lang w:val="fr-CH"/>
              </w:rPr>
              <w:t>R LES TRAVAUX DE LA CONFÉRENCE</w:t>
            </w:r>
          </w:p>
        </w:tc>
      </w:tr>
      <w:tr w:rsidR="00690C7B" w:rsidRPr="00A1145C" w14:paraId="3024DA0F" w14:textId="77777777" w:rsidTr="0050008E">
        <w:trPr>
          <w:cantSplit/>
        </w:trPr>
        <w:tc>
          <w:tcPr>
            <w:tcW w:w="10031" w:type="dxa"/>
            <w:gridSpan w:val="2"/>
          </w:tcPr>
          <w:p w14:paraId="5D7D6F54" w14:textId="77777777" w:rsidR="00690C7B" w:rsidRPr="00A1145C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2"/>
          </w:p>
        </w:tc>
      </w:tr>
      <w:tr w:rsidR="00690C7B" w:rsidRPr="00A1145C" w14:paraId="54287331" w14:textId="77777777" w:rsidTr="0050008E">
        <w:trPr>
          <w:cantSplit/>
        </w:trPr>
        <w:tc>
          <w:tcPr>
            <w:tcW w:w="10031" w:type="dxa"/>
            <w:gridSpan w:val="2"/>
          </w:tcPr>
          <w:p w14:paraId="10CE448C" w14:textId="77777777" w:rsidR="00690C7B" w:rsidRPr="00A1145C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A1145C">
              <w:t>Point 7(C) de l'ordre du jour</w:t>
            </w:r>
          </w:p>
        </w:tc>
      </w:tr>
    </w:tbl>
    <w:bookmarkEnd w:id="5"/>
    <w:p w14:paraId="2ED811D1" w14:textId="70DC0E4B" w:rsidR="001C0E40" w:rsidRPr="00A1145C" w:rsidRDefault="0052282A" w:rsidP="00037BCB">
      <w:pPr>
        <w:rPr>
          <w:lang w:val="fr-CH"/>
        </w:rPr>
      </w:pPr>
      <w:r w:rsidRPr="00A1145C">
        <w:rPr>
          <w:lang w:val="fr-CH"/>
        </w:rPr>
        <w:t>7</w:t>
      </w:r>
      <w:r w:rsidRPr="00A1145C">
        <w:rPr>
          <w:lang w:val="fr-CH"/>
        </w:rPr>
        <w:tab/>
        <w:t xml:space="preserve">examiner d'éventuels changements à apporter, et d'autres options à mettre en </w:t>
      </w:r>
      <w:r w:rsidR="00F543E9" w:rsidRPr="00A1145C">
        <w:rPr>
          <w:lang w:val="fr-CH"/>
        </w:rPr>
        <w:t>œuvre</w:t>
      </w:r>
      <w:r w:rsidRPr="00A1145C">
        <w:rPr>
          <w:lang w:val="fr-CH"/>
        </w:rPr>
        <w:t xml:space="preserve">, en application de la Résolution 86 (Rév. Marrakech, 2002) de la Conférence de plénipotentiaires, intitulée </w:t>
      </w:r>
      <w:r w:rsidR="00F543E9" w:rsidRPr="00A1145C">
        <w:rPr>
          <w:lang w:val="fr-CH"/>
        </w:rPr>
        <w:t>«</w:t>
      </w:r>
      <w:r w:rsidRPr="00A1145C">
        <w:rPr>
          <w:lang w:val="fr-CH"/>
        </w:rPr>
        <w:t>Procédures de publication anticipée, de coordination, de notification et d'inscription des assignations de fréquence relatives aux réseaux à satellite</w:t>
      </w:r>
      <w:r w:rsidR="00F543E9" w:rsidRPr="00A1145C">
        <w:rPr>
          <w:lang w:val="fr-CH"/>
        </w:rPr>
        <w:t>»</w:t>
      </w:r>
      <w:r w:rsidRPr="00A1145C">
        <w:rPr>
          <w:lang w:val="fr-CH"/>
        </w:rPr>
        <w:t>, conformément à la Résolution </w:t>
      </w:r>
      <w:r w:rsidRPr="00A1145C">
        <w:rPr>
          <w:b/>
          <w:bCs/>
          <w:lang w:val="fr-CH"/>
        </w:rPr>
        <w:t>86 (Rév.CMR-07)</w:t>
      </w:r>
      <w:r w:rsidRPr="00A1145C">
        <w:rPr>
          <w:lang w:val="fr-CH"/>
        </w:rPr>
        <w:t>, afin de faciliter l'utilisation rationnelle, efficace et économique des fréquences radioélectriques et des orbites associées, y compris de l'orbite des satellites géostationnaires;</w:t>
      </w:r>
    </w:p>
    <w:p w14:paraId="323051CC" w14:textId="77777777" w:rsidR="001C0E40" w:rsidRPr="00A1145C" w:rsidRDefault="0052282A" w:rsidP="00037BCB">
      <w:pPr>
        <w:rPr>
          <w:lang w:val="fr-CH"/>
        </w:rPr>
      </w:pPr>
      <w:r w:rsidRPr="00A1145C">
        <w:rPr>
          <w:lang w:val="fr-CH"/>
        </w:rPr>
        <w:t>7(C)</w:t>
      </w:r>
      <w:r w:rsidRPr="00A1145C">
        <w:rPr>
          <w:lang w:val="fr-CH"/>
        </w:rPr>
        <w:tab/>
        <w:t>Question C – Questions pour lesquelles un consensus a été trouvé à l'UIT-R et une seule méthode a été identifiée</w:t>
      </w:r>
    </w:p>
    <w:p w14:paraId="02BED4E8" w14:textId="3010512F" w:rsidR="003A583E" w:rsidRPr="00A1145C" w:rsidRDefault="006A7B39" w:rsidP="00037BCB">
      <w:pPr>
        <w:rPr>
          <w:lang w:val="fr-CH"/>
        </w:rPr>
      </w:pPr>
      <w:r w:rsidRPr="00A1145C">
        <w:rPr>
          <w:lang w:val="fr-CH"/>
        </w:rPr>
        <w:t>La Question C englobe plusieurs sujets différents considérés comme simples, et pour lesquels un consensus a été facilement trouvé au sein de l'UIT-R. Les questions visent par exemple à remédier aux incohérences dans les dispositions réglementaires, à clarifier certaines pratiques existantes ou à rendre plus transparentes les procédures réglementaires</w:t>
      </w:r>
      <w:r w:rsidR="0052282A" w:rsidRPr="00A1145C">
        <w:rPr>
          <w:lang w:val="fr-CH"/>
        </w:rPr>
        <w:t>.</w:t>
      </w:r>
    </w:p>
    <w:p w14:paraId="5FA0B855" w14:textId="595DAAFD" w:rsidR="0052282A" w:rsidRPr="00A1145C" w:rsidRDefault="00142752" w:rsidP="00037BCB">
      <w:pPr>
        <w:pStyle w:val="Title4"/>
        <w:rPr>
          <w:lang w:val="fr-CH"/>
        </w:rPr>
      </w:pPr>
      <w:r w:rsidRPr="00A1145C">
        <w:rPr>
          <w:lang w:val="fr-CH"/>
        </w:rPr>
        <w:t xml:space="preserve">Question </w:t>
      </w:r>
      <w:r w:rsidR="0052282A" w:rsidRPr="00A1145C">
        <w:rPr>
          <w:lang w:val="fr-CH"/>
        </w:rPr>
        <w:t>C2</w:t>
      </w:r>
    </w:p>
    <w:p w14:paraId="5301B888" w14:textId="7134E06E" w:rsidR="006A7B39" w:rsidRPr="00A1145C" w:rsidRDefault="00142752" w:rsidP="00037BCB">
      <w:pPr>
        <w:pStyle w:val="Headingb"/>
        <w:rPr>
          <w:lang w:val="fr-CH"/>
        </w:rPr>
      </w:pPr>
      <w:r w:rsidRPr="00A1145C">
        <w:rPr>
          <w:lang w:val="fr-CH"/>
        </w:rPr>
        <w:t>Considérations générales</w:t>
      </w:r>
    </w:p>
    <w:p w14:paraId="112DF8F9" w14:textId="041BBDF1" w:rsidR="006A7B39" w:rsidRPr="00A1145C" w:rsidRDefault="006A7B39" w:rsidP="00037BCB">
      <w:pPr>
        <w:rPr>
          <w:lang w:val="fr-CH"/>
        </w:rPr>
      </w:pPr>
      <w:r w:rsidRPr="00A1145C">
        <w:rPr>
          <w:lang w:val="fr-CH"/>
        </w:rPr>
        <w:t xml:space="preserve">L'Appendice </w:t>
      </w:r>
      <w:r w:rsidRPr="00A1145C">
        <w:rPr>
          <w:b/>
          <w:lang w:val="fr-CH"/>
        </w:rPr>
        <w:t>30B</w:t>
      </w:r>
      <w:r w:rsidRPr="00A1145C">
        <w:rPr>
          <w:lang w:val="fr-CH"/>
        </w:rPr>
        <w:t xml:space="preserve"> du RR</w:t>
      </w:r>
      <w:r w:rsidRPr="00A1145C">
        <w:rPr>
          <w:color w:val="000000"/>
          <w:lang w:val="fr-CH"/>
        </w:rPr>
        <w:t xml:space="preserve"> contient deux blocs/sous-bandes de 250 MHz chacun</w:t>
      </w:r>
      <w:r w:rsidRPr="00A1145C">
        <w:rPr>
          <w:lang w:val="fr-CH"/>
        </w:rPr>
        <w:t xml:space="preserve"> dans la </w:t>
      </w:r>
      <w:r w:rsidR="00037BCB" w:rsidRPr="00A1145C">
        <w:rPr>
          <w:lang w:val="fr-CH"/>
        </w:rPr>
        <w:t>gamme</w:t>
      </w:r>
      <w:r w:rsidRPr="00A1145C">
        <w:rPr>
          <w:lang w:val="fr-CH"/>
        </w:rPr>
        <w:t xml:space="preserve"> de fréquences des 1</w:t>
      </w:r>
      <w:r w:rsidR="00142752" w:rsidRPr="00A1145C">
        <w:rPr>
          <w:lang w:val="fr-CH"/>
        </w:rPr>
        <w:t>0</w:t>
      </w:r>
      <w:r w:rsidRPr="00A1145C">
        <w:rPr>
          <w:lang w:val="fr-CH"/>
        </w:rPr>
        <w:noBreakHyphen/>
        <w:t>11 GHz, à savoir</w:t>
      </w:r>
      <w:r w:rsidRPr="00A1145C">
        <w:rPr>
          <w:color w:val="000000"/>
          <w:lang w:val="fr-CH"/>
        </w:rPr>
        <w:t xml:space="preserve"> </w:t>
      </w:r>
      <w:r w:rsidRPr="00A1145C">
        <w:rPr>
          <w:bCs/>
          <w:lang w:val="fr-CH"/>
        </w:rPr>
        <w:t>10,70</w:t>
      </w:r>
      <w:r w:rsidRPr="00A1145C">
        <w:rPr>
          <w:bCs/>
          <w:lang w:val="fr-CH"/>
        </w:rPr>
        <w:noBreakHyphen/>
        <w:t>10,95 GHz, 11,2-11,45 GHz pour la liaison descendante et</w:t>
      </w:r>
      <w:r w:rsidRPr="00A1145C">
        <w:rPr>
          <w:lang w:val="fr-CH"/>
        </w:rPr>
        <w:t xml:space="preserve"> </w:t>
      </w:r>
      <w:r w:rsidRPr="00A1145C">
        <w:rPr>
          <w:bCs/>
          <w:lang w:val="fr-CH"/>
        </w:rPr>
        <w:t>12,75</w:t>
      </w:r>
      <w:r w:rsidRPr="00A1145C">
        <w:rPr>
          <w:bCs/>
          <w:lang w:val="fr-CH"/>
        </w:rPr>
        <w:noBreakHyphen/>
        <w:t>13,0 GHz, 13,0-13,25 GHz pour la liaison montante.</w:t>
      </w:r>
      <w:r w:rsidRPr="00A1145C">
        <w:rPr>
          <w:color w:val="000000"/>
          <w:lang w:val="fr-CH"/>
        </w:rPr>
        <w:t xml:space="preserve"> Les soumissions des administrations, lorsqu'elles appliquent </w:t>
      </w:r>
      <w:r w:rsidRPr="00A1145C">
        <w:rPr>
          <w:lang w:val="fr-CH"/>
        </w:rPr>
        <w:t xml:space="preserve">l'Article </w:t>
      </w:r>
      <w:r w:rsidRPr="00A1145C">
        <w:rPr>
          <w:rStyle w:val="Artref"/>
          <w:bCs/>
          <w:lang w:val="fr-CH"/>
        </w:rPr>
        <w:t>6</w:t>
      </w:r>
      <w:r w:rsidRPr="00A1145C">
        <w:rPr>
          <w:lang w:val="fr-CH"/>
        </w:rPr>
        <w:t xml:space="preserve"> de l'Appendice </w:t>
      </w:r>
      <w:r w:rsidRPr="00A1145C">
        <w:rPr>
          <w:b/>
          <w:lang w:val="fr-CH"/>
        </w:rPr>
        <w:t>30B</w:t>
      </w:r>
      <w:r w:rsidRPr="00A1145C">
        <w:rPr>
          <w:lang w:val="fr-CH"/>
        </w:rPr>
        <w:t xml:space="preserve"> du RR en vue d'une utilisation additionnelle, </w:t>
      </w:r>
      <w:r w:rsidRPr="00A1145C">
        <w:rPr>
          <w:color w:val="000000"/>
          <w:lang w:val="fr-CH"/>
        </w:rPr>
        <w:t>portent généralement sur les deux blocs/sous-bandes de 250 MHz chacun visés ci-dessus; les administrations peuvent aussi soumettre uniquement l'un ou l'autre des deux blocs pour une utilisation additionnelle, ou,</w:t>
      </w:r>
      <w:r w:rsidRPr="00A1145C">
        <w:rPr>
          <w:lang w:val="fr-CH"/>
        </w:rPr>
        <w:t xml:space="preserve"> lorsque l'Article </w:t>
      </w:r>
      <w:r w:rsidRPr="00A1145C">
        <w:rPr>
          <w:rStyle w:val="Artref"/>
          <w:bCs/>
          <w:lang w:val="fr-CH"/>
        </w:rPr>
        <w:t>6 a été appliqué avec succès pour les deux</w:t>
      </w:r>
      <w:r w:rsidRPr="00A1145C">
        <w:rPr>
          <w:color w:val="000000"/>
          <w:lang w:val="fr-CH"/>
        </w:rPr>
        <w:t xml:space="preserve"> blocs/sous</w:t>
      </w:r>
      <w:r w:rsidRPr="00A1145C">
        <w:rPr>
          <w:color w:val="000000"/>
          <w:lang w:val="fr-CH"/>
        </w:rPr>
        <w:noBreakHyphen/>
        <w:t>bandes, dans le cadre de l'application de</w:t>
      </w:r>
      <w:r w:rsidRPr="00A1145C">
        <w:rPr>
          <w:lang w:val="fr-CH"/>
        </w:rPr>
        <w:t xml:space="preserve"> l'Article </w:t>
      </w:r>
      <w:r w:rsidRPr="00A1145C">
        <w:rPr>
          <w:rStyle w:val="Artref"/>
          <w:bCs/>
          <w:lang w:val="fr-CH"/>
        </w:rPr>
        <w:t>8</w:t>
      </w:r>
      <w:r w:rsidRPr="00A1145C">
        <w:rPr>
          <w:lang w:val="fr-CH"/>
        </w:rPr>
        <w:t xml:space="preserve">, ne mettre en service qu'un </w:t>
      </w:r>
      <w:r w:rsidRPr="00A1145C">
        <w:rPr>
          <w:color w:val="000000"/>
          <w:lang w:val="fr-CH"/>
        </w:rPr>
        <w:t>bloc/une sous-bande</w:t>
      </w:r>
      <w:r w:rsidRPr="00A1145C">
        <w:rPr>
          <w:lang w:val="fr-CH"/>
        </w:rPr>
        <w:t xml:space="preserve"> de la bande des 1</w:t>
      </w:r>
      <w:r w:rsidR="00142752" w:rsidRPr="00A1145C">
        <w:rPr>
          <w:lang w:val="fr-CH"/>
        </w:rPr>
        <w:t>1/</w:t>
      </w:r>
      <w:r w:rsidRPr="00A1145C">
        <w:rPr>
          <w:lang w:val="fr-CH"/>
        </w:rPr>
        <w:t>1</w:t>
      </w:r>
      <w:r w:rsidR="00142752" w:rsidRPr="00A1145C">
        <w:rPr>
          <w:lang w:val="fr-CH"/>
        </w:rPr>
        <w:t>3</w:t>
      </w:r>
      <w:r w:rsidRPr="00A1145C">
        <w:rPr>
          <w:lang w:val="fr-CH"/>
        </w:rPr>
        <w:t> GHz.</w:t>
      </w:r>
    </w:p>
    <w:p w14:paraId="7819CF2D" w14:textId="77E68014" w:rsidR="006A7B39" w:rsidRPr="00A1145C" w:rsidRDefault="006A7B39" w:rsidP="00C300BF">
      <w:pPr>
        <w:keepLines/>
        <w:rPr>
          <w:lang w:val="fr-CH"/>
        </w:rPr>
      </w:pPr>
      <w:r w:rsidRPr="00A1145C">
        <w:rPr>
          <w:lang w:val="fr-CH"/>
        </w:rPr>
        <w:lastRenderedPageBreak/>
        <w:t xml:space="preserve">En toute rigueur, aucune disposition de l'Appendice </w:t>
      </w:r>
      <w:r w:rsidR="00142752" w:rsidRPr="00A1145C">
        <w:rPr>
          <w:b/>
          <w:bCs/>
          <w:lang w:val="fr-CH"/>
        </w:rPr>
        <w:t>30B</w:t>
      </w:r>
      <w:r w:rsidR="00142752" w:rsidRPr="00A1145C">
        <w:rPr>
          <w:lang w:val="fr-CH"/>
        </w:rPr>
        <w:t xml:space="preserve"> </w:t>
      </w:r>
      <w:r w:rsidR="00037BCB" w:rsidRPr="00A1145C">
        <w:rPr>
          <w:lang w:val="fr-CH"/>
        </w:rPr>
        <w:t xml:space="preserve">du RR </w:t>
      </w:r>
      <w:r w:rsidRPr="00A1145C">
        <w:rPr>
          <w:lang w:val="fr-CH"/>
        </w:rPr>
        <w:t xml:space="preserve">n'interdit </w:t>
      </w:r>
      <w:r w:rsidR="00142752" w:rsidRPr="00A1145C">
        <w:rPr>
          <w:lang w:val="fr-CH"/>
        </w:rPr>
        <w:t xml:space="preserve">à une </w:t>
      </w:r>
      <w:r w:rsidRPr="00A1145C">
        <w:rPr>
          <w:lang w:val="fr-CH"/>
        </w:rPr>
        <w:t>administration de présenter une demande pour l'un des blocs/l'une des sous-bandes dans une soumission expresse.</w:t>
      </w:r>
      <w:r w:rsidR="009341D1" w:rsidRPr="00A1145C">
        <w:rPr>
          <w:lang w:val="fr-CH"/>
        </w:rPr>
        <w:t xml:space="preserve"> </w:t>
      </w:r>
      <w:r w:rsidRPr="00A1145C">
        <w:rPr>
          <w:lang w:val="fr-CH"/>
        </w:rPr>
        <w:t xml:space="preserve">Cependant, il n'existe aucune disposition autorisant expressément cette demande lors d'une soumission au titre de l'Appendice </w:t>
      </w:r>
      <w:r w:rsidRPr="00A1145C">
        <w:rPr>
          <w:b/>
          <w:bCs/>
          <w:lang w:val="fr-CH"/>
        </w:rPr>
        <w:t>4</w:t>
      </w:r>
      <w:r w:rsidRPr="00A1145C">
        <w:rPr>
          <w:lang w:val="fr-CH"/>
        </w:rPr>
        <w:t xml:space="preserve"> du RR pour l'un ou l'autre des </w:t>
      </w:r>
      <w:r w:rsidR="00037BCB" w:rsidRPr="00A1145C">
        <w:rPr>
          <w:lang w:val="fr-CH"/>
        </w:rPr>
        <w:t>blocs/l'une ou l'autre des</w:t>
      </w:r>
      <w:r w:rsidRPr="00A1145C">
        <w:rPr>
          <w:lang w:val="fr-CH"/>
        </w:rPr>
        <w:t xml:space="preserve"> sous</w:t>
      </w:r>
      <w:r w:rsidR="00C300BF" w:rsidRPr="00A1145C">
        <w:rPr>
          <w:lang w:val="fr-CH"/>
        </w:rPr>
        <w:noBreakHyphen/>
      </w:r>
      <w:r w:rsidRPr="00A1145C">
        <w:rPr>
          <w:lang w:val="fr-CH"/>
        </w:rPr>
        <w:t>bandes.</w:t>
      </w:r>
    </w:p>
    <w:p w14:paraId="207EDC84" w14:textId="6C1842DC" w:rsidR="00C35038" w:rsidRPr="00A1145C" w:rsidRDefault="00142752" w:rsidP="00037BCB">
      <w:pPr>
        <w:rPr>
          <w:lang w:val="fr-CH"/>
        </w:rPr>
      </w:pPr>
      <w:r w:rsidRPr="00A1145C">
        <w:rPr>
          <w:lang w:val="fr-CH"/>
        </w:rPr>
        <w:t>Pour résoudre ce problème, l'UIT-R a élaboré, dans le Rapport de la RPC, une méthode unique, qui consiste à ajouter une note relative au § </w:t>
      </w:r>
      <w:r w:rsidR="00C35038" w:rsidRPr="00A1145C">
        <w:rPr>
          <w:lang w:val="fr-CH"/>
        </w:rPr>
        <w:t xml:space="preserve">6.1 </w:t>
      </w:r>
      <w:r w:rsidRPr="00A1145C">
        <w:rPr>
          <w:lang w:val="fr-CH"/>
        </w:rPr>
        <w:t>de l'</w:t>
      </w:r>
      <w:r w:rsidR="00C35038" w:rsidRPr="00A1145C">
        <w:rPr>
          <w:lang w:val="fr-CH"/>
        </w:rPr>
        <w:t xml:space="preserve">Article 6 </w:t>
      </w:r>
      <w:r w:rsidRPr="00A1145C">
        <w:rPr>
          <w:lang w:val="fr-CH"/>
        </w:rPr>
        <w:t>de l'</w:t>
      </w:r>
      <w:r w:rsidR="00C35038" w:rsidRPr="00A1145C">
        <w:rPr>
          <w:lang w:val="fr-CH"/>
        </w:rPr>
        <w:t>Appendi</w:t>
      </w:r>
      <w:r w:rsidRPr="00A1145C">
        <w:rPr>
          <w:lang w:val="fr-CH"/>
        </w:rPr>
        <w:t>ce</w:t>
      </w:r>
      <w:r w:rsidR="00C35038" w:rsidRPr="00A1145C">
        <w:rPr>
          <w:lang w:val="fr-CH"/>
        </w:rPr>
        <w:t xml:space="preserve"> </w:t>
      </w:r>
      <w:r w:rsidR="00C35038" w:rsidRPr="00A1145C">
        <w:rPr>
          <w:b/>
          <w:bCs/>
          <w:lang w:val="fr-CH"/>
        </w:rPr>
        <w:t>30B</w:t>
      </w:r>
      <w:r w:rsidR="00C35038" w:rsidRPr="00A1145C">
        <w:rPr>
          <w:lang w:val="fr-CH"/>
        </w:rPr>
        <w:t xml:space="preserve"> </w:t>
      </w:r>
      <w:r w:rsidRPr="00A1145C">
        <w:rPr>
          <w:lang w:val="fr-CH"/>
        </w:rPr>
        <w:t>du RR, pour</w:t>
      </w:r>
      <w:r w:rsidR="00C35038" w:rsidRPr="00A1145C">
        <w:rPr>
          <w:lang w:val="fr-CH"/>
        </w:rPr>
        <w:t>:</w:t>
      </w:r>
    </w:p>
    <w:p w14:paraId="01BC22F1" w14:textId="049C5A80" w:rsidR="00C35038" w:rsidRPr="00A1145C" w:rsidRDefault="00C35038" w:rsidP="00037BCB">
      <w:pPr>
        <w:pStyle w:val="enumlev1"/>
        <w:rPr>
          <w:lang w:val="fr-CH"/>
        </w:rPr>
      </w:pPr>
      <w:r w:rsidRPr="00A1145C">
        <w:rPr>
          <w:lang w:val="fr-CH"/>
        </w:rPr>
        <w:t>a)</w:t>
      </w:r>
      <w:r w:rsidRPr="00A1145C">
        <w:rPr>
          <w:lang w:val="fr-CH"/>
        </w:rPr>
        <w:tab/>
        <w:t xml:space="preserve">permettre de </w:t>
      </w:r>
      <w:r w:rsidRPr="00A1145C">
        <w:rPr>
          <w:rFonts w:eastAsiaTheme="minorEastAsia"/>
          <w:lang w:val="fr-CH"/>
        </w:rPr>
        <w:t>soumettre</w:t>
      </w:r>
      <w:r w:rsidR="00037BCB" w:rsidRPr="00A1145C">
        <w:rPr>
          <w:rFonts w:eastAsiaTheme="minorEastAsia"/>
          <w:lang w:val="fr-CH"/>
        </w:rPr>
        <w:t>,</w:t>
      </w:r>
      <w:r w:rsidRPr="00A1145C">
        <w:rPr>
          <w:rFonts w:eastAsiaTheme="minorEastAsia"/>
          <w:lang w:val="fr-CH"/>
        </w:rPr>
        <w:t xml:space="preserve"> au titre du § 6.1</w:t>
      </w:r>
      <w:r w:rsidR="00037BCB" w:rsidRPr="00A1145C">
        <w:rPr>
          <w:rFonts w:eastAsiaTheme="minorEastAsia"/>
          <w:lang w:val="fr-CH"/>
        </w:rPr>
        <w:t>,</w:t>
      </w:r>
      <w:r w:rsidRPr="00A1145C">
        <w:rPr>
          <w:rFonts w:eastAsiaTheme="minorEastAsia"/>
          <w:lang w:val="fr-CH"/>
        </w:rPr>
        <w:t xml:space="preserve"> une utilisation additionnelle pour les deux blocs/sous-bandes dans la </w:t>
      </w:r>
      <w:r w:rsidRPr="00A1145C">
        <w:rPr>
          <w:color w:val="000000"/>
          <w:lang w:val="fr-CH"/>
        </w:rPr>
        <w:t>bande</w:t>
      </w:r>
      <w:r w:rsidRPr="00A1145C">
        <w:rPr>
          <w:rFonts w:eastAsiaTheme="minorEastAsia"/>
          <w:lang w:val="fr-CH"/>
        </w:rPr>
        <w:t xml:space="preserve"> des 10-11 GHz, mais de ne mettre en service que l'un des blocs/l'une des sous-bandes</w:t>
      </w:r>
      <w:r w:rsidRPr="00A1145C">
        <w:rPr>
          <w:lang w:val="fr-CH"/>
        </w:rPr>
        <w:t>;</w:t>
      </w:r>
    </w:p>
    <w:p w14:paraId="06E997BF" w14:textId="643AE41C" w:rsidR="00142752" w:rsidRPr="00A1145C" w:rsidRDefault="00142752" w:rsidP="00037BCB">
      <w:pPr>
        <w:pStyle w:val="enumlev1"/>
        <w:rPr>
          <w:lang w:val="fr-CH"/>
        </w:rPr>
      </w:pPr>
      <w:r w:rsidRPr="00A1145C">
        <w:rPr>
          <w:lang w:val="fr-CH"/>
        </w:rPr>
        <w:t>b)</w:t>
      </w:r>
      <w:r w:rsidRPr="00A1145C">
        <w:rPr>
          <w:lang w:val="fr-CH"/>
        </w:rPr>
        <w:tab/>
        <w:t xml:space="preserve">permettre de </w:t>
      </w:r>
      <w:r w:rsidRPr="00A1145C">
        <w:rPr>
          <w:rFonts w:eastAsiaTheme="minorEastAsia"/>
          <w:lang w:val="fr-CH"/>
        </w:rPr>
        <w:t>soumettre</w:t>
      </w:r>
      <w:r w:rsidR="00037BCB" w:rsidRPr="00A1145C">
        <w:rPr>
          <w:rFonts w:eastAsiaTheme="minorEastAsia"/>
          <w:lang w:val="fr-CH"/>
        </w:rPr>
        <w:t>,</w:t>
      </w:r>
      <w:r w:rsidRPr="00A1145C">
        <w:rPr>
          <w:rFonts w:eastAsiaTheme="minorEastAsia"/>
          <w:lang w:val="fr-CH"/>
        </w:rPr>
        <w:t xml:space="preserve"> au titre du § 6.1</w:t>
      </w:r>
      <w:r w:rsidR="00037BCB" w:rsidRPr="00A1145C">
        <w:rPr>
          <w:rFonts w:eastAsiaTheme="minorEastAsia"/>
          <w:lang w:val="fr-CH"/>
        </w:rPr>
        <w:t>,</w:t>
      </w:r>
      <w:r w:rsidRPr="00A1145C">
        <w:rPr>
          <w:rFonts w:eastAsiaTheme="minorEastAsia"/>
          <w:lang w:val="fr-CH"/>
        </w:rPr>
        <w:t xml:space="preserve"> une utilisation additionnelle concernant un seul des deux blocs/une seule des deux sous-bandes dans la </w:t>
      </w:r>
      <w:r w:rsidRPr="00A1145C">
        <w:rPr>
          <w:color w:val="000000"/>
          <w:lang w:val="fr-CH"/>
        </w:rPr>
        <w:t>bande</w:t>
      </w:r>
      <w:r w:rsidRPr="00A1145C">
        <w:rPr>
          <w:rFonts w:eastAsiaTheme="minorEastAsia"/>
          <w:lang w:val="fr-CH"/>
        </w:rPr>
        <w:t xml:space="preserve"> des 10-11 GHz et de notifier et de mettre en service ce bloc/cette sous-bande</w:t>
      </w:r>
      <w:r w:rsidRPr="00A1145C">
        <w:rPr>
          <w:lang w:val="fr-CH"/>
        </w:rPr>
        <w:t>;</w:t>
      </w:r>
    </w:p>
    <w:p w14:paraId="211A6862" w14:textId="43869AB7" w:rsidR="00142752" w:rsidRPr="00A1145C" w:rsidRDefault="00142752" w:rsidP="00037BCB">
      <w:pPr>
        <w:pStyle w:val="enumlev1"/>
        <w:rPr>
          <w:lang w:val="fr-CH"/>
        </w:rPr>
      </w:pPr>
      <w:r w:rsidRPr="00A1145C">
        <w:rPr>
          <w:lang w:val="fr-CH"/>
        </w:rPr>
        <w:t>c)</w:t>
      </w:r>
      <w:r w:rsidRPr="00A1145C">
        <w:rPr>
          <w:lang w:val="fr-CH"/>
        </w:rPr>
        <w:tab/>
        <w:t>permettre au Bureau, en appli</w:t>
      </w:r>
      <w:r w:rsidR="00DA4763" w:rsidRPr="00A1145C">
        <w:rPr>
          <w:lang w:val="fr-CH"/>
        </w:rPr>
        <w:t xml:space="preserve">quant </w:t>
      </w:r>
      <w:r w:rsidRPr="00A1145C">
        <w:rPr>
          <w:lang w:val="fr-CH"/>
        </w:rPr>
        <w:t xml:space="preserve">l'Article 6, </w:t>
      </w:r>
      <w:r w:rsidR="00DA4763" w:rsidRPr="00A1145C">
        <w:rPr>
          <w:lang w:val="fr-CH"/>
        </w:rPr>
        <w:t xml:space="preserve">de traiter la demande </w:t>
      </w:r>
      <w:r w:rsidRPr="00A1145C">
        <w:rPr>
          <w:lang w:val="fr-CH"/>
        </w:rPr>
        <w:t xml:space="preserve">en fonction de la soumission, c'est-à-dire de traiter les deux blocs/sous-bandes ou de traiter l'un des deux blocs/l'une des deux sous-bandes et de poursuivre le traitement de la </w:t>
      </w:r>
      <w:r w:rsidR="00DA4763" w:rsidRPr="00A1145C">
        <w:rPr>
          <w:lang w:val="fr-CH"/>
        </w:rPr>
        <w:t xml:space="preserve">demande </w:t>
      </w:r>
      <w:r w:rsidRPr="00A1145C">
        <w:rPr>
          <w:lang w:val="fr-CH"/>
        </w:rPr>
        <w:t>telle qu'elle a été reçue;</w:t>
      </w:r>
    </w:p>
    <w:p w14:paraId="6C456345" w14:textId="254BDB7A" w:rsidR="00142752" w:rsidRPr="00A1145C" w:rsidRDefault="00142752" w:rsidP="00037BCB">
      <w:pPr>
        <w:pStyle w:val="enumlev1"/>
        <w:rPr>
          <w:lang w:val="fr-CH"/>
        </w:rPr>
      </w:pPr>
      <w:r w:rsidRPr="00A1145C">
        <w:rPr>
          <w:lang w:val="fr-CH"/>
        </w:rPr>
        <w:t>d)</w:t>
      </w:r>
      <w:r w:rsidRPr="00A1145C">
        <w:rPr>
          <w:lang w:val="fr-CH"/>
        </w:rPr>
        <w:tab/>
        <w:t>permettre au Bureau, en appli</w:t>
      </w:r>
      <w:r w:rsidR="00DA4763" w:rsidRPr="00A1145C">
        <w:rPr>
          <w:lang w:val="fr-CH"/>
        </w:rPr>
        <w:t xml:space="preserve">quant </w:t>
      </w:r>
      <w:r w:rsidRPr="00A1145C">
        <w:rPr>
          <w:lang w:val="fr-CH"/>
        </w:rPr>
        <w:t xml:space="preserve">l'Article 8, de </w:t>
      </w:r>
      <w:r w:rsidR="00DA4763" w:rsidRPr="00A1145C">
        <w:rPr>
          <w:lang w:val="fr-CH"/>
        </w:rPr>
        <w:t xml:space="preserve">traiter uniquement </w:t>
      </w:r>
      <w:r w:rsidRPr="00A1145C">
        <w:rPr>
          <w:lang w:val="fr-CH"/>
        </w:rPr>
        <w:t xml:space="preserve">l'un des deux blocs/l'une des deux sous-bandes, même si </w:t>
      </w:r>
      <w:r w:rsidR="00DA4763" w:rsidRPr="00A1145C">
        <w:rPr>
          <w:lang w:val="fr-CH"/>
        </w:rPr>
        <w:t>l</w:t>
      </w:r>
      <w:r w:rsidRPr="00A1145C">
        <w:rPr>
          <w:lang w:val="fr-CH"/>
        </w:rPr>
        <w:t xml:space="preserve">es deux blocs/sous-bandes ont été </w:t>
      </w:r>
      <w:r w:rsidR="00DA4763" w:rsidRPr="00A1145C">
        <w:rPr>
          <w:lang w:val="fr-CH"/>
        </w:rPr>
        <w:t xml:space="preserve">demandés par une administration </w:t>
      </w:r>
      <w:r w:rsidRPr="00A1145C">
        <w:rPr>
          <w:lang w:val="fr-CH"/>
        </w:rPr>
        <w:t xml:space="preserve">au titre de l'Article 6 et ont fait l'objet d'une coordination réussie au titre de </w:t>
      </w:r>
      <w:r w:rsidR="00DA4763" w:rsidRPr="00A1145C">
        <w:rPr>
          <w:lang w:val="fr-CH"/>
        </w:rPr>
        <w:t>l'</w:t>
      </w:r>
      <w:r w:rsidRPr="00A1145C">
        <w:rPr>
          <w:lang w:val="fr-CH"/>
        </w:rPr>
        <w:t>Article</w:t>
      </w:r>
      <w:r w:rsidR="00DA4763" w:rsidRPr="00A1145C">
        <w:rPr>
          <w:lang w:val="fr-CH"/>
        </w:rPr>
        <w:t> 6</w:t>
      </w:r>
      <w:r w:rsidRPr="00A1145C">
        <w:rPr>
          <w:lang w:val="fr-CH"/>
        </w:rPr>
        <w:t xml:space="preserve">, </w:t>
      </w:r>
      <w:r w:rsidR="00DA4763" w:rsidRPr="00A1145C">
        <w:rPr>
          <w:lang w:val="fr-CH"/>
        </w:rPr>
        <w:t>mais qu'</w:t>
      </w:r>
      <w:r w:rsidRPr="00A1145C">
        <w:rPr>
          <w:lang w:val="fr-CH"/>
        </w:rPr>
        <w:t xml:space="preserve">un seul bloc/une seule sous-bande </w:t>
      </w:r>
      <w:r w:rsidR="00DA4763" w:rsidRPr="00A1145C">
        <w:rPr>
          <w:lang w:val="fr-CH"/>
        </w:rPr>
        <w:t xml:space="preserve">a été </w:t>
      </w:r>
      <w:r w:rsidRPr="00A1145C">
        <w:rPr>
          <w:lang w:val="fr-CH"/>
        </w:rPr>
        <w:t>mis en service.</w:t>
      </w:r>
    </w:p>
    <w:p w14:paraId="4A0A9E19" w14:textId="03002AEE" w:rsidR="00AC308D" w:rsidRPr="00A1145C" w:rsidRDefault="00DA4763" w:rsidP="00037BCB">
      <w:pPr>
        <w:rPr>
          <w:lang w:val="fr-CH"/>
        </w:rPr>
      </w:pPr>
      <w:r w:rsidRPr="00A1145C">
        <w:rPr>
          <w:lang w:val="fr-CH"/>
        </w:rPr>
        <w:t>Il est proposé d'apporter des adjonctions au Règlement des radiocommunications conformément à la méthode unique proposée par l'UIT</w:t>
      </w:r>
      <w:r w:rsidR="0034607F" w:rsidRPr="00A1145C">
        <w:rPr>
          <w:lang w:val="fr-CH"/>
        </w:rPr>
        <w:t>-R.</w:t>
      </w:r>
    </w:p>
    <w:p w14:paraId="6DFA7AEE" w14:textId="0C592589" w:rsidR="0015203F" w:rsidRPr="00A1145C" w:rsidRDefault="0015203F" w:rsidP="00037B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1145C">
        <w:rPr>
          <w:lang w:val="fr-CH"/>
        </w:rPr>
        <w:br w:type="page"/>
      </w:r>
    </w:p>
    <w:p w14:paraId="582B06C6" w14:textId="77777777" w:rsidR="00EC2030" w:rsidRPr="00EC2030" w:rsidRDefault="00EC2030" w:rsidP="00EC2030">
      <w:pPr>
        <w:pStyle w:val="AppendixNo"/>
        <w:rPr>
          <w:lang w:val="fr-CH"/>
        </w:rPr>
      </w:pPr>
      <w:bookmarkStart w:id="6" w:name="_Toc459986382"/>
      <w:bookmarkStart w:id="7" w:name="_Toc459987816"/>
      <w:r w:rsidRPr="00EC2030">
        <w:rPr>
          <w:lang w:val="fr-CH"/>
        </w:rPr>
        <w:lastRenderedPageBreak/>
        <w:t>APPENDICE  30B  (RÉV.CMR-15)</w:t>
      </w:r>
      <w:bookmarkEnd w:id="6"/>
      <w:bookmarkEnd w:id="7"/>
    </w:p>
    <w:p w14:paraId="7F957C65" w14:textId="07E17544" w:rsidR="00221098" w:rsidRPr="00A1145C" w:rsidRDefault="0052282A" w:rsidP="00037BCB">
      <w:pPr>
        <w:pStyle w:val="Appendixtitle"/>
        <w:spacing w:before="120" w:after="120"/>
        <w:rPr>
          <w:color w:val="000000"/>
          <w:lang w:val="fr-CH"/>
        </w:rPr>
      </w:pPr>
      <w:bookmarkStart w:id="8" w:name="_Toc459986383"/>
      <w:bookmarkStart w:id="9" w:name="_Toc459987817"/>
      <w:r w:rsidRPr="00A1145C">
        <w:rPr>
          <w:color w:val="000000"/>
          <w:lang w:val="fr-CH"/>
        </w:rPr>
        <w:t>Dispositions et Plan associé pour le service fixe par satellite</w:t>
      </w:r>
      <w:r w:rsidRPr="00A1145C">
        <w:rPr>
          <w:color w:val="000000"/>
          <w:lang w:val="fr-CH"/>
        </w:rPr>
        <w:br/>
        <w:t>dans les bandes 4</w:t>
      </w:r>
      <w:r w:rsidRPr="00A1145C">
        <w:rPr>
          <w:rFonts w:ascii="Tms Rmn" w:hAnsi="Tms Rmn"/>
          <w:color w:val="000000"/>
          <w:sz w:val="12"/>
          <w:lang w:val="fr-CH"/>
        </w:rPr>
        <w:t> </w:t>
      </w:r>
      <w:r w:rsidRPr="00A1145C">
        <w:rPr>
          <w:color w:val="000000"/>
          <w:lang w:val="fr-CH"/>
        </w:rPr>
        <w:t>500-4</w:t>
      </w:r>
      <w:r w:rsidRPr="00A1145C">
        <w:rPr>
          <w:rFonts w:ascii="Tms Rmn" w:hAnsi="Tms Rmn"/>
          <w:color w:val="000000"/>
          <w:sz w:val="12"/>
          <w:lang w:val="fr-CH"/>
        </w:rPr>
        <w:t> </w:t>
      </w:r>
      <w:r w:rsidRPr="00A1145C">
        <w:rPr>
          <w:color w:val="000000"/>
          <w:lang w:val="fr-CH"/>
        </w:rPr>
        <w:t>800 MHz, 6</w:t>
      </w:r>
      <w:r w:rsidRPr="00A1145C">
        <w:rPr>
          <w:rFonts w:ascii="Tms Rmn" w:hAnsi="Tms Rmn"/>
          <w:color w:val="000000"/>
          <w:sz w:val="12"/>
          <w:lang w:val="fr-CH"/>
        </w:rPr>
        <w:t> </w:t>
      </w:r>
      <w:r w:rsidRPr="00A1145C">
        <w:rPr>
          <w:color w:val="000000"/>
          <w:lang w:val="fr-CH"/>
        </w:rPr>
        <w:t>725-7</w:t>
      </w:r>
      <w:r w:rsidRPr="00A1145C">
        <w:rPr>
          <w:rFonts w:ascii="Tms Rmn" w:hAnsi="Tms Rmn"/>
          <w:color w:val="000000"/>
          <w:sz w:val="12"/>
          <w:lang w:val="fr-CH"/>
        </w:rPr>
        <w:t> </w:t>
      </w:r>
      <w:r w:rsidRPr="00A1145C">
        <w:rPr>
          <w:color w:val="000000"/>
          <w:lang w:val="fr-CH"/>
        </w:rPr>
        <w:t>025 MHz,</w:t>
      </w:r>
      <w:r w:rsidR="005533D1" w:rsidRPr="00A1145C">
        <w:rPr>
          <w:color w:val="000000"/>
          <w:lang w:val="fr-CH"/>
        </w:rPr>
        <w:t xml:space="preserve"> </w:t>
      </w:r>
      <w:r w:rsidRPr="00A1145C">
        <w:rPr>
          <w:color w:val="000000"/>
          <w:lang w:val="fr-CH"/>
        </w:rPr>
        <w:br/>
        <w:t>10,70-10,95 GHz, 11,20-11,45 GHz et 12,75-13,25 GHz</w:t>
      </w:r>
      <w:bookmarkEnd w:id="8"/>
      <w:bookmarkEnd w:id="9"/>
    </w:p>
    <w:p w14:paraId="24D23C75" w14:textId="77777777" w:rsidR="00221098" w:rsidRPr="00A1145C" w:rsidRDefault="0052282A" w:rsidP="00037BCB">
      <w:pPr>
        <w:pStyle w:val="AppArtNo"/>
        <w:rPr>
          <w:lang w:val="fr-CH"/>
        </w:rPr>
      </w:pPr>
      <w:r w:rsidRPr="00A1145C">
        <w:rPr>
          <w:lang w:val="fr-CH"/>
        </w:rPr>
        <w:t>ARTICLE  6</w:t>
      </w:r>
      <w:r w:rsidRPr="00A1145C">
        <w:rPr>
          <w:sz w:val="16"/>
          <w:szCs w:val="16"/>
          <w:lang w:val="fr-CH"/>
        </w:rPr>
        <w:t>     (</w:t>
      </w:r>
      <w:r w:rsidRPr="00A1145C">
        <w:rPr>
          <w:sz w:val="16"/>
          <w:lang w:val="fr-CH"/>
        </w:rPr>
        <w:t>Rév.</w:t>
      </w:r>
      <w:r w:rsidRPr="00A1145C">
        <w:rPr>
          <w:sz w:val="16"/>
          <w:szCs w:val="16"/>
          <w:lang w:val="fr-CH"/>
        </w:rPr>
        <w:t>CMR</w:t>
      </w:r>
      <w:r w:rsidRPr="00A1145C">
        <w:rPr>
          <w:sz w:val="16"/>
          <w:szCs w:val="16"/>
          <w:lang w:val="fr-CH"/>
        </w:rPr>
        <w:noBreakHyphen/>
        <w:t>15)</w:t>
      </w:r>
    </w:p>
    <w:p w14:paraId="30662175" w14:textId="65E5A8B0" w:rsidR="00221098" w:rsidRPr="00A1145C" w:rsidRDefault="0052282A" w:rsidP="005533D1">
      <w:pPr>
        <w:pStyle w:val="AppArttitle"/>
        <w:keepNext w:val="0"/>
        <w:keepLines w:val="0"/>
        <w:spacing w:after="120"/>
      </w:pPr>
      <w:bookmarkStart w:id="10" w:name="_Toc459986388"/>
      <w:r w:rsidRPr="00A1145C">
        <w:t xml:space="preserve">Procédures applicables à la conversion d'un allotissement en assignation, </w:t>
      </w:r>
      <w:r w:rsidRPr="00A1145C">
        <w:br/>
        <w:t xml:space="preserve">à la mise en œuvre d'un système additionnel ou à la modification </w:t>
      </w:r>
      <w:r w:rsidRPr="00A1145C">
        <w:br/>
        <w:t>d'une assignation figurant dans la Liste</w:t>
      </w:r>
      <w:r w:rsidRPr="00A1145C">
        <w:rPr>
          <w:rStyle w:val="FootnoteReference"/>
          <w:b w:val="0"/>
          <w:bCs/>
        </w:rPr>
        <w:t>1, 2</w:t>
      </w:r>
      <w:r w:rsidRPr="00A1145C">
        <w:rPr>
          <w:b w:val="0"/>
          <w:bCs/>
          <w:sz w:val="16"/>
        </w:rPr>
        <w:t>     (CMR-15)</w:t>
      </w:r>
      <w:bookmarkEnd w:id="10"/>
    </w:p>
    <w:p w14:paraId="591E4DE2" w14:textId="77777777" w:rsidR="00AF7710" w:rsidRPr="00A1145C" w:rsidRDefault="0052282A" w:rsidP="00037BCB">
      <w:pPr>
        <w:pStyle w:val="Proposal"/>
        <w:rPr>
          <w:lang w:val="fr-CH"/>
        </w:rPr>
      </w:pPr>
      <w:r w:rsidRPr="00A1145C">
        <w:rPr>
          <w:lang w:val="fr-CH"/>
        </w:rPr>
        <w:t>ADD</w:t>
      </w:r>
      <w:r w:rsidRPr="00A1145C">
        <w:rPr>
          <w:lang w:val="fr-CH"/>
        </w:rPr>
        <w:tab/>
        <w:t>IAP/11A19A3A2/1</w:t>
      </w:r>
      <w:r w:rsidRPr="00A1145C">
        <w:rPr>
          <w:vanish/>
          <w:color w:val="7F7F7F" w:themeColor="text1" w:themeTint="80"/>
          <w:vertAlign w:val="superscript"/>
          <w:lang w:val="fr-CH"/>
        </w:rPr>
        <w:t>#50067</w:t>
      </w:r>
    </w:p>
    <w:p w14:paraId="7A9EC2C5" w14:textId="77777777" w:rsidR="007132E2" w:rsidRPr="00A1145C" w:rsidRDefault="0052282A" w:rsidP="00037BCB">
      <w:pPr>
        <w:rPr>
          <w:lang w:val="fr-CH"/>
        </w:rPr>
      </w:pPr>
      <w:r w:rsidRPr="00A1145C">
        <w:rPr>
          <w:rStyle w:val="Provsplit"/>
          <w:lang w:val="fr-CH"/>
        </w:rPr>
        <w:t>6.1</w:t>
      </w:r>
      <w:r w:rsidRPr="00A1145C">
        <w:rPr>
          <w:rStyle w:val="Provsplit"/>
          <w:i/>
          <w:iCs/>
          <w:lang w:val="fr-CH"/>
        </w:rPr>
        <w:t>bis</w:t>
      </w:r>
      <w:r w:rsidRPr="00A1145C">
        <w:rPr>
          <w:b/>
          <w:bCs/>
          <w:spacing w:val="-2"/>
          <w:lang w:val="fr-CH"/>
        </w:rPr>
        <w:tab/>
      </w:r>
      <w:r w:rsidRPr="00A1145C">
        <w:rPr>
          <w:lang w:val="fr-CH"/>
        </w:rPr>
        <w:t xml:space="preserve">Les administrations qui soumettent une utilisation additionnelle conformément au § 6.1 de l'Appendice </w:t>
      </w:r>
      <w:r w:rsidRPr="00A1145C">
        <w:rPr>
          <w:b/>
          <w:bCs/>
          <w:lang w:val="fr-CH"/>
        </w:rPr>
        <w:t>30B</w:t>
      </w:r>
      <w:r w:rsidRPr="00A1145C">
        <w:rPr>
          <w:lang w:val="fr-CH"/>
        </w:rPr>
        <w:t xml:space="preserve"> peuvent présenter les renseignements indiqués dans l'Appendice </w:t>
      </w:r>
      <w:r w:rsidRPr="00A1145C">
        <w:rPr>
          <w:b/>
          <w:bCs/>
          <w:lang w:val="fr-CH"/>
        </w:rPr>
        <w:t>4</w:t>
      </w:r>
      <w:r w:rsidRPr="00A1145C">
        <w:rPr>
          <w:lang w:val="fr-CH"/>
        </w:rPr>
        <w:t xml:space="preserve"> pour deux blocs/sous-bandes de 250 MHz chacun (10,7-10,95 GHz ou 11,2</w:t>
      </w:r>
      <w:r w:rsidRPr="00A1145C">
        <w:rPr>
          <w:lang w:val="fr-CH"/>
        </w:rPr>
        <w:noBreakHyphen/>
        <w:t xml:space="preserve">11,45 GHz pour la liaison descendante et 12,75-13,0 GHz ou 13,0-13,25 GHz pour la liaison montante) et notifier au titre de l'Article </w:t>
      </w:r>
      <w:r w:rsidRPr="00A1145C">
        <w:rPr>
          <w:b/>
          <w:bCs/>
          <w:spacing w:val="-2"/>
          <w:lang w:val="fr-CH"/>
        </w:rPr>
        <w:t>8</w:t>
      </w:r>
      <w:r w:rsidRPr="00A1145C">
        <w:rPr>
          <w:lang w:val="fr-CH"/>
        </w:rPr>
        <w:t xml:space="preserve"> et mettre en service uniquement l'un des deux blocs/l'une des deux sous-bandes de 250 MHz chacun (10,7</w:t>
      </w:r>
      <w:r w:rsidRPr="00A1145C">
        <w:rPr>
          <w:lang w:val="fr-CH"/>
        </w:rPr>
        <w:noBreakHyphen/>
        <w:t>10,95 GHz ou 11,2-11,45 GHz pour la liaison descendante et 12,75</w:t>
      </w:r>
      <w:r w:rsidRPr="00A1145C">
        <w:rPr>
          <w:lang w:val="fr-CH"/>
        </w:rPr>
        <w:noBreakHyphen/>
        <w:t>13,0 GHz ou 13,0-13,25 GHz pour la liaison montante), ou soumettre au titre du § 6.1 l'un ou l'autre des deux blocs/l'une ou l'autre des deux sous-bandes de 250 MHz chacun (10,7</w:t>
      </w:r>
      <w:r w:rsidRPr="00A1145C">
        <w:rPr>
          <w:lang w:val="fr-CH"/>
        </w:rPr>
        <w:noBreakHyphen/>
        <w:t>10,95 GHz ou 11,2</w:t>
      </w:r>
      <w:r w:rsidRPr="00A1145C">
        <w:rPr>
          <w:lang w:val="fr-CH"/>
        </w:rPr>
        <w:noBreakHyphen/>
        <w:t xml:space="preserve">11,45 GHz pour la liaison descendante et 12,75-13,0 GHz ou 13,0-13,25 GHz pour la liaison montante) et notifier et mettre en service au titre de l'Article </w:t>
      </w:r>
      <w:r w:rsidRPr="00A1145C">
        <w:rPr>
          <w:b/>
          <w:bCs/>
          <w:spacing w:val="-2"/>
          <w:lang w:val="fr-CH"/>
        </w:rPr>
        <w:t>8</w:t>
      </w:r>
      <w:r w:rsidRPr="00A1145C">
        <w:rPr>
          <w:lang w:val="fr-CH"/>
        </w:rPr>
        <w:t xml:space="preserve"> ce bloc/cette sous-bande. Le Bureau traite ce bloc/cette sous-bande tel qu'il a été soumis conformément à l'Article </w:t>
      </w:r>
      <w:r w:rsidRPr="00A1145C">
        <w:rPr>
          <w:b/>
          <w:bCs/>
          <w:spacing w:val="-2"/>
          <w:lang w:val="fr-CH"/>
        </w:rPr>
        <w:t>6</w:t>
      </w:r>
      <w:r w:rsidRPr="00A1145C">
        <w:rPr>
          <w:lang w:val="fr-CH"/>
        </w:rPr>
        <w:t xml:space="preserve"> et applique l'Article </w:t>
      </w:r>
      <w:r w:rsidRPr="00A1145C">
        <w:rPr>
          <w:b/>
          <w:bCs/>
          <w:spacing w:val="-2"/>
          <w:lang w:val="fr-CH"/>
        </w:rPr>
        <w:t>8</w:t>
      </w:r>
      <w:r w:rsidRPr="00A1145C">
        <w:rPr>
          <w:lang w:val="fr-CH"/>
        </w:rPr>
        <w:t xml:space="preserve"> pour ce bloc/cette sous-bande notifié et mis en service et supprime de sa base de données l'autre bloc/sous-bande.</w:t>
      </w:r>
      <w:r w:rsidRPr="00A1145C">
        <w:rPr>
          <w:sz w:val="16"/>
          <w:szCs w:val="16"/>
          <w:lang w:val="fr-CH"/>
        </w:rPr>
        <w:t>     (CMR</w:t>
      </w:r>
      <w:r w:rsidRPr="00A1145C">
        <w:rPr>
          <w:sz w:val="16"/>
          <w:szCs w:val="16"/>
          <w:lang w:val="fr-CH"/>
        </w:rPr>
        <w:noBreakHyphen/>
        <w:t>19)</w:t>
      </w:r>
    </w:p>
    <w:p w14:paraId="3991F21C" w14:textId="5AB02133" w:rsidR="00627AFB" w:rsidRPr="00A1145C" w:rsidRDefault="0052282A" w:rsidP="00037BCB">
      <w:pPr>
        <w:pStyle w:val="Reasons"/>
        <w:rPr>
          <w:lang w:val="fr-CH"/>
        </w:rPr>
      </w:pPr>
      <w:r w:rsidRPr="00A1145C">
        <w:rPr>
          <w:b/>
          <w:lang w:val="fr-CH"/>
        </w:rPr>
        <w:t>Motifs:</w:t>
      </w:r>
      <w:r w:rsidRPr="00A1145C">
        <w:rPr>
          <w:lang w:val="fr-CH"/>
        </w:rPr>
        <w:tab/>
      </w:r>
      <w:r w:rsidR="00627AFB" w:rsidRPr="00A1145C">
        <w:rPr>
          <w:lang w:val="fr-CH"/>
        </w:rPr>
        <w:t>Des adjonctions sont nécessaires pour mettre à jour le Règlement des radiocommunications conformément aux pratiques en vigueur entre les administrations en ce qui concerne les procédures de demande d'utilisation additionnelle et/ou de mise en service d'un bloc/d'une sous-bande de 250 MHz dans la bande des 11-13 GHz en fonction de leurs besoins.</w:t>
      </w:r>
    </w:p>
    <w:p w14:paraId="0354D914" w14:textId="77777777" w:rsidR="00AF7710" w:rsidRPr="00A1145C" w:rsidRDefault="0052282A" w:rsidP="00037BCB">
      <w:pPr>
        <w:pStyle w:val="Proposal"/>
        <w:rPr>
          <w:lang w:val="fr-CH"/>
        </w:rPr>
      </w:pPr>
      <w:r w:rsidRPr="00A1145C">
        <w:rPr>
          <w:lang w:val="fr-CH"/>
        </w:rPr>
        <w:t>ADD</w:t>
      </w:r>
      <w:r w:rsidRPr="00A1145C">
        <w:rPr>
          <w:lang w:val="fr-CH"/>
        </w:rPr>
        <w:tab/>
        <w:t>IAP/11A19A3A2/2</w:t>
      </w:r>
      <w:r w:rsidRPr="00A1145C">
        <w:rPr>
          <w:vanish/>
          <w:color w:val="7F7F7F" w:themeColor="text1" w:themeTint="80"/>
          <w:vertAlign w:val="superscript"/>
          <w:lang w:val="fr-CH"/>
        </w:rPr>
        <w:t>#50068</w:t>
      </w:r>
    </w:p>
    <w:p w14:paraId="69188890" w14:textId="77777777" w:rsidR="007132E2" w:rsidRPr="00A1145C" w:rsidRDefault="0052282A" w:rsidP="00037BCB">
      <w:pPr>
        <w:rPr>
          <w:lang w:val="fr-CH"/>
        </w:rPr>
      </w:pPr>
      <w:r w:rsidRPr="00A1145C">
        <w:rPr>
          <w:rStyle w:val="Provsplit"/>
          <w:lang w:val="fr-CH"/>
        </w:rPr>
        <w:t>6.17</w:t>
      </w:r>
      <w:r w:rsidRPr="00A1145C">
        <w:rPr>
          <w:rStyle w:val="Provsplit"/>
          <w:i/>
          <w:iCs/>
          <w:lang w:val="fr-CH"/>
        </w:rPr>
        <w:t>bis</w:t>
      </w:r>
      <w:r w:rsidRPr="00A1145C">
        <w:rPr>
          <w:i/>
          <w:lang w:val="fr-CH"/>
        </w:rPr>
        <w:tab/>
      </w:r>
      <w:r w:rsidRPr="00A1145C">
        <w:rPr>
          <w:lang w:val="fr-CH"/>
        </w:rPr>
        <w:t>Une administration qui a soumis la fiche de notification en vue d'une utilisation additionnelle au titre du § 6.1 peut demander au Bureau de n'inscrire dans la Liste qu'un seul bloc/une seule sous-bande de 250 MHz (10,7-10,95 GHz ou 11,2-11,45 GHz pour la liaison descendante et 12,75-13,0 GHz ou 13,0-13,25 GHz pour la liaison montante).</w:t>
      </w:r>
      <w:r w:rsidRPr="00A1145C">
        <w:rPr>
          <w:sz w:val="16"/>
          <w:szCs w:val="16"/>
          <w:lang w:val="fr-CH"/>
        </w:rPr>
        <w:t>     (CMR</w:t>
      </w:r>
      <w:r w:rsidRPr="00A1145C">
        <w:rPr>
          <w:sz w:val="16"/>
          <w:szCs w:val="16"/>
          <w:lang w:val="fr-CH"/>
        </w:rPr>
        <w:noBreakHyphen/>
        <w:t>19)</w:t>
      </w:r>
    </w:p>
    <w:p w14:paraId="2D4D08AB" w14:textId="77777777" w:rsidR="00627AFB" w:rsidRPr="00A1145C" w:rsidRDefault="00627AFB" w:rsidP="00037BCB">
      <w:pPr>
        <w:pStyle w:val="Reasons"/>
        <w:rPr>
          <w:lang w:val="fr-CH"/>
        </w:rPr>
      </w:pPr>
      <w:r w:rsidRPr="00A1145C">
        <w:rPr>
          <w:b/>
          <w:lang w:val="fr-CH"/>
        </w:rPr>
        <w:t>Motifs:</w:t>
      </w:r>
      <w:r w:rsidRPr="00A1145C">
        <w:rPr>
          <w:lang w:val="fr-CH"/>
        </w:rPr>
        <w:tab/>
        <w:t>Des adjonctions sont nécessaires pour mettre à jour le Règlement des radiocommunications conformément aux pratiques en vigueur entre les administrations en ce qui concerne les procédures de demande d'utilisation additionnelle et/ou de mise en service d'un bloc/d'une sous-bande de 250 MHz dans la bande des 11-13 GHz en fonction de leurs besoins.</w:t>
      </w:r>
    </w:p>
    <w:p w14:paraId="6D3BF446" w14:textId="338F7861" w:rsidR="00AF7710" w:rsidRPr="00A1145C" w:rsidRDefault="0052282A" w:rsidP="009341D1">
      <w:pPr>
        <w:jc w:val="center"/>
        <w:rPr>
          <w:lang w:val="fr-CH"/>
        </w:rPr>
      </w:pPr>
      <w:r w:rsidRPr="00A1145C">
        <w:rPr>
          <w:lang w:val="fr-CH"/>
        </w:rPr>
        <w:t>______________</w:t>
      </w:r>
    </w:p>
    <w:sectPr w:rsidR="00AF7710" w:rsidRPr="00A1145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C542B" w14:textId="77777777" w:rsidR="0070076C" w:rsidRDefault="0070076C">
      <w:r>
        <w:separator/>
      </w:r>
    </w:p>
  </w:endnote>
  <w:endnote w:type="continuationSeparator" w:id="0">
    <w:p w14:paraId="64C1C94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AA58" w14:textId="33B9AE3F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37DB">
      <w:rPr>
        <w:noProof/>
        <w:lang w:val="en-US"/>
      </w:rPr>
      <w:t>P:\FRA\ITU-R\CONF-R\CMR19\000\011ADD19ADD03ADD02F.docx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37DB">
      <w:rPr>
        <w:noProof/>
      </w:rPr>
      <w:t>25.09.19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37DB">
      <w:rPr>
        <w:noProof/>
      </w:rPr>
      <w:t>27.09.19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2B15" w14:textId="465D672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837DB">
      <w:rPr>
        <w:lang w:val="en-US"/>
      </w:rPr>
      <w:t>P:\FRA\ITU-R\CONF-R\CMR19\000\011ADD19ADD03ADD02F.docx</w:t>
    </w:r>
    <w:r>
      <w:fldChar w:fldCharType="end"/>
    </w:r>
    <w:r w:rsidR="00397303" w:rsidRPr="00142752">
      <w:rPr>
        <w:lang w:val="en-US"/>
      </w:rPr>
      <w:t xml:space="preserve"> (460801)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8D63" w14:textId="48257F0C" w:rsidR="00936D25" w:rsidRDefault="00397303" w:rsidP="00397303">
    <w:pPr>
      <w:pStyle w:val="Footer"/>
      <w:rPr>
        <w:lang w:val="en-US"/>
      </w:rPr>
    </w:pPr>
    <w:r w:rsidRPr="00397303">
      <w:rPr>
        <w:lang w:val="en-US"/>
      </w:rPr>
      <w:fldChar w:fldCharType="begin"/>
    </w:r>
    <w:r w:rsidRPr="00397303">
      <w:rPr>
        <w:lang w:val="en-US"/>
      </w:rPr>
      <w:instrText xml:space="preserve"> FILENAME \p  \* MERGEFORMAT </w:instrText>
    </w:r>
    <w:r w:rsidRPr="00397303">
      <w:rPr>
        <w:lang w:val="en-US"/>
      </w:rPr>
      <w:fldChar w:fldCharType="separate"/>
    </w:r>
    <w:r w:rsidR="00A837DB">
      <w:rPr>
        <w:lang w:val="en-US"/>
      </w:rPr>
      <w:t>P:\FRA\ITU-R\CONF-R\CMR19\000\011ADD19ADD03ADD02F.docx</w:t>
    </w:r>
    <w:r w:rsidRPr="00397303">
      <w:rPr>
        <w:lang w:val="en-US"/>
      </w:rPr>
      <w:fldChar w:fldCharType="end"/>
    </w:r>
    <w:r w:rsidRPr="00397303">
      <w:rPr>
        <w:lang w:val="en-US"/>
      </w:rPr>
      <w:t xml:space="preserve"> (</w:t>
    </w:r>
    <w:r>
      <w:rPr>
        <w:lang w:val="en-US"/>
      </w:rPr>
      <w:t>460801</w:t>
    </w:r>
    <w:r w:rsidRPr="00397303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4A02A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756277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969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7BAA5F9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11(Add.19)(Add.3)(Add.2)-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583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367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C6E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D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88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BE0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EA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46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7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09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7BCB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2752"/>
    <w:rsid w:val="0015203F"/>
    <w:rsid w:val="00160C64"/>
    <w:rsid w:val="0018169B"/>
    <w:rsid w:val="0019352B"/>
    <w:rsid w:val="001960D0"/>
    <w:rsid w:val="001A11F6"/>
    <w:rsid w:val="001B3B79"/>
    <w:rsid w:val="001F17E8"/>
    <w:rsid w:val="00204306"/>
    <w:rsid w:val="002234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607F"/>
    <w:rsid w:val="003606A6"/>
    <w:rsid w:val="0036650C"/>
    <w:rsid w:val="00393ACD"/>
    <w:rsid w:val="00397303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2282A"/>
    <w:rsid w:val="005343DA"/>
    <w:rsid w:val="005533D1"/>
    <w:rsid w:val="00560874"/>
    <w:rsid w:val="00586CF2"/>
    <w:rsid w:val="005A7C75"/>
    <w:rsid w:val="005C3768"/>
    <w:rsid w:val="005C6C3F"/>
    <w:rsid w:val="00613635"/>
    <w:rsid w:val="0062093D"/>
    <w:rsid w:val="00627AFB"/>
    <w:rsid w:val="00637ECF"/>
    <w:rsid w:val="00647B59"/>
    <w:rsid w:val="00690C7B"/>
    <w:rsid w:val="006A4B45"/>
    <w:rsid w:val="006A7B39"/>
    <w:rsid w:val="006D4724"/>
    <w:rsid w:val="006F5FA2"/>
    <w:rsid w:val="0070076C"/>
    <w:rsid w:val="00701BAE"/>
    <w:rsid w:val="00721F04"/>
    <w:rsid w:val="00730E95"/>
    <w:rsid w:val="0073791E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8587F"/>
    <w:rsid w:val="008A3120"/>
    <w:rsid w:val="008A4B97"/>
    <w:rsid w:val="008C5B8E"/>
    <w:rsid w:val="008C5DD5"/>
    <w:rsid w:val="008D41BE"/>
    <w:rsid w:val="008D58D3"/>
    <w:rsid w:val="008E3BC9"/>
    <w:rsid w:val="009207A2"/>
    <w:rsid w:val="00923064"/>
    <w:rsid w:val="00930FFD"/>
    <w:rsid w:val="009341D1"/>
    <w:rsid w:val="00936D25"/>
    <w:rsid w:val="00941EA5"/>
    <w:rsid w:val="00964700"/>
    <w:rsid w:val="00966C16"/>
    <w:rsid w:val="0098732F"/>
    <w:rsid w:val="00987A8C"/>
    <w:rsid w:val="009A045F"/>
    <w:rsid w:val="009A6A2B"/>
    <w:rsid w:val="009C7E7C"/>
    <w:rsid w:val="00A00473"/>
    <w:rsid w:val="00A03C9B"/>
    <w:rsid w:val="00A1145C"/>
    <w:rsid w:val="00A37105"/>
    <w:rsid w:val="00A606C3"/>
    <w:rsid w:val="00A837DB"/>
    <w:rsid w:val="00A83B09"/>
    <w:rsid w:val="00A84541"/>
    <w:rsid w:val="00AC308D"/>
    <w:rsid w:val="00AE36A0"/>
    <w:rsid w:val="00AF7710"/>
    <w:rsid w:val="00B00294"/>
    <w:rsid w:val="00B3749C"/>
    <w:rsid w:val="00B64FD0"/>
    <w:rsid w:val="00B95AF1"/>
    <w:rsid w:val="00BA5BD0"/>
    <w:rsid w:val="00BB1D82"/>
    <w:rsid w:val="00BD51C5"/>
    <w:rsid w:val="00BF26E7"/>
    <w:rsid w:val="00C300BF"/>
    <w:rsid w:val="00C35038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4763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046D"/>
    <w:rsid w:val="00EA3F38"/>
    <w:rsid w:val="00EA5AB6"/>
    <w:rsid w:val="00EC2030"/>
    <w:rsid w:val="00EC7615"/>
    <w:rsid w:val="00ED16AA"/>
    <w:rsid w:val="00ED6B8D"/>
    <w:rsid w:val="00EE3D7B"/>
    <w:rsid w:val="00EF662E"/>
    <w:rsid w:val="00F10064"/>
    <w:rsid w:val="00F148F1"/>
    <w:rsid w:val="00F543E9"/>
    <w:rsid w:val="00F711A7"/>
    <w:rsid w:val="00F71DF2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799D4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  <w:style w:type="character" w:customStyle="1" w:styleId="enumlev1Char">
    <w:name w:val="enumlev1 Char"/>
    <w:basedOn w:val="DefaultParagraphFont"/>
    <w:link w:val="enumlev1"/>
    <w:qFormat/>
    <w:locked/>
    <w:rsid w:val="00C3503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R16-WRC19-C-0011!A19-A3-A2!MSW-F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99EBDA96-6991-4E0C-BEAC-E0784D652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0AC024-4BEF-4C44-8A22-2D9204F126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A9B6C-2E6E-439D-A99B-D67C9C4367C3}">
  <ds:schemaRefs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1014</Words>
  <Characters>5789</Characters>
  <Application>Microsoft Office Word</Application>
  <DocSecurity>0</DocSecurity>
  <Lines>105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R16-WRC19-C-0011!A19-A3-A2!MSW-F</vt:lpstr>
    </vt:vector>
  </TitlesOfParts>
  <Manager>Secrétariat général - Pool</Manager>
  <Company>Union internationale des télécommunications (UIT)</Company>
  <LinksUpToDate>false</LinksUpToDate>
  <CharactersWithSpaces>6766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R16-WRC19-C-0011!A19-A3-A2!MSW-F</dc:title>
  <dc:subject>Conférence mondiale des radiocommunications - 2019</dc:subject>
  <dc:creator>Documents Proposals Manager (DPM)</dc:creator>
  <cp:keywords>DPM_v2019.9.20.1_prod</cp:keywords>
  <dc:description/>
  <cp:lastModifiedBy>Barbier, Marie-Claire</cp:lastModifiedBy>
  <cp:revision>12</cp:revision>
  <cp:lastPrinted>2019-09-27T07:12:00Z</cp:lastPrinted>
  <dcterms:created xsi:type="dcterms:W3CDTF">2019-09-25T06:37:00Z</dcterms:created>
  <dcterms:modified xsi:type="dcterms:W3CDTF">2019-09-27T07:12:00Z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