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257AF0" w14:paraId="3DACA880" w14:textId="77777777" w:rsidTr="00C6740A">
        <w:trPr>
          <w:cantSplit/>
        </w:trPr>
        <w:tc>
          <w:tcPr>
            <w:tcW w:w="6804" w:type="dxa"/>
          </w:tcPr>
          <w:p w14:paraId="011625A1" w14:textId="77777777" w:rsidR="0090121B" w:rsidRPr="00257AF0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257AF0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257AF0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257AF0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257AF0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257AF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257AF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257AF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257AF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257AF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257AF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257AF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257AF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257AF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227" w:type="dxa"/>
          </w:tcPr>
          <w:p w14:paraId="49AE457D" w14:textId="77777777" w:rsidR="0090121B" w:rsidRPr="00257AF0" w:rsidRDefault="00DA71A3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257AF0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629E7BFC" wp14:editId="75075DC4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257AF0" w14:paraId="3E352A34" w14:textId="77777777" w:rsidTr="00C6740A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23C8FE82" w14:textId="77777777" w:rsidR="0090121B" w:rsidRPr="00257AF0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70D88A0E" w14:textId="77777777" w:rsidR="0090121B" w:rsidRPr="00257AF0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257AF0" w14:paraId="77D62FB4" w14:textId="77777777" w:rsidTr="00C6740A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18A0F51E" w14:textId="77777777" w:rsidR="0090121B" w:rsidRPr="00257AF0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71E84CC6" w14:textId="77777777" w:rsidR="0090121B" w:rsidRPr="00257AF0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257AF0" w14:paraId="5CD85BFF" w14:textId="77777777" w:rsidTr="00C6740A">
        <w:trPr>
          <w:cantSplit/>
        </w:trPr>
        <w:tc>
          <w:tcPr>
            <w:tcW w:w="6804" w:type="dxa"/>
          </w:tcPr>
          <w:p w14:paraId="6EF0FC42" w14:textId="77777777" w:rsidR="0090121B" w:rsidRPr="00257AF0" w:rsidRDefault="001E7D42" w:rsidP="00EA77F0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257AF0">
              <w:rPr>
                <w:lang w:val="es-ES_tradnl"/>
              </w:rPr>
              <w:t>SESIÓN PLENARIA</w:t>
            </w:r>
          </w:p>
        </w:tc>
        <w:tc>
          <w:tcPr>
            <w:tcW w:w="3227" w:type="dxa"/>
          </w:tcPr>
          <w:p w14:paraId="2E0A5129" w14:textId="77777777" w:rsidR="0090121B" w:rsidRPr="00257AF0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257AF0">
              <w:rPr>
                <w:rFonts w:ascii="Verdana" w:hAnsi="Verdana"/>
                <w:b/>
                <w:sz w:val="20"/>
              </w:rPr>
              <w:t>Addéndum 2 al</w:t>
            </w:r>
            <w:r w:rsidRPr="00257AF0">
              <w:rPr>
                <w:rFonts w:ascii="Verdana" w:hAnsi="Verdana"/>
                <w:b/>
                <w:sz w:val="20"/>
              </w:rPr>
              <w:br/>
              <w:t>Documento 11(Add.19)(Add.3)</w:t>
            </w:r>
            <w:r w:rsidR="0090121B" w:rsidRPr="00257AF0">
              <w:rPr>
                <w:rFonts w:ascii="Verdana" w:hAnsi="Verdana"/>
                <w:b/>
                <w:sz w:val="20"/>
              </w:rPr>
              <w:t>-</w:t>
            </w:r>
            <w:r w:rsidRPr="00257AF0">
              <w:rPr>
                <w:rFonts w:ascii="Verdana" w:hAnsi="Verdana"/>
                <w:b/>
                <w:sz w:val="20"/>
              </w:rPr>
              <w:t>S</w:t>
            </w:r>
            <w:bookmarkStart w:id="2" w:name="_GoBack"/>
            <w:bookmarkEnd w:id="2"/>
          </w:p>
        </w:tc>
      </w:tr>
      <w:bookmarkEnd w:id="1"/>
      <w:tr w:rsidR="000A5B9A" w:rsidRPr="00257AF0" w14:paraId="21EC6BC5" w14:textId="77777777" w:rsidTr="00C6740A">
        <w:trPr>
          <w:cantSplit/>
        </w:trPr>
        <w:tc>
          <w:tcPr>
            <w:tcW w:w="6804" w:type="dxa"/>
          </w:tcPr>
          <w:p w14:paraId="734E3820" w14:textId="77777777" w:rsidR="000A5B9A" w:rsidRPr="00257AF0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1ACC1272" w14:textId="77777777" w:rsidR="000A5B9A" w:rsidRPr="00257AF0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57AF0">
              <w:rPr>
                <w:rFonts w:ascii="Verdana" w:hAnsi="Verdana"/>
                <w:b/>
                <w:sz w:val="20"/>
              </w:rPr>
              <w:t>13 de septiembre de 2019</w:t>
            </w:r>
          </w:p>
        </w:tc>
      </w:tr>
      <w:tr w:rsidR="000A5B9A" w:rsidRPr="00257AF0" w14:paraId="6970FD5F" w14:textId="77777777" w:rsidTr="00C6740A">
        <w:trPr>
          <w:cantSplit/>
        </w:trPr>
        <w:tc>
          <w:tcPr>
            <w:tcW w:w="6804" w:type="dxa"/>
          </w:tcPr>
          <w:p w14:paraId="05EF1B91" w14:textId="77777777" w:rsidR="000A5B9A" w:rsidRPr="00257AF0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41014997" w14:textId="1296D2CA" w:rsidR="000A5B9A" w:rsidRPr="00257AF0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57AF0">
              <w:rPr>
                <w:rFonts w:ascii="Verdana" w:hAnsi="Verdana"/>
                <w:b/>
                <w:sz w:val="20"/>
              </w:rPr>
              <w:t>Original: inglés</w:t>
            </w:r>
            <w:r w:rsidR="00C6740A" w:rsidRPr="00257AF0">
              <w:rPr>
                <w:rFonts w:ascii="Verdana" w:hAnsi="Verdana"/>
                <w:b/>
                <w:sz w:val="20"/>
              </w:rPr>
              <w:t>/español</w:t>
            </w:r>
          </w:p>
        </w:tc>
      </w:tr>
      <w:tr w:rsidR="000A5B9A" w:rsidRPr="00257AF0" w14:paraId="719AE705" w14:textId="77777777" w:rsidTr="006744FC">
        <w:trPr>
          <w:cantSplit/>
        </w:trPr>
        <w:tc>
          <w:tcPr>
            <w:tcW w:w="10031" w:type="dxa"/>
            <w:gridSpan w:val="2"/>
          </w:tcPr>
          <w:p w14:paraId="2EB50559" w14:textId="77777777" w:rsidR="000A5B9A" w:rsidRPr="00257AF0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257AF0" w14:paraId="5E3B98A7" w14:textId="77777777" w:rsidTr="0050008E">
        <w:trPr>
          <w:cantSplit/>
        </w:trPr>
        <w:tc>
          <w:tcPr>
            <w:tcW w:w="10031" w:type="dxa"/>
            <w:gridSpan w:val="2"/>
          </w:tcPr>
          <w:p w14:paraId="5E9D93CA" w14:textId="77777777" w:rsidR="000A5B9A" w:rsidRPr="00257AF0" w:rsidRDefault="000A5B9A" w:rsidP="000A5B9A">
            <w:pPr>
              <w:pStyle w:val="Source"/>
            </w:pPr>
            <w:bookmarkStart w:id="3" w:name="dsource" w:colFirst="0" w:colLast="0"/>
            <w:r w:rsidRPr="00257AF0">
              <w:t>Estados Miembros de la Comisión Interamericana de Telecomunicaciones (CITEL)</w:t>
            </w:r>
          </w:p>
        </w:tc>
      </w:tr>
      <w:tr w:rsidR="000A5B9A" w:rsidRPr="00257AF0" w14:paraId="7DD9C5BA" w14:textId="77777777" w:rsidTr="0050008E">
        <w:trPr>
          <w:cantSplit/>
        </w:trPr>
        <w:tc>
          <w:tcPr>
            <w:tcW w:w="10031" w:type="dxa"/>
            <w:gridSpan w:val="2"/>
          </w:tcPr>
          <w:p w14:paraId="2F5C2A91" w14:textId="238C6822" w:rsidR="000A5B9A" w:rsidRPr="00257AF0" w:rsidRDefault="00C6740A" w:rsidP="000A5B9A">
            <w:pPr>
              <w:pStyle w:val="Title1"/>
            </w:pPr>
            <w:bookmarkStart w:id="4" w:name="dtitle1" w:colFirst="0" w:colLast="0"/>
            <w:bookmarkEnd w:id="3"/>
            <w:r w:rsidRPr="00257AF0">
              <w:t>Propuestas para los trabajos de la Conferencia</w:t>
            </w:r>
          </w:p>
        </w:tc>
      </w:tr>
      <w:tr w:rsidR="000A5B9A" w:rsidRPr="00257AF0" w14:paraId="1C1CC729" w14:textId="77777777" w:rsidTr="0050008E">
        <w:trPr>
          <w:cantSplit/>
        </w:trPr>
        <w:tc>
          <w:tcPr>
            <w:tcW w:w="10031" w:type="dxa"/>
            <w:gridSpan w:val="2"/>
          </w:tcPr>
          <w:p w14:paraId="26837499" w14:textId="77777777" w:rsidR="000A5B9A" w:rsidRPr="00257AF0" w:rsidRDefault="000A5B9A" w:rsidP="000A5B9A">
            <w:pPr>
              <w:pStyle w:val="Title2"/>
            </w:pPr>
            <w:bookmarkStart w:id="5" w:name="dtitle2" w:colFirst="0" w:colLast="0"/>
            <w:bookmarkEnd w:id="4"/>
          </w:p>
        </w:tc>
      </w:tr>
      <w:tr w:rsidR="000A5B9A" w:rsidRPr="00257AF0" w14:paraId="06CBED98" w14:textId="77777777" w:rsidTr="0050008E">
        <w:trPr>
          <w:cantSplit/>
        </w:trPr>
        <w:tc>
          <w:tcPr>
            <w:tcW w:w="10031" w:type="dxa"/>
            <w:gridSpan w:val="2"/>
          </w:tcPr>
          <w:p w14:paraId="17111E81" w14:textId="77777777" w:rsidR="000A5B9A" w:rsidRPr="00257AF0" w:rsidRDefault="000A5B9A" w:rsidP="000A5B9A">
            <w:pPr>
              <w:pStyle w:val="Agendaitem"/>
            </w:pPr>
            <w:bookmarkStart w:id="6" w:name="dtitle3" w:colFirst="0" w:colLast="0"/>
            <w:bookmarkEnd w:id="5"/>
            <w:r w:rsidRPr="00257AF0">
              <w:t>Punto 7(C) del orden del día</w:t>
            </w:r>
          </w:p>
        </w:tc>
      </w:tr>
    </w:tbl>
    <w:bookmarkEnd w:id="6"/>
    <w:p w14:paraId="58669292" w14:textId="01008727" w:rsidR="001C0E40" w:rsidRPr="00257AF0" w:rsidRDefault="00B158B2" w:rsidP="003A37B0">
      <w:r w:rsidRPr="00257AF0">
        <w:t>7</w:t>
      </w:r>
      <w:r w:rsidRPr="00257AF0">
        <w:tab/>
        <w:t xml:space="preserve">considerar posibles modificaciones y otras opciones para responder a lo dispuesto en la Resolución 86 (Rev. Marrakech, 2002) de la Conferencia de Plenipotenciarios: </w:t>
      </w:r>
      <w:r w:rsidR="00D66985" w:rsidRPr="00257AF0">
        <w:t>«</w:t>
      </w:r>
      <w:r w:rsidRPr="00257AF0">
        <w:t>Procedimientos de publicación anticipada, de coordinación, de notificación y de inscripción de asignaciones de frecuencias de redes de satélite</w:t>
      </w:r>
      <w:r w:rsidR="00D66985" w:rsidRPr="00257AF0">
        <w:t>»</w:t>
      </w:r>
      <w:r w:rsidRPr="00257AF0">
        <w:t xml:space="preserve"> de conformidad con la Resolución </w:t>
      </w:r>
      <w:r w:rsidRPr="00257AF0">
        <w:rPr>
          <w:b/>
          <w:bCs/>
        </w:rPr>
        <w:t>86 (Rev.CMR-07</w:t>
      </w:r>
      <w:r w:rsidRPr="00257AF0">
        <w:rPr>
          <w:b/>
        </w:rPr>
        <w:t xml:space="preserve">) </w:t>
      </w:r>
      <w:r w:rsidRPr="00257AF0">
        <w:rPr>
          <w:bCs/>
        </w:rPr>
        <w:t>para facilitar el uso racional, eficiente y económico de las radiofrecuencias y órbitas asociadas, incluida la órbita de los satélites geoestacionarios</w:t>
      </w:r>
      <w:r w:rsidRPr="00257AF0">
        <w:t>;</w:t>
      </w:r>
    </w:p>
    <w:p w14:paraId="7211C746" w14:textId="77777777" w:rsidR="001C0E40" w:rsidRPr="00257AF0" w:rsidRDefault="00B158B2" w:rsidP="00A02958">
      <w:r w:rsidRPr="00257AF0">
        <w:t>7(C)</w:t>
      </w:r>
      <w:r w:rsidRPr="00257AF0">
        <w:tab/>
        <w:t>Tema C – Temas sobre los que ya se ha alcanzado un consenso en el UIT-R y para los que se ha identificado un método único</w:t>
      </w:r>
    </w:p>
    <w:p w14:paraId="19563877" w14:textId="03F3D3AC" w:rsidR="00C6740A" w:rsidRPr="00257AF0" w:rsidRDefault="00C6740A" w:rsidP="00C6740A">
      <w:r w:rsidRPr="00257AF0">
        <w:t xml:space="preserve">El Tema C engloba una serie de cuestiones consideradas sencillas, respecto de las cuales el UIT-R logró fácilmente un consenso. </w:t>
      </w:r>
      <w:r w:rsidR="00EE7512" w:rsidRPr="00257AF0">
        <w:t>Dichas cuestiones guardan relación con la resolución de incoherencias en las disposiciones reglamentarias, la aclaración de ciertas prácticas existentes o el aumento de la transparencia del proceso normativo, entre otros asuntos.</w:t>
      </w:r>
    </w:p>
    <w:p w14:paraId="1BC0EA00" w14:textId="77777777" w:rsidR="00C6740A" w:rsidRPr="00257AF0" w:rsidRDefault="00C6740A" w:rsidP="008F503E">
      <w:pPr>
        <w:pStyle w:val="Title4"/>
      </w:pPr>
      <w:r w:rsidRPr="00257AF0">
        <w:t>TEMA C2</w:t>
      </w:r>
    </w:p>
    <w:p w14:paraId="52DDC163" w14:textId="7DF077E2" w:rsidR="00C6740A" w:rsidRPr="00257AF0" w:rsidRDefault="008F503E" w:rsidP="008F503E">
      <w:pPr>
        <w:pStyle w:val="Headingb"/>
      </w:pPr>
      <w:r w:rsidRPr="00257AF0">
        <w:t>Antecedentes</w:t>
      </w:r>
      <w:r w:rsidR="00EE7512" w:rsidRPr="00257AF0">
        <w:t>:</w:t>
      </w:r>
    </w:p>
    <w:p w14:paraId="2050E66E" w14:textId="2AD9E0F5" w:rsidR="00C6740A" w:rsidRPr="00257AF0" w:rsidRDefault="00C6740A" w:rsidP="00C6740A">
      <w:r w:rsidRPr="00257AF0">
        <w:t xml:space="preserve">El Apéndice </w:t>
      </w:r>
      <w:r w:rsidRPr="00257AF0">
        <w:rPr>
          <w:b/>
          <w:bCs/>
        </w:rPr>
        <w:t>30B</w:t>
      </w:r>
      <w:r w:rsidRPr="00257AF0">
        <w:t xml:space="preserve"> del RR prevé dos bloques/</w:t>
      </w:r>
      <w:r w:rsidR="00D66985" w:rsidRPr="00257AF0">
        <w:t>subbanda</w:t>
      </w:r>
      <w:r w:rsidRPr="00257AF0">
        <w:t>s de 250 MHz cada uno en la banda 11/13</w:t>
      </w:r>
      <w:r w:rsidR="00D66985" w:rsidRPr="00257AF0">
        <w:t> </w:t>
      </w:r>
      <w:r w:rsidRPr="00257AF0">
        <w:t>GHz, es decir, 10.70-10.95 GHz, 11.2-11.45 GHz para el enlace descendente y 12.75</w:t>
      </w:r>
      <w:r w:rsidR="00D66985" w:rsidRPr="00257AF0">
        <w:noBreakHyphen/>
      </w:r>
      <w:r w:rsidRPr="00257AF0">
        <w:t>13.0</w:t>
      </w:r>
      <w:r w:rsidR="00D66985" w:rsidRPr="00257AF0">
        <w:t> </w:t>
      </w:r>
      <w:r w:rsidRPr="00257AF0">
        <w:t xml:space="preserve">GHz, 13.0-13.25 GHz para el enlace ascendente. Habitualmente cuando las administraciones solicitan el uso adicional conforme al artículo 6 del Apéndice </w:t>
      </w:r>
      <w:r w:rsidRPr="00257AF0">
        <w:rPr>
          <w:b/>
          <w:bCs/>
        </w:rPr>
        <w:t>30B</w:t>
      </w:r>
      <w:r w:rsidRPr="00257AF0">
        <w:t xml:space="preserve"> del RR, abarcan ambos bloques/</w:t>
      </w:r>
      <w:r w:rsidR="00D66985" w:rsidRPr="00257AF0">
        <w:t>subbanda</w:t>
      </w:r>
      <w:r w:rsidRPr="00257AF0">
        <w:t>s de 250 MHz, o solo solicitan cualquiera de los dos bloques para uso adicional, o aplican, con éxito, para los dos bloques/</w:t>
      </w:r>
      <w:r w:rsidR="00D66985" w:rsidRPr="00257AF0">
        <w:t>subbanda</w:t>
      </w:r>
      <w:r w:rsidRPr="00257AF0">
        <w:t>s conforme al mencionado artículo 6, cuando aplican el artículo 8 solo ponen en servicio un bloque/</w:t>
      </w:r>
      <w:r w:rsidR="00D66985" w:rsidRPr="00257AF0">
        <w:t>subbanda</w:t>
      </w:r>
      <w:r w:rsidRPr="00257AF0">
        <w:t xml:space="preserve"> de los 11/13</w:t>
      </w:r>
      <w:r w:rsidR="00D66985" w:rsidRPr="00257AF0">
        <w:t> </w:t>
      </w:r>
      <w:r w:rsidRPr="00257AF0">
        <w:t>GHz.</w:t>
      </w:r>
    </w:p>
    <w:p w14:paraId="5AA4E047" w14:textId="0B4517F1" w:rsidR="00C6740A" w:rsidRPr="00257AF0" w:rsidRDefault="00C6740A" w:rsidP="00C6740A">
      <w:r w:rsidRPr="00257AF0">
        <w:t xml:space="preserve">No existen disposiciones en el Apéndice </w:t>
      </w:r>
      <w:r w:rsidRPr="00257AF0">
        <w:rPr>
          <w:b/>
          <w:bCs/>
        </w:rPr>
        <w:t>30B</w:t>
      </w:r>
      <w:r w:rsidRPr="00257AF0">
        <w:t xml:space="preserve"> del RR que estrictamente prohíban que las administraciones presenten la solicitud explícitamente para uno de los bloques/</w:t>
      </w:r>
      <w:r w:rsidR="00D66985" w:rsidRPr="00257AF0">
        <w:t>subbanda</w:t>
      </w:r>
      <w:r w:rsidRPr="00257AF0">
        <w:t xml:space="preserve">s. No </w:t>
      </w:r>
      <w:r w:rsidRPr="00257AF0">
        <w:lastRenderedPageBreak/>
        <w:t>obstante, tampoco existe una disposición específica que autorice esa solicitud cuando se presente el Apéndice 4 del RR para cualquiera de los dos bloques/</w:t>
      </w:r>
      <w:r w:rsidR="00D66985" w:rsidRPr="00257AF0">
        <w:t>subbanda</w:t>
      </w:r>
      <w:r w:rsidRPr="00257AF0">
        <w:t>s.</w:t>
      </w:r>
    </w:p>
    <w:p w14:paraId="023CE73A" w14:textId="77777777" w:rsidR="00C6740A" w:rsidRPr="00257AF0" w:rsidRDefault="00C6740A" w:rsidP="00C6740A">
      <w:r w:rsidRPr="00257AF0">
        <w:t xml:space="preserve">En respuesta a este problema, el UIT-R elaboró un [anteproyecto] de informe de la RPC con un método único para abordar ese tema, que consiste en agregar una nota de pie de página al párrafo 6.1 del artículo 6 del RR, Apéndice </w:t>
      </w:r>
      <w:r w:rsidRPr="00257AF0">
        <w:rPr>
          <w:b/>
          <w:bCs/>
        </w:rPr>
        <w:t>30B</w:t>
      </w:r>
      <w:r w:rsidRPr="00257AF0">
        <w:t xml:space="preserve"> para que se permita: </w:t>
      </w:r>
    </w:p>
    <w:p w14:paraId="757F50F7" w14:textId="65D9BA14" w:rsidR="00C6740A" w:rsidRPr="00257AF0" w:rsidRDefault="008F503E" w:rsidP="008F503E">
      <w:pPr>
        <w:pStyle w:val="enumlev1"/>
      </w:pPr>
      <w:r w:rsidRPr="00257AF0">
        <w:t>a)</w:t>
      </w:r>
      <w:r w:rsidRPr="00257AF0">
        <w:tab/>
      </w:r>
      <w:r w:rsidR="00C6740A" w:rsidRPr="00257AF0">
        <w:t>Presentar, de conformidad con el párrafo 6.1, un uso adicional para los dos bloques/</w:t>
      </w:r>
      <w:r w:rsidR="00D66985" w:rsidRPr="00257AF0">
        <w:t>subbanda</w:t>
      </w:r>
      <w:r w:rsidR="00C6740A" w:rsidRPr="00257AF0">
        <w:t xml:space="preserve">s en 10-11 GHz, pero solo poner en servicio uno de los bloques/una </w:t>
      </w:r>
      <w:r w:rsidR="00D66985" w:rsidRPr="00257AF0">
        <w:t>subbanda</w:t>
      </w:r>
      <w:r w:rsidR="00C6740A" w:rsidRPr="00257AF0">
        <w:t xml:space="preserve"> o,</w:t>
      </w:r>
    </w:p>
    <w:p w14:paraId="30521D14" w14:textId="42497CDD" w:rsidR="00C6740A" w:rsidRPr="00257AF0" w:rsidRDefault="008F503E" w:rsidP="008F503E">
      <w:pPr>
        <w:pStyle w:val="enumlev1"/>
      </w:pPr>
      <w:r w:rsidRPr="00257AF0">
        <w:t>b)</w:t>
      </w:r>
      <w:r w:rsidRPr="00257AF0">
        <w:tab/>
      </w:r>
      <w:r w:rsidR="00C6740A" w:rsidRPr="00257AF0">
        <w:t>Presentar, de conformidad con el párrafo 6.1, una solicitud de uso adicional para solo uno de los dos bloques/</w:t>
      </w:r>
      <w:r w:rsidR="00D66985" w:rsidRPr="00257AF0">
        <w:t>subbanda</w:t>
      </w:r>
      <w:r w:rsidR="00C6740A" w:rsidRPr="00257AF0">
        <w:t>s en 10-11 GHz y, notificar y poner en servicio ese bloque/</w:t>
      </w:r>
      <w:r w:rsidR="00D66985" w:rsidRPr="00257AF0">
        <w:t>subbanda</w:t>
      </w:r>
      <w:r w:rsidR="00C6740A" w:rsidRPr="00257AF0">
        <w:t xml:space="preserve"> únicamente;</w:t>
      </w:r>
    </w:p>
    <w:p w14:paraId="593250B8" w14:textId="4B9BA7B9" w:rsidR="00C6740A" w:rsidRPr="00257AF0" w:rsidRDefault="008F503E" w:rsidP="008F503E">
      <w:pPr>
        <w:pStyle w:val="enumlev1"/>
      </w:pPr>
      <w:r w:rsidRPr="00257AF0">
        <w:t>c)</w:t>
      </w:r>
      <w:r w:rsidRPr="00257AF0">
        <w:tab/>
      </w:r>
      <w:r w:rsidR="00C6740A" w:rsidRPr="00257AF0">
        <w:t>Permitir a la Oficina, al aplicar el artículo 6, tramitar la solicitud de acuerdo conforme a su presentación, es decir, tramitar los dos bloques/</w:t>
      </w:r>
      <w:r w:rsidR="00D66985" w:rsidRPr="00257AF0">
        <w:t>subbanda</w:t>
      </w:r>
      <w:r w:rsidR="00C6740A" w:rsidRPr="00257AF0">
        <w:t>s, o tramitar uno de los dos bloques/</w:t>
      </w:r>
      <w:r w:rsidR="00D66985" w:rsidRPr="00257AF0">
        <w:t>subbanda</w:t>
      </w:r>
      <w:r w:rsidR="00C6740A" w:rsidRPr="00257AF0">
        <w:t>s y seguir tramitando la solicitud como se recibió;</w:t>
      </w:r>
    </w:p>
    <w:p w14:paraId="7A4F957B" w14:textId="4A208FEF" w:rsidR="00C6740A" w:rsidRPr="00257AF0" w:rsidRDefault="008F503E" w:rsidP="008F503E">
      <w:pPr>
        <w:pStyle w:val="enumlev1"/>
      </w:pPr>
      <w:r w:rsidRPr="00257AF0">
        <w:t>d)</w:t>
      </w:r>
      <w:r w:rsidRPr="00257AF0">
        <w:tab/>
      </w:r>
      <w:r w:rsidR="00C6740A" w:rsidRPr="00257AF0">
        <w:t>Permitir a la Oficina, al aplicar el artículo 8, tramitar solo uno de los dos bloques/</w:t>
      </w:r>
      <w:r w:rsidR="00D66985" w:rsidRPr="00257AF0">
        <w:t>subbanda</w:t>
      </w:r>
      <w:r w:rsidR="00C6740A" w:rsidRPr="00257AF0">
        <w:t>s, aunque los dos bloques/</w:t>
      </w:r>
      <w:r w:rsidR="00D66985" w:rsidRPr="00257AF0">
        <w:t>subbanda</w:t>
      </w:r>
      <w:r w:rsidR="00C6740A" w:rsidRPr="00257AF0">
        <w:t>s se hayan solicitado por una administración conforme al artículo 6 o se haya coordinado satisfactoriamente conforme a dicho artículo 6, pero se haya puesto en uso solo un bloque/</w:t>
      </w:r>
      <w:r w:rsidR="00D66985" w:rsidRPr="00257AF0">
        <w:t>subbanda</w:t>
      </w:r>
      <w:r w:rsidR="00C6740A" w:rsidRPr="00257AF0">
        <w:t>.</w:t>
      </w:r>
    </w:p>
    <w:p w14:paraId="2F16B946" w14:textId="5A268C70" w:rsidR="00363A65" w:rsidRPr="00257AF0" w:rsidRDefault="00C6740A" w:rsidP="00C6740A">
      <w:r w:rsidRPr="00257AF0">
        <w:t>Se propone aplicar las adiciones en el Reglamento de Radiocomunicaciones de acuerdo con el método único propuesto por la UIT-R.</w:t>
      </w:r>
    </w:p>
    <w:p w14:paraId="15CE7B30" w14:textId="77777777" w:rsidR="008750A8" w:rsidRPr="00257AF0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57AF0">
        <w:br w:type="page"/>
      </w:r>
    </w:p>
    <w:p w14:paraId="2D58A23A" w14:textId="77777777" w:rsidR="00B063AE" w:rsidRPr="00257AF0" w:rsidRDefault="00B158B2" w:rsidP="00473AC2">
      <w:pPr>
        <w:pStyle w:val="AppendixNo"/>
      </w:pPr>
      <w:r w:rsidRPr="00257AF0">
        <w:lastRenderedPageBreak/>
        <w:t xml:space="preserve">APÉNDICE </w:t>
      </w:r>
      <w:r w:rsidRPr="00257AF0">
        <w:rPr>
          <w:rStyle w:val="href"/>
        </w:rPr>
        <w:t>30B</w:t>
      </w:r>
      <w:r w:rsidRPr="00257AF0">
        <w:t xml:space="preserve"> (Rev</w:t>
      </w:r>
      <w:r w:rsidRPr="00257AF0">
        <w:rPr>
          <w:caps w:val="0"/>
        </w:rPr>
        <w:t>.</w:t>
      </w:r>
      <w:r w:rsidRPr="00257AF0">
        <w:t>CMR</w:t>
      </w:r>
      <w:r w:rsidRPr="00257AF0">
        <w:noBreakHyphen/>
        <w:t>15)</w:t>
      </w:r>
    </w:p>
    <w:p w14:paraId="3C5450FB" w14:textId="77777777" w:rsidR="00B063AE" w:rsidRPr="00257AF0" w:rsidRDefault="00B158B2" w:rsidP="00B063AE">
      <w:pPr>
        <w:pStyle w:val="Appendixtitle"/>
        <w:rPr>
          <w:color w:val="000000"/>
        </w:rPr>
      </w:pPr>
      <w:r w:rsidRPr="00257AF0">
        <w:rPr>
          <w:color w:val="000000"/>
        </w:rPr>
        <w:t>Disposiciones y Plan asociado para el servicio fijo por satélite en</w:t>
      </w:r>
      <w:r w:rsidRPr="00257AF0">
        <w:rPr>
          <w:color w:val="000000"/>
        </w:rPr>
        <w:br/>
        <w:t>las bandas de frecuencias 4 500-4 800 MHz, 6 725-7 025 MHz,</w:t>
      </w:r>
      <w:r w:rsidRPr="00257AF0">
        <w:rPr>
          <w:color w:val="000000"/>
        </w:rPr>
        <w:br/>
        <w:t>10,70-10,95 GHz, 11,20-11,45 GHz y 12,75-13,25 GHz</w:t>
      </w:r>
    </w:p>
    <w:p w14:paraId="09B372B8" w14:textId="77777777" w:rsidR="00B063AE" w:rsidRPr="00257AF0" w:rsidRDefault="00B158B2" w:rsidP="00B063AE">
      <w:pPr>
        <w:pStyle w:val="AppArtNo"/>
        <w:rPr>
          <w:color w:val="000000"/>
        </w:rPr>
      </w:pPr>
      <w:r w:rsidRPr="00257AF0">
        <w:rPr>
          <w:color w:val="000000"/>
        </w:rPr>
        <w:t>                  </w:t>
      </w:r>
      <w:r w:rsidRPr="00257AF0">
        <w:t>ARTÍCULO 6</w:t>
      </w:r>
      <w:r w:rsidRPr="00257AF0">
        <w:rPr>
          <w:sz w:val="16"/>
          <w:szCs w:val="16"/>
        </w:rPr>
        <w:t>     (Rev.CMR-15)</w:t>
      </w:r>
    </w:p>
    <w:p w14:paraId="4444C5E6" w14:textId="4071B70F" w:rsidR="00B063AE" w:rsidRPr="00257AF0" w:rsidRDefault="00B158B2" w:rsidP="00B063AE">
      <w:pPr>
        <w:pStyle w:val="AppArttitle"/>
        <w:keepNext w:val="0"/>
        <w:keepLines w:val="0"/>
      </w:pPr>
      <w:r w:rsidRPr="00257AF0">
        <w:t>Procedimiento para la conversión de una adjudicación en una asignación,</w:t>
      </w:r>
      <w:r w:rsidRPr="00257AF0">
        <w:br/>
        <w:t>la introducción de un sistema adicional o la modificación</w:t>
      </w:r>
      <w:r w:rsidRPr="00257AF0">
        <w:br/>
        <w:t>de una asignación inscrita en la Lista</w:t>
      </w:r>
      <w:r w:rsidR="007259E1" w:rsidRPr="00257AF0">
        <w:rPr>
          <w:rStyle w:val="FootnoteReference"/>
          <w:b w:val="0"/>
          <w:bCs/>
        </w:rPr>
        <w:t>1</w:t>
      </w:r>
      <w:r w:rsidR="007259E1" w:rsidRPr="00257AF0">
        <w:rPr>
          <w:rStyle w:val="FootnoteReference"/>
        </w:rPr>
        <w:t xml:space="preserve">, </w:t>
      </w:r>
      <w:r w:rsidR="007259E1" w:rsidRPr="00257AF0">
        <w:rPr>
          <w:rStyle w:val="FootnoteReference"/>
          <w:b w:val="0"/>
          <w:bCs/>
        </w:rPr>
        <w:t>2</w:t>
      </w:r>
      <w:r w:rsidRPr="00257AF0">
        <w:rPr>
          <w:b w:val="0"/>
          <w:bCs/>
          <w:sz w:val="16"/>
        </w:rPr>
        <w:t>     (CMR-15)</w:t>
      </w:r>
    </w:p>
    <w:p w14:paraId="1D68E638" w14:textId="77777777" w:rsidR="00C32C91" w:rsidRPr="00257AF0" w:rsidRDefault="00B158B2">
      <w:pPr>
        <w:pStyle w:val="Proposal"/>
      </w:pPr>
      <w:r w:rsidRPr="00257AF0">
        <w:t>ADD</w:t>
      </w:r>
      <w:r w:rsidRPr="00257AF0">
        <w:tab/>
        <w:t>IAP/11A19A3A2/1</w:t>
      </w:r>
      <w:r w:rsidRPr="00257AF0">
        <w:rPr>
          <w:vanish/>
          <w:color w:val="7F7F7F" w:themeColor="text1" w:themeTint="80"/>
          <w:vertAlign w:val="superscript"/>
        </w:rPr>
        <w:t>#50067</w:t>
      </w:r>
    </w:p>
    <w:p w14:paraId="5C54A7C4" w14:textId="30642682" w:rsidR="00B571EC" w:rsidRPr="00257AF0" w:rsidRDefault="00B158B2" w:rsidP="009F5F4C">
      <w:r w:rsidRPr="00257AF0">
        <w:rPr>
          <w:rStyle w:val="Provsplit"/>
        </w:rPr>
        <w:t>6.1</w:t>
      </w:r>
      <w:r w:rsidRPr="00257AF0">
        <w:rPr>
          <w:rStyle w:val="Provsplit"/>
          <w:i/>
          <w:iCs/>
        </w:rPr>
        <w:t>bis</w:t>
      </w:r>
      <w:r w:rsidRPr="00257AF0">
        <w:rPr>
          <w:rStyle w:val="Provsplit"/>
        </w:rPr>
        <w:tab/>
      </w:r>
      <w:r w:rsidRPr="00257AF0">
        <w:t xml:space="preserve">Al presentar una solicitud de uso adicional con arreglo al § 6.1 del Apéndice </w:t>
      </w:r>
      <w:r w:rsidRPr="00257AF0">
        <w:rPr>
          <w:rStyle w:val="Appref"/>
          <w:b/>
          <w:bCs/>
        </w:rPr>
        <w:t>30B</w:t>
      </w:r>
      <w:r w:rsidRPr="00257AF0">
        <w:t xml:space="preserve">, las administraciones pueden enviar la información especificada en el Apéndice </w:t>
      </w:r>
      <w:r w:rsidRPr="00257AF0">
        <w:rPr>
          <w:rStyle w:val="Appref"/>
          <w:b/>
          <w:bCs/>
        </w:rPr>
        <w:t>4</w:t>
      </w:r>
      <w:r w:rsidRPr="00257AF0">
        <w:t xml:space="preserve"> para ambos bloques/subbandas de 250 MHz cada uno (10,7-10,95 GHz u 11,2-11,45 GHz para el enlace descendente y 12,75-13,0 GHz o 13,0-13,25 GHz para el enlace ascendente) y notificar conforme al Artículo </w:t>
      </w:r>
      <w:r w:rsidRPr="00257AF0">
        <w:rPr>
          <w:rStyle w:val="Artref"/>
          <w:b/>
          <w:bCs/>
        </w:rPr>
        <w:t>8</w:t>
      </w:r>
      <w:r w:rsidRPr="00257AF0">
        <w:t xml:space="preserve"> y poner en servicio sólo uno de los dos bloques/subbandas de 250 MHz cada uno (10,7</w:t>
      </w:r>
      <w:r w:rsidR="00C6740A" w:rsidRPr="00257AF0">
        <w:noBreakHyphen/>
      </w:r>
      <w:r w:rsidRPr="00257AF0">
        <w:t>10,95 GHz u 11,2-11,45 GHz para el enlace descendente y 12,75-13,0 GHz o 13,0-13,25 GHz para el enlace ascendente), o comunicar en virtud del § 6.1 cualquiera de los dos bloques/subbandas de 250 MHz cada uno (10,7-10,95 GHz u 11,2-11,45 GHz para el enlace descendente y 12,75</w:t>
      </w:r>
      <w:r w:rsidRPr="00257AF0">
        <w:noBreakHyphen/>
        <w:t xml:space="preserve">13,0 GHz o 13,0-13,25 GHz para el enlace ascendente) y notificar y poner en servicio conforme al Artículo </w:t>
      </w:r>
      <w:r w:rsidRPr="00257AF0">
        <w:rPr>
          <w:rStyle w:val="Artref"/>
          <w:b/>
          <w:bCs/>
        </w:rPr>
        <w:t>8</w:t>
      </w:r>
      <w:r w:rsidRPr="00257AF0">
        <w:t xml:space="preserve"> el bloque/subbanda correspondiente. La Oficina tramitará el bloque/subbanda en cuestión como si hubiese sido comunicado en virtud del Artículo </w:t>
      </w:r>
      <w:r w:rsidRPr="00257AF0">
        <w:rPr>
          <w:rStyle w:val="Artref"/>
          <w:b/>
          <w:bCs/>
        </w:rPr>
        <w:t>6</w:t>
      </w:r>
      <w:r w:rsidRPr="00257AF0">
        <w:t xml:space="preserve">, aplicará el Artículo </w:t>
      </w:r>
      <w:r w:rsidRPr="00257AF0">
        <w:rPr>
          <w:rStyle w:val="Artref"/>
          <w:b/>
          <w:bCs/>
        </w:rPr>
        <w:t>8</w:t>
      </w:r>
      <w:r w:rsidRPr="00257AF0">
        <w:t xml:space="preserve"> al bloque/subbanda notificado y puesto en servicio y suprimirá el otro bloque/subbanda de su base de datos.</w:t>
      </w:r>
      <w:r w:rsidRPr="00257AF0">
        <w:rPr>
          <w:color w:val="000000"/>
          <w:sz w:val="16"/>
          <w:szCs w:val="24"/>
          <w:lang w:eastAsia="fr-FR"/>
        </w:rPr>
        <w:t>     (CMR-19)</w:t>
      </w:r>
    </w:p>
    <w:p w14:paraId="36B4F799" w14:textId="279AEF40" w:rsidR="00C32C91" w:rsidRPr="00257AF0" w:rsidRDefault="00B158B2">
      <w:pPr>
        <w:pStyle w:val="Reasons"/>
      </w:pPr>
      <w:r w:rsidRPr="00257AF0">
        <w:rPr>
          <w:b/>
        </w:rPr>
        <w:t>Motivos:</w:t>
      </w:r>
      <w:r w:rsidRPr="00257AF0">
        <w:tab/>
      </w:r>
      <w:r w:rsidR="00C6740A" w:rsidRPr="00257AF0">
        <w:t>Se necesitan adiciones para actualizar el Reglamento de Radiocomunicaciones de conformidad con las prácticas existentes entre las administraciones en los procedimientos de aplicación para una utilización adicional y/o puesta en servicio de un bloque/subbanda de 250 MHz en 11-13 GHz en función de sus necesidades.</w:t>
      </w:r>
    </w:p>
    <w:p w14:paraId="578B89EA" w14:textId="77777777" w:rsidR="00C32C91" w:rsidRPr="00257AF0" w:rsidRDefault="00B158B2">
      <w:pPr>
        <w:pStyle w:val="Proposal"/>
      </w:pPr>
      <w:r w:rsidRPr="00257AF0">
        <w:t>ADD</w:t>
      </w:r>
      <w:r w:rsidRPr="00257AF0">
        <w:tab/>
        <w:t>IAP/11A19A3A2/2</w:t>
      </w:r>
      <w:r w:rsidRPr="00257AF0">
        <w:rPr>
          <w:vanish/>
          <w:color w:val="7F7F7F" w:themeColor="text1" w:themeTint="80"/>
          <w:vertAlign w:val="superscript"/>
        </w:rPr>
        <w:t>#50068</w:t>
      </w:r>
    </w:p>
    <w:p w14:paraId="1F36ADFA" w14:textId="77777777" w:rsidR="00B571EC" w:rsidRPr="00257AF0" w:rsidRDefault="00B158B2" w:rsidP="009F5F4C">
      <w:r w:rsidRPr="00257AF0">
        <w:rPr>
          <w:rStyle w:val="Provsplit"/>
        </w:rPr>
        <w:t>6.17</w:t>
      </w:r>
      <w:r w:rsidRPr="00257AF0">
        <w:rPr>
          <w:rStyle w:val="Provsplit"/>
          <w:i/>
          <w:iCs/>
        </w:rPr>
        <w:t>bis</w:t>
      </w:r>
      <w:r w:rsidRPr="00257AF0">
        <w:rPr>
          <w:rStyle w:val="Provsplit"/>
        </w:rPr>
        <w:tab/>
      </w:r>
      <w:r w:rsidRPr="00257AF0">
        <w:t>Una administración que haya presentado una notificación para un uso adicional conforme al § 6.1 puede solicitar que la Oficina inscriba en la Lista un único bloque/subbanda de 250 MHz (10,7-10,95 GHz u 11,2-11,45 GHz para el enlace descendente y 12,75-13,0 GHz o 13,0</w:t>
      </w:r>
      <w:r w:rsidRPr="00257AF0">
        <w:noBreakHyphen/>
        <w:t>13,25 GHz para el enlace ascendente).</w:t>
      </w:r>
      <w:r w:rsidRPr="00257AF0">
        <w:rPr>
          <w:color w:val="000000"/>
          <w:sz w:val="16"/>
          <w:szCs w:val="24"/>
          <w:lang w:eastAsia="fr-FR"/>
        </w:rPr>
        <w:t>     (CMR-19)</w:t>
      </w:r>
    </w:p>
    <w:p w14:paraId="0FBD0CBE" w14:textId="34973361" w:rsidR="00C32C91" w:rsidRPr="00257AF0" w:rsidRDefault="00B158B2">
      <w:pPr>
        <w:pStyle w:val="Reasons"/>
      </w:pPr>
      <w:r w:rsidRPr="00257AF0">
        <w:rPr>
          <w:b/>
        </w:rPr>
        <w:t>Motivos:</w:t>
      </w:r>
      <w:r w:rsidRPr="00257AF0">
        <w:tab/>
      </w:r>
      <w:r w:rsidR="00C6740A" w:rsidRPr="00257AF0">
        <w:t>Se necesitan adiciones para actualizar el Reglamento de Radiocomunicaciones de conformidad con las prácticas existentes entre las administraciones en los procedimientos de aplicación para una utilización adicional y/o puesta en servicio de un bloque/subbanda de 250 MHz en 11-13 GHz en función de sus necesidades.</w:t>
      </w:r>
    </w:p>
    <w:p w14:paraId="42B5666E" w14:textId="77777777" w:rsidR="00C6740A" w:rsidRPr="00257AF0" w:rsidRDefault="00C6740A" w:rsidP="00F6481A"/>
    <w:p w14:paraId="4427593C" w14:textId="77777777" w:rsidR="00C6740A" w:rsidRPr="00257AF0" w:rsidRDefault="00C6740A">
      <w:pPr>
        <w:jc w:val="center"/>
      </w:pPr>
      <w:r w:rsidRPr="00257AF0">
        <w:t>______________</w:t>
      </w:r>
    </w:p>
    <w:sectPr w:rsidR="00C6740A" w:rsidRPr="00257AF0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5946C" w14:textId="77777777" w:rsidR="00FD03C4" w:rsidRDefault="00FD03C4">
      <w:r>
        <w:separator/>
      </w:r>
    </w:p>
  </w:endnote>
  <w:endnote w:type="continuationSeparator" w:id="0">
    <w:p w14:paraId="2FA89A9D" w14:textId="77777777" w:rsidR="00FD03C4" w:rsidRDefault="00FD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1C10C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B793EB" w14:textId="4CF7DE37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6740A">
      <w:rPr>
        <w:noProof/>
        <w:lang w:val="en-US"/>
      </w:rPr>
      <w:t>C:\Users\callejon\AppData\Local\Temp\R16-WRC19-C-0011!A19-A3-A2!MSW-S.tmp6523.docx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6481A">
      <w:rPr>
        <w:noProof/>
      </w:rPr>
      <w:t>26.09.19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6740A">
      <w:rPr>
        <w:noProof/>
      </w:rPr>
      <w:t>26.09.19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78CEA" w14:textId="206D47B9" w:rsidR="0077084A" w:rsidRPr="008F503E" w:rsidRDefault="008F503E" w:rsidP="008F503E">
    <w:pPr>
      <w:pStyle w:val="Footer"/>
      <w:rPr>
        <w:lang w:val="en-US"/>
      </w:rPr>
    </w:pPr>
    <w:r>
      <w:fldChar w:fldCharType="begin"/>
    </w:r>
    <w:r w:rsidRPr="00D66985">
      <w:rPr>
        <w:lang w:val="en-US"/>
      </w:rPr>
      <w:instrText xml:space="preserve"> FILENAME \p  \* MERGEFORMAT </w:instrText>
    </w:r>
    <w:r>
      <w:fldChar w:fldCharType="separate"/>
    </w:r>
    <w:r w:rsidRPr="00D66985">
      <w:rPr>
        <w:lang w:val="en-US"/>
      </w:rPr>
      <w:t>P:\ESP\ITU-R\CONF-R\CMR19\000\011ADD19ADD03ADD02S.docx</w:t>
    </w:r>
    <w:r>
      <w:fldChar w:fldCharType="end"/>
    </w:r>
    <w:r w:rsidRPr="00D66985">
      <w:rPr>
        <w:lang w:val="en-US"/>
      </w:rPr>
      <w:t xml:space="preserve"> (</w:t>
    </w:r>
    <w:r>
      <w:rPr>
        <w:lang w:val="en-US"/>
      </w:rPr>
      <w:t>460801</w:t>
    </w:r>
    <w:r w:rsidRPr="00D66985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252EE" w14:textId="3DFC8490" w:rsidR="0077084A" w:rsidRPr="00D66985" w:rsidRDefault="00D66985" w:rsidP="00D66985">
    <w:pPr>
      <w:pStyle w:val="Footer"/>
      <w:rPr>
        <w:lang w:val="en-US"/>
      </w:rPr>
    </w:pPr>
    <w:r>
      <w:fldChar w:fldCharType="begin"/>
    </w:r>
    <w:r w:rsidRPr="00D66985">
      <w:rPr>
        <w:lang w:val="en-US"/>
      </w:rPr>
      <w:instrText xml:space="preserve"> FILENAME \p  \* MERGEFORMAT </w:instrText>
    </w:r>
    <w:r>
      <w:fldChar w:fldCharType="separate"/>
    </w:r>
    <w:r w:rsidRPr="00D66985">
      <w:rPr>
        <w:lang w:val="en-US"/>
      </w:rPr>
      <w:t>P:\ESP\ITU-R\CONF-R\CMR19\000\011ADD19ADD03ADD02S.docx</w:t>
    </w:r>
    <w:r>
      <w:fldChar w:fldCharType="end"/>
    </w:r>
    <w:r w:rsidRPr="00D66985">
      <w:rPr>
        <w:lang w:val="en-US"/>
      </w:rPr>
      <w:t xml:space="preserve"> (</w:t>
    </w:r>
    <w:r>
      <w:rPr>
        <w:lang w:val="en-US"/>
      </w:rPr>
      <w:t>460801</w:t>
    </w:r>
    <w:r w:rsidRPr="00D66985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19463" w14:textId="77777777" w:rsidR="00FD03C4" w:rsidRDefault="00FD03C4">
      <w:r>
        <w:rPr>
          <w:b/>
        </w:rPr>
        <w:t>_______________</w:t>
      </w:r>
    </w:p>
  </w:footnote>
  <w:footnote w:type="continuationSeparator" w:id="0">
    <w:p w14:paraId="7F35820F" w14:textId="77777777" w:rsidR="00FD03C4" w:rsidRDefault="00FD0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93C83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5B330F4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11(Add.19)(Add.3)(Add.2)-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886B5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882C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BA72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5C41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6A1C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22BE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4454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6AF0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18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8AF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707A3F65"/>
    <w:multiLevelType w:val="hybridMultilevel"/>
    <w:tmpl w:val="AF9EF6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D2A"/>
    <w:rsid w:val="0024569E"/>
    <w:rsid w:val="00255F12"/>
    <w:rsid w:val="00257AF0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3E2086"/>
    <w:rsid w:val="003F7F66"/>
    <w:rsid w:val="00440B3A"/>
    <w:rsid w:val="0044375A"/>
    <w:rsid w:val="0045384C"/>
    <w:rsid w:val="00454553"/>
    <w:rsid w:val="004622C7"/>
    <w:rsid w:val="00472A86"/>
    <w:rsid w:val="00473AC2"/>
    <w:rsid w:val="00485880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259E1"/>
    <w:rsid w:val="007354E9"/>
    <w:rsid w:val="0074579D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E5AF2"/>
    <w:rsid w:val="008F503E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E5677"/>
    <w:rsid w:val="00AE658F"/>
    <w:rsid w:val="00AF2F78"/>
    <w:rsid w:val="00B158B2"/>
    <w:rsid w:val="00B239FA"/>
    <w:rsid w:val="00B47331"/>
    <w:rsid w:val="00B52D55"/>
    <w:rsid w:val="00B8288C"/>
    <w:rsid w:val="00B86034"/>
    <w:rsid w:val="00BE2E80"/>
    <w:rsid w:val="00BE5EDD"/>
    <w:rsid w:val="00BE6A1F"/>
    <w:rsid w:val="00C126C4"/>
    <w:rsid w:val="00C32C91"/>
    <w:rsid w:val="00C44E9E"/>
    <w:rsid w:val="00C63EB5"/>
    <w:rsid w:val="00C6740A"/>
    <w:rsid w:val="00C87DA7"/>
    <w:rsid w:val="00CC01E0"/>
    <w:rsid w:val="00CD5FEE"/>
    <w:rsid w:val="00CE60D2"/>
    <w:rsid w:val="00CE7431"/>
    <w:rsid w:val="00D0288A"/>
    <w:rsid w:val="00D66985"/>
    <w:rsid w:val="00D72A5D"/>
    <w:rsid w:val="00DA71A3"/>
    <w:rsid w:val="00DC629B"/>
    <w:rsid w:val="00DE1C31"/>
    <w:rsid w:val="00E05BFF"/>
    <w:rsid w:val="00E262F1"/>
    <w:rsid w:val="00E3176A"/>
    <w:rsid w:val="00E54754"/>
    <w:rsid w:val="00E56BD3"/>
    <w:rsid w:val="00E71D14"/>
    <w:rsid w:val="00EA77F0"/>
    <w:rsid w:val="00EE7512"/>
    <w:rsid w:val="00F32316"/>
    <w:rsid w:val="00F6481A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E64889C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03177F"/>
  </w:style>
  <w:style w:type="character" w:customStyle="1" w:styleId="CommentTextChar">
    <w:name w:val="Comment Text Char"/>
    <w:basedOn w:val="DefaultParagraphFont"/>
    <w:link w:val="CommentText"/>
    <w:semiHidden/>
    <w:rsid w:val="00473AC2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R16-WRC19-C-0011!A19-A3-A2!MSW-S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E325E-4319-406A-9B37-214A4A2A71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36FA3A-01ED-46A5-BB29-32DF3FCD9F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1E59BB4-646E-4BAD-9881-142BCDB8756F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996b2e75-67fd-4955-a3b0-5ab9934cb50b"/>
    <ds:schemaRef ds:uri="http://www.w3.org/XML/1998/namespace"/>
    <ds:schemaRef ds:uri="http://schemas.microsoft.com/office/infopath/2007/PartnerControls"/>
    <ds:schemaRef ds:uri="32a1a8c5-2265-4ebc-b7a0-2071e2c5c9b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53DF721-D9BF-4E4E-97A7-823077D9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R16-WRC19-C-0011!A19-A3-A2!MSW-S</vt:lpstr>
    </vt:vector>
  </TitlesOfParts>
  <Manager>Secretaría General - Pool</Manager>
  <Company>Unión Internacional de Telecomunicaciones (UIT)</Company>
  <LinksUpToDate>false</LinksUpToDate>
  <CharactersWithSpaces>6325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R16-WRC19-C-0011!A19-A3-A2!MSW-S</dc:title>
  <dc:subject>Conferencia Mundial de Radiocomunicaciones - 2019</dc:subject>
  <dc:creator>Documents Proposals Manager (DPM)</dc:creator>
  <cp:keywords>DPM_v2019.9.25.1_prod</cp:keywords>
  <dc:description/>
  <cp:lastModifiedBy>Soriano, Manuel</cp:lastModifiedBy>
  <cp:revision>10</cp:revision>
  <cp:lastPrinted>2019-09-26T09:36:00Z</cp:lastPrinted>
  <dcterms:created xsi:type="dcterms:W3CDTF">2019-09-26T09:55:00Z</dcterms:created>
  <dcterms:modified xsi:type="dcterms:W3CDTF">2019-10-01T08:24:00Z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