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A373EC" w14:paraId="079BB3A8" w14:textId="77777777" w:rsidTr="00986E4B">
        <w:trPr>
          <w:cantSplit/>
        </w:trPr>
        <w:tc>
          <w:tcPr>
            <w:tcW w:w="6804" w:type="dxa"/>
          </w:tcPr>
          <w:p w14:paraId="18322FB6" w14:textId="77777777" w:rsidR="00BB1D82" w:rsidRPr="00A373EC" w:rsidRDefault="00851625" w:rsidP="00541D56">
            <w:pPr>
              <w:spacing w:before="400" w:after="48"/>
              <w:rPr>
                <w:rFonts w:ascii="Verdana" w:hAnsi="Verdana"/>
                <w:b/>
                <w:bCs/>
                <w:sz w:val="20"/>
              </w:rPr>
            </w:pPr>
            <w:r w:rsidRPr="00A373EC">
              <w:rPr>
                <w:rFonts w:ascii="Verdana" w:hAnsi="Verdana"/>
                <w:b/>
                <w:bCs/>
                <w:sz w:val="20"/>
              </w:rPr>
              <w:t>Conférence mondiale des radiocommunications (CMR-1</w:t>
            </w:r>
            <w:r w:rsidR="00FD7AA3" w:rsidRPr="00A373EC">
              <w:rPr>
                <w:rFonts w:ascii="Verdana" w:hAnsi="Verdana"/>
                <w:b/>
                <w:bCs/>
                <w:sz w:val="20"/>
              </w:rPr>
              <w:t>9</w:t>
            </w:r>
            <w:r w:rsidRPr="00A373EC">
              <w:rPr>
                <w:rFonts w:ascii="Verdana" w:hAnsi="Verdana"/>
                <w:b/>
                <w:bCs/>
                <w:sz w:val="20"/>
              </w:rPr>
              <w:t>)</w:t>
            </w:r>
            <w:r w:rsidRPr="00A373EC">
              <w:rPr>
                <w:rFonts w:ascii="Verdana" w:hAnsi="Verdana"/>
                <w:b/>
                <w:bCs/>
                <w:sz w:val="20"/>
              </w:rPr>
              <w:br/>
            </w:r>
            <w:r w:rsidR="00063A1F" w:rsidRPr="00A373EC">
              <w:rPr>
                <w:rFonts w:ascii="Verdana" w:hAnsi="Verdana"/>
                <w:b/>
                <w:bCs/>
                <w:sz w:val="18"/>
                <w:szCs w:val="18"/>
              </w:rPr>
              <w:t xml:space="preserve">Charm el-Cheikh, </w:t>
            </w:r>
            <w:r w:rsidR="00081366" w:rsidRPr="00A373EC">
              <w:rPr>
                <w:rFonts w:ascii="Verdana" w:hAnsi="Verdana"/>
                <w:b/>
                <w:bCs/>
                <w:sz w:val="18"/>
                <w:szCs w:val="18"/>
              </w:rPr>
              <w:t>É</w:t>
            </w:r>
            <w:r w:rsidR="00063A1F" w:rsidRPr="00A373EC">
              <w:rPr>
                <w:rFonts w:ascii="Verdana" w:hAnsi="Verdana"/>
                <w:b/>
                <w:bCs/>
                <w:sz w:val="18"/>
                <w:szCs w:val="18"/>
              </w:rPr>
              <w:t>gypte</w:t>
            </w:r>
            <w:r w:rsidRPr="00A373EC">
              <w:rPr>
                <w:rFonts w:ascii="Verdana" w:hAnsi="Verdana"/>
                <w:b/>
                <w:bCs/>
                <w:sz w:val="18"/>
                <w:szCs w:val="18"/>
              </w:rPr>
              <w:t>,</w:t>
            </w:r>
            <w:r w:rsidR="00E537FF" w:rsidRPr="00A373EC">
              <w:rPr>
                <w:rFonts w:ascii="Verdana" w:hAnsi="Verdana"/>
                <w:b/>
                <w:bCs/>
                <w:sz w:val="18"/>
                <w:szCs w:val="18"/>
              </w:rPr>
              <w:t xml:space="preserve"> </w:t>
            </w:r>
            <w:r w:rsidRPr="00A373EC">
              <w:rPr>
                <w:rFonts w:ascii="Verdana" w:hAnsi="Verdana"/>
                <w:b/>
                <w:bCs/>
                <w:sz w:val="18"/>
                <w:szCs w:val="18"/>
              </w:rPr>
              <w:t>2</w:t>
            </w:r>
            <w:r w:rsidR="00FD7AA3" w:rsidRPr="00A373EC">
              <w:rPr>
                <w:rFonts w:ascii="Verdana" w:hAnsi="Verdana"/>
                <w:b/>
                <w:bCs/>
                <w:sz w:val="18"/>
                <w:szCs w:val="18"/>
              </w:rPr>
              <w:t xml:space="preserve">8 octobre </w:t>
            </w:r>
            <w:r w:rsidR="00F10064" w:rsidRPr="00A373EC">
              <w:rPr>
                <w:rFonts w:ascii="Verdana" w:hAnsi="Verdana"/>
                <w:b/>
                <w:bCs/>
                <w:sz w:val="18"/>
                <w:szCs w:val="18"/>
              </w:rPr>
              <w:t>–</w:t>
            </w:r>
            <w:r w:rsidR="00FD7AA3" w:rsidRPr="00A373EC">
              <w:rPr>
                <w:rFonts w:ascii="Verdana" w:hAnsi="Verdana"/>
                <w:b/>
                <w:bCs/>
                <w:sz w:val="18"/>
                <w:szCs w:val="18"/>
              </w:rPr>
              <w:t xml:space="preserve"> </w:t>
            </w:r>
            <w:r w:rsidRPr="00A373EC">
              <w:rPr>
                <w:rFonts w:ascii="Verdana" w:hAnsi="Verdana"/>
                <w:b/>
                <w:bCs/>
                <w:sz w:val="18"/>
                <w:szCs w:val="18"/>
              </w:rPr>
              <w:t>2</w:t>
            </w:r>
            <w:r w:rsidR="00FD7AA3" w:rsidRPr="00A373EC">
              <w:rPr>
                <w:rFonts w:ascii="Verdana" w:hAnsi="Verdana"/>
                <w:b/>
                <w:bCs/>
                <w:sz w:val="18"/>
                <w:szCs w:val="18"/>
              </w:rPr>
              <w:t>2</w:t>
            </w:r>
            <w:r w:rsidRPr="00A373EC">
              <w:rPr>
                <w:rFonts w:ascii="Verdana" w:hAnsi="Verdana"/>
                <w:b/>
                <w:bCs/>
                <w:sz w:val="18"/>
                <w:szCs w:val="18"/>
              </w:rPr>
              <w:t xml:space="preserve"> novembre 201</w:t>
            </w:r>
            <w:r w:rsidR="00FD7AA3" w:rsidRPr="00A373EC">
              <w:rPr>
                <w:rFonts w:ascii="Verdana" w:hAnsi="Verdana"/>
                <w:b/>
                <w:bCs/>
                <w:sz w:val="18"/>
                <w:szCs w:val="18"/>
              </w:rPr>
              <w:t>9</w:t>
            </w:r>
          </w:p>
        </w:tc>
        <w:tc>
          <w:tcPr>
            <w:tcW w:w="3227" w:type="dxa"/>
          </w:tcPr>
          <w:p w14:paraId="585D1FD9" w14:textId="77777777" w:rsidR="00BB1D82" w:rsidRPr="00A373EC" w:rsidRDefault="000A55AE" w:rsidP="00541D56">
            <w:pPr>
              <w:spacing w:before="0"/>
              <w:jc w:val="right"/>
            </w:pPr>
            <w:r w:rsidRPr="00A373EC">
              <w:rPr>
                <w:rFonts w:ascii="Verdana" w:hAnsi="Verdana"/>
                <w:b/>
                <w:bCs/>
                <w:noProof/>
                <w:lang w:eastAsia="zh-CN"/>
              </w:rPr>
              <w:drawing>
                <wp:inline distT="0" distB="0" distL="0" distR="0" wp14:anchorId="04BDB9A2" wp14:editId="7D87261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373EC" w14:paraId="7AD4F4B2" w14:textId="77777777" w:rsidTr="00986E4B">
        <w:trPr>
          <w:cantSplit/>
        </w:trPr>
        <w:tc>
          <w:tcPr>
            <w:tcW w:w="6804" w:type="dxa"/>
            <w:tcBorders>
              <w:bottom w:val="single" w:sz="12" w:space="0" w:color="auto"/>
            </w:tcBorders>
          </w:tcPr>
          <w:p w14:paraId="7B47F61D" w14:textId="77777777" w:rsidR="00BB1D82" w:rsidRPr="00A373EC" w:rsidRDefault="00BB1D82" w:rsidP="00541D56">
            <w:pPr>
              <w:spacing w:before="0" w:after="48"/>
              <w:rPr>
                <w:b/>
                <w:smallCaps/>
                <w:szCs w:val="24"/>
              </w:rPr>
            </w:pPr>
          </w:p>
        </w:tc>
        <w:tc>
          <w:tcPr>
            <w:tcW w:w="3227" w:type="dxa"/>
            <w:tcBorders>
              <w:bottom w:val="single" w:sz="12" w:space="0" w:color="auto"/>
            </w:tcBorders>
          </w:tcPr>
          <w:p w14:paraId="12B9BEAF" w14:textId="77777777" w:rsidR="00BB1D82" w:rsidRPr="00A373EC" w:rsidRDefault="00BB1D82" w:rsidP="00541D56">
            <w:pPr>
              <w:spacing w:before="0"/>
              <w:rPr>
                <w:rFonts w:ascii="Verdana" w:hAnsi="Verdana"/>
                <w:szCs w:val="24"/>
              </w:rPr>
            </w:pPr>
          </w:p>
        </w:tc>
      </w:tr>
      <w:tr w:rsidR="00BB1D82" w:rsidRPr="00A373EC" w14:paraId="527E0750" w14:textId="77777777" w:rsidTr="00986E4B">
        <w:trPr>
          <w:cantSplit/>
        </w:trPr>
        <w:tc>
          <w:tcPr>
            <w:tcW w:w="6804" w:type="dxa"/>
            <w:tcBorders>
              <w:top w:val="single" w:sz="12" w:space="0" w:color="auto"/>
            </w:tcBorders>
          </w:tcPr>
          <w:p w14:paraId="56BC488C" w14:textId="77777777" w:rsidR="00BB1D82" w:rsidRPr="00A373EC" w:rsidRDefault="00BB1D82" w:rsidP="00541D56">
            <w:pPr>
              <w:spacing w:before="0" w:after="48"/>
              <w:rPr>
                <w:rFonts w:ascii="Verdana" w:hAnsi="Verdana"/>
                <w:b/>
                <w:smallCaps/>
                <w:sz w:val="20"/>
              </w:rPr>
            </w:pPr>
          </w:p>
        </w:tc>
        <w:tc>
          <w:tcPr>
            <w:tcW w:w="3227" w:type="dxa"/>
            <w:tcBorders>
              <w:top w:val="single" w:sz="12" w:space="0" w:color="auto"/>
            </w:tcBorders>
          </w:tcPr>
          <w:p w14:paraId="103814AE" w14:textId="77777777" w:rsidR="00BB1D82" w:rsidRPr="00A373EC" w:rsidRDefault="00BB1D82" w:rsidP="00541D56">
            <w:pPr>
              <w:spacing w:before="0"/>
              <w:rPr>
                <w:rFonts w:ascii="Verdana" w:hAnsi="Verdana"/>
                <w:sz w:val="20"/>
              </w:rPr>
            </w:pPr>
          </w:p>
        </w:tc>
      </w:tr>
      <w:tr w:rsidR="00BB1D82" w:rsidRPr="00A373EC" w14:paraId="65A2D7E9" w14:textId="77777777" w:rsidTr="00986E4B">
        <w:trPr>
          <w:cantSplit/>
        </w:trPr>
        <w:tc>
          <w:tcPr>
            <w:tcW w:w="6804" w:type="dxa"/>
          </w:tcPr>
          <w:p w14:paraId="47EB796E" w14:textId="77777777" w:rsidR="00BB1D82" w:rsidRPr="00A373EC" w:rsidRDefault="006D4724" w:rsidP="00541D56">
            <w:pPr>
              <w:spacing w:before="0"/>
              <w:rPr>
                <w:rFonts w:ascii="Verdana" w:hAnsi="Verdana"/>
                <w:b/>
                <w:sz w:val="20"/>
              </w:rPr>
            </w:pPr>
            <w:r w:rsidRPr="00A373EC">
              <w:rPr>
                <w:rFonts w:ascii="Verdana" w:hAnsi="Verdana"/>
                <w:b/>
                <w:sz w:val="20"/>
              </w:rPr>
              <w:t>SÉANCE PLÉNIÈRE</w:t>
            </w:r>
          </w:p>
        </w:tc>
        <w:tc>
          <w:tcPr>
            <w:tcW w:w="3227" w:type="dxa"/>
          </w:tcPr>
          <w:p w14:paraId="2F9E43FC" w14:textId="60C19BB3" w:rsidR="00BB1D82" w:rsidRPr="00A373EC" w:rsidRDefault="007164CC" w:rsidP="00541D56">
            <w:pPr>
              <w:spacing w:before="0"/>
              <w:rPr>
                <w:rFonts w:ascii="Verdana" w:hAnsi="Verdana"/>
                <w:sz w:val="20"/>
              </w:rPr>
            </w:pPr>
            <w:r w:rsidRPr="00A373EC">
              <w:rPr>
                <w:rFonts w:ascii="Verdana" w:hAnsi="Verdana"/>
                <w:b/>
                <w:sz w:val="20"/>
              </w:rPr>
              <w:t>Addendum 4 d</w:t>
            </w:r>
            <w:r w:rsidR="006D4724" w:rsidRPr="00A373EC">
              <w:rPr>
                <w:rFonts w:ascii="Verdana" w:hAnsi="Verdana"/>
                <w:b/>
                <w:sz w:val="20"/>
              </w:rPr>
              <w:t>u</w:t>
            </w:r>
            <w:r w:rsidR="006D4724" w:rsidRPr="00A373EC">
              <w:rPr>
                <w:rFonts w:ascii="Verdana" w:hAnsi="Verdana"/>
                <w:b/>
                <w:sz w:val="20"/>
              </w:rPr>
              <w:br/>
              <w:t>Document 11(Add.21)</w:t>
            </w:r>
            <w:r w:rsidR="00BB1D82" w:rsidRPr="00A373EC">
              <w:rPr>
                <w:rFonts w:ascii="Verdana" w:hAnsi="Verdana"/>
                <w:b/>
                <w:sz w:val="20"/>
              </w:rPr>
              <w:t>-</w:t>
            </w:r>
            <w:r w:rsidR="006D4724" w:rsidRPr="00A373EC">
              <w:rPr>
                <w:rFonts w:ascii="Verdana" w:hAnsi="Verdana"/>
                <w:b/>
                <w:sz w:val="20"/>
              </w:rPr>
              <w:t>F</w:t>
            </w:r>
          </w:p>
        </w:tc>
      </w:tr>
      <w:tr w:rsidR="00690C7B" w:rsidRPr="00A373EC" w14:paraId="4D9B4C7B" w14:textId="77777777" w:rsidTr="00986E4B">
        <w:trPr>
          <w:cantSplit/>
        </w:trPr>
        <w:tc>
          <w:tcPr>
            <w:tcW w:w="6804" w:type="dxa"/>
          </w:tcPr>
          <w:p w14:paraId="3341FCC8" w14:textId="77777777" w:rsidR="00690C7B" w:rsidRPr="00A373EC" w:rsidRDefault="00690C7B" w:rsidP="00541D56">
            <w:pPr>
              <w:spacing w:before="0"/>
              <w:rPr>
                <w:rFonts w:ascii="Verdana" w:hAnsi="Verdana"/>
                <w:b/>
                <w:sz w:val="20"/>
              </w:rPr>
            </w:pPr>
          </w:p>
        </w:tc>
        <w:tc>
          <w:tcPr>
            <w:tcW w:w="3227" w:type="dxa"/>
          </w:tcPr>
          <w:p w14:paraId="058B5728" w14:textId="77777777" w:rsidR="00690C7B" w:rsidRPr="00A373EC" w:rsidRDefault="00690C7B" w:rsidP="00541D56">
            <w:pPr>
              <w:spacing w:before="0"/>
              <w:rPr>
                <w:rFonts w:ascii="Verdana" w:hAnsi="Verdana"/>
                <w:b/>
                <w:sz w:val="20"/>
              </w:rPr>
            </w:pPr>
            <w:r w:rsidRPr="00A373EC">
              <w:rPr>
                <w:rFonts w:ascii="Verdana" w:hAnsi="Verdana"/>
                <w:b/>
                <w:sz w:val="20"/>
              </w:rPr>
              <w:t>13 septembre 2019</w:t>
            </w:r>
          </w:p>
        </w:tc>
      </w:tr>
      <w:tr w:rsidR="00690C7B" w:rsidRPr="00A373EC" w14:paraId="27EF1B39" w14:textId="77777777" w:rsidTr="00986E4B">
        <w:trPr>
          <w:cantSplit/>
        </w:trPr>
        <w:tc>
          <w:tcPr>
            <w:tcW w:w="6804" w:type="dxa"/>
          </w:tcPr>
          <w:p w14:paraId="59D1F84D" w14:textId="77777777" w:rsidR="00690C7B" w:rsidRPr="00A373EC" w:rsidRDefault="00690C7B" w:rsidP="00541D56">
            <w:pPr>
              <w:spacing w:before="0" w:after="48"/>
              <w:rPr>
                <w:rFonts w:ascii="Verdana" w:hAnsi="Verdana"/>
                <w:b/>
                <w:smallCaps/>
                <w:sz w:val="20"/>
              </w:rPr>
            </w:pPr>
          </w:p>
        </w:tc>
        <w:tc>
          <w:tcPr>
            <w:tcW w:w="3227" w:type="dxa"/>
          </w:tcPr>
          <w:p w14:paraId="672F9835" w14:textId="6BFA7A02" w:rsidR="00690C7B" w:rsidRPr="00A373EC" w:rsidRDefault="00690C7B" w:rsidP="00541D56">
            <w:pPr>
              <w:spacing w:before="0"/>
              <w:rPr>
                <w:rFonts w:ascii="Verdana" w:hAnsi="Verdana"/>
                <w:b/>
                <w:sz w:val="20"/>
              </w:rPr>
            </w:pPr>
            <w:r w:rsidRPr="00A373EC">
              <w:rPr>
                <w:rFonts w:ascii="Verdana" w:hAnsi="Verdana"/>
                <w:b/>
                <w:sz w:val="20"/>
              </w:rPr>
              <w:t>Original: anglais</w:t>
            </w:r>
            <w:r w:rsidR="00E406A2" w:rsidRPr="00A373EC">
              <w:rPr>
                <w:rFonts w:ascii="Verdana" w:hAnsi="Verdana"/>
                <w:b/>
                <w:sz w:val="20"/>
              </w:rPr>
              <w:t>/espagnol</w:t>
            </w:r>
          </w:p>
        </w:tc>
      </w:tr>
      <w:tr w:rsidR="00690C7B" w:rsidRPr="00A373EC" w14:paraId="213FE383" w14:textId="77777777" w:rsidTr="00C11970">
        <w:trPr>
          <w:cantSplit/>
        </w:trPr>
        <w:tc>
          <w:tcPr>
            <w:tcW w:w="10031" w:type="dxa"/>
            <w:gridSpan w:val="2"/>
          </w:tcPr>
          <w:p w14:paraId="1AF417C0" w14:textId="77777777" w:rsidR="00690C7B" w:rsidRPr="00A373EC" w:rsidRDefault="00690C7B" w:rsidP="00541D56">
            <w:pPr>
              <w:spacing w:before="0"/>
              <w:rPr>
                <w:rFonts w:ascii="Verdana" w:hAnsi="Verdana"/>
                <w:b/>
                <w:sz w:val="20"/>
              </w:rPr>
            </w:pPr>
          </w:p>
        </w:tc>
      </w:tr>
      <w:tr w:rsidR="00690C7B" w:rsidRPr="00A373EC" w14:paraId="6A03621B" w14:textId="77777777" w:rsidTr="0050008E">
        <w:trPr>
          <w:cantSplit/>
        </w:trPr>
        <w:tc>
          <w:tcPr>
            <w:tcW w:w="10031" w:type="dxa"/>
            <w:gridSpan w:val="2"/>
          </w:tcPr>
          <w:p w14:paraId="2B07EC5C" w14:textId="77777777" w:rsidR="00690C7B" w:rsidRPr="00A373EC" w:rsidRDefault="00690C7B" w:rsidP="00541D56">
            <w:pPr>
              <w:pStyle w:val="Source"/>
            </w:pPr>
            <w:bookmarkStart w:id="0" w:name="dsource" w:colFirst="0" w:colLast="0"/>
            <w:r w:rsidRPr="00A373EC">
              <w:t>États Membres de la Commission interaméricaine des télécommunications (CITEL)</w:t>
            </w:r>
          </w:p>
        </w:tc>
      </w:tr>
      <w:tr w:rsidR="00690C7B" w:rsidRPr="00A373EC" w14:paraId="503F8753" w14:textId="77777777" w:rsidTr="0050008E">
        <w:trPr>
          <w:cantSplit/>
        </w:trPr>
        <w:tc>
          <w:tcPr>
            <w:tcW w:w="10031" w:type="dxa"/>
            <w:gridSpan w:val="2"/>
          </w:tcPr>
          <w:p w14:paraId="1ED79A1A" w14:textId="21D8B409" w:rsidR="00690C7B" w:rsidRPr="00A373EC" w:rsidRDefault="00690C7B" w:rsidP="00541D56">
            <w:pPr>
              <w:pStyle w:val="Title1"/>
            </w:pPr>
            <w:bookmarkStart w:id="1" w:name="dtitle1" w:colFirst="0" w:colLast="0"/>
            <w:bookmarkEnd w:id="0"/>
            <w:r w:rsidRPr="00A373EC">
              <w:t>PRO</w:t>
            </w:r>
            <w:r w:rsidR="00D4481D" w:rsidRPr="00A373EC">
              <w:t>POSITIONS POUR LES TRAVAUX DE LA CONFÉ</w:t>
            </w:r>
            <w:r w:rsidRPr="00A373EC">
              <w:t>RENCE</w:t>
            </w:r>
          </w:p>
        </w:tc>
      </w:tr>
      <w:tr w:rsidR="00690C7B" w:rsidRPr="00A373EC" w14:paraId="5629016B" w14:textId="77777777" w:rsidTr="0050008E">
        <w:trPr>
          <w:cantSplit/>
        </w:trPr>
        <w:tc>
          <w:tcPr>
            <w:tcW w:w="10031" w:type="dxa"/>
            <w:gridSpan w:val="2"/>
          </w:tcPr>
          <w:p w14:paraId="3037579D" w14:textId="2510ECF1" w:rsidR="00690C7B" w:rsidRPr="00A373EC" w:rsidRDefault="00690C7B" w:rsidP="00541D56">
            <w:pPr>
              <w:pStyle w:val="Title2"/>
            </w:pPr>
            <w:bookmarkStart w:id="2" w:name="dtitle2" w:colFirst="0" w:colLast="0"/>
            <w:bookmarkEnd w:id="1"/>
          </w:p>
        </w:tc>
      </w:tr>
      <w:tr w:rsidR="00690C7B" w:rsidRPr="00A373EC" w14:paraId="6A714BA8" w14:textId="77777777" w:rsidTr="0050008E">
        <w:trPr>
          <w:cantSplit/>
        </w:trPr>
        <w:tc>
          <w:tcPr>
            <w:tcW w:w="10031" w:type="dxa"/>
            <w:gridSpan w:val="2"/>
          </w:tcPr>
          <w:p w14:paraId="7E284879" w14:textId="5A8B9530" w:rsidR="00690C7B" w:rsidRPr="00A373EC" w:rsidRDefault="00690C7B" w:rsidP="00541D56">
            <w:pPr>
              <w:pStyle w:val="Agendaitem"/>
              <w:rPr>
                <w:lang w:val="fr-FR"/>
              </w:rPr>
            </w:pPr>
            <w:bookmarkStart w:id="3" w:name="dtitle3" w:colFirst="0" w:colLast="0"/>
            <w:bookmarkEnd w:id="2"/>
            <w:r w:rsidRPr="00A373EC">
              <w:rPr>
                <w:lang w:val="fr-FR"/>
              </w:rPr>
              <w:t>Point 9.1(9.1.4) de l'ordre du jour</w:t>
            </w:r>
          </w:p>
        </w:tc>
      </w:tr>
    </w:tbl>
    <w:bookmarkEnd w:id="3"/>
    <w:p w14:paraId="1770560F" w14:textId="77777777" w:rsidR="001C0E40" w:rsidRPr="00A373EC" w:rsidRDefault="008A052F" w:rsidP="00541D56">
      <w:r w:rsidRPr="00A373EC">
        <w:t>9</w:t>
      </w:r>
      <w:r w:rsidRPr="00A373EC">
        <w:tab/>
        <w:t>examiner et approuver le rapport du Directeur du Bureau des radiocommunications, conformément à l'article 7 de la Convention:</w:t>
      </w:r>
    </w:p>
    <w:p w14:paraId="4BA231C0" w14:textId="77777777" w:rsidR="001C0E40" w:rsidRPr="00A373EC" w:rsidRDefault="008A052F" w:rsidP="00541D56">
      <w:r w:rsidRPr="00A373EC">
        <w:t>9.1</w:t>
      </w:r>
      <w:r w:rsidRPr="00A373EC">
        <w:tab/>
        <w:t>sur les activités du Secteur des radiocommunications depuis la CMR</w:t>
      </w:r>
      <w:r w:rsidRPr="00A373EC">
        <w:noBreakHyphen/>
        <w:t>15;</w:t>
      </w:r>
    </w:p>
    <w:p w14:paraId="6E08358F" w14:textId="10CEC4AD" w:rsidR="00E406A2" w:rsidRPr="00A373EC" w:rsidRDefault="008A052F" w:rsidP="00F40299">
      <w:pPr>
        <w:rPr>
          <w:rFonts w:asciiTheme="majorBidi" w:hAnsiTheme="majorBidi"/>
        </w:rPr>
      </w:pPr>
      <w:r w:rsidRPr="00A373EC">
        <w:rPr>
          <w:color w:val="000000"/>
          <w:szCs w:val="24"/>
          <w:lang w:eastAsia="zh-CN"/>
        </w:rPr>
        <w:t>9.1 (</w:t>
      </w:r>
      <w:r w:rsidRPr="00A373EC">
        <w:rPr>
          <w:lang w:eastAsia="zh-CN"/>
        </w:rPr>
        <w:t>9.1.4)</w:t>
      </w:r>
      <w:r w:rsidRPr="00A373EC">
        <w:rPr>
          <w:rFonts w:asciiTheme="majorBidi" w:hAnsiTheme="majorBidi"/>
        </w:rPr>
        <w:tab/>
      </w:r>
      <w:hyperlink w:anchor="RES_763" w:history="1">
        <w:r w:rsidRPr="00A373EC">
          <w:t xml:space="preserve">Résolution </w:t>
        </w:r>
        <w:r w:rsidRPr="00A373EC">
          <w:rPr>
            <w:b/>
          </w:rPr>
          <w:t>763 (CMR</w:t>
        </w:r>
        <w:r w:rsidRPr="00A373EC">
          <w:rPr>
            <w:b/>
          </w:rPr>
          <w:noBreakHyphen/>
          <w:t>15)</w:t>
        </w:r>
      </w:hyperlink>
      <w:r w:rsidRPr="00A373EC">
        <w:rPr>
          <w:rFonts w:asciiTheme="majorBidi" w:hAnsiTheme="majorBidi"/>
        </w:rPr>
        <w:t xml:space="preserve"> – Stations placées à bord de véhicules suborbitaux</w:t>
      </w:r>
    </w:p>
    <w:p w14:paraId="5CD9FF4E" w14:textId="4FD6FC65" w:rsidR="00E406A2" w:rsidRPr="00A373EC" w:rsidRDefault="00E406A2" w:rsidP="00541D56">
      <w:pPr>
        <w:pStyle w:val="Headingb"/>
      </w:pPr>
      <w:r w:rsidRPr="00A373EC">
        <w:t>I</w:t>
      </w:r>
      <w:r w:rsidR="000D69E4" w:rsidRPr="00A373EC">
        <w:t>ntroduction</w:t>
      </w:r>
    </w:p>
    <w:p w14:paraId="32243F3C" w14:textId="76688D48" w:rsidR="00E406A2" w:rsidRPr="00A373EC" w:rsidRDefault="00B8238D" w:rsidP="00541D56">
      <w:r w:rsidRPr="00A373EC">
        <w:t xml:space="preserve">Il existe </w:t>
      </w:r>
      <w:r w:rsidR="003537C7" w:rsidRPr="00A373EC">
        <w:t>à présent</w:t>
      </w:r>
      <w:r w:rsidRPr="00A373EC">
        <w:t xml:space="preserve"> des véhicules </w:t>
      </w:r>
      <w:r w:rsidR="003537C7" w:rsidRPr="00A373EC">
        <w:t>pouvant</w:t>
      </w:r>
      <w:r w:rsidRPr="00A373EC">
        <w:t xml:space="preserve"> </w:t>
      </w:r>
      <w:r w:rsidR="003537C7" w:rsidRPr="00A373EC">
        <w:t xml:space="preserve">effectuer des </w:t>
      </w:r>
      <w:r w:rsidR="00414543" w:rsidRPr="00A373EC">
        <w:t>vol</w:t>
      </w:r>
      <w:r w:rsidR="003537C7" w:rsidRPr="00A373EC">
        <w:t xml:space="preserve">s </w:t>
      </w:r>
      <w:r w:rsidRPr="00A373EC">
        <w:t xml:space="preserve">à </w:t>
      </w:r>
      <w:r w:rsidR="00414543" w:rsidRPr="00A373EC">
        <w:t xml:space="preserve">une altitude de </w:t>
      </w:r>
      <w:r w:rsidRPr="00A373EC">
        <w:t xml:space="preserve">plus de 100 kilomètres </w:t>
      </w:r>
      <w:r w:rsidR="003537C7" w:rsidRPr="00A373EC">
        <w:t xml:space="preserve">(vols suborbitaux) </w:t>
      </w:r>
      <w:r w:rsidRPr="00A373EC">
        <w:t xml:space="preserve">et </w:t>
      </w:r>
      <w:r w:rsidR="00141C97" w:rsidRPr="00A373EC">
        <w:t>regagne</w:t>
      </w:r>
      <w:r w:rsidR="003537C7" w:rsidRPr="00A373EC">
        <w:t>r</w:t>
      </w:r>
      <w:r w:rsidR="00141C97" w:rsidRPr="00A373EC">
        <w:t xml:space="preserve"> ensuite la Terre</w:t>
      </w:r>
      <w:r w:rsidRPr="00A373EC">
        <w:t xml:space="preserve"> sans avoir atteint</w:t>
      </w:r>
      <w:r w:rsidR="00E406A2" w:rsidRPr="00A373EC">
        <w:t xml:space="preserve"> </w:t>
      </w:r>
      <w:r w:rsidR="00986E4B" w:rsidRPr="00A373EC">
        <w:t xml:space="preserve">une </w:t>
      </w:r>
      <w:r w:rsidRPr="00A373EC">
        <w:t>orbite</w:t>
      </w:r>
      <w:r w:rsidR="00E406A2" w:rsidRPr="00A373EC">
        <w:t xml:space="preserve"> </w:t>
      </w:r>
      <w:r w:rsidRPr="00A373EC">
        <w:t>ou l'espace lointain</w:t>
      </w:r>
      <w:r w:rsidR="00E406A2" w:rsidRPr="00A373EC">
        <w:t xml:space="preserve">. </w:t>
      </w:r>
      <w:r w:rsidRPr="00A373EC">
        <w:t>Ces véhicules sont appelés véhicules suborbitaux ou avions spatiaux</w:t>
      </w:r>
      <w:r w:rsidR="00E406A2" w:rsidRPr="00A373EC">
        <w:t>.</w:t>
      </w:r>
    </w:p>
    <w:p w14:paraId="339AA9DA" w14:textId="67481C3A" w:rsidR="00E406A2" w:rsidRPr="00A373EC" w:rsidRDefault="00B8238D" w:rsidP="00541D56">
      <w:r w:rsidRPr="00A373EC">
        <w:t xml:space="preserve">En </w:t>
      </w:r>
      <w:r w:rsidR="001045D3" w:rsidRPr="00A373EC">
        <w:t>conséquence</w:t>
      </w:r>
      <w:r w:rsidRPr="00A373EC">
        <w:t xml:space="preserve">, pour garantir le développement de ces véhicules et </w:t>
      </w:r>
      <w:r w:rsidR="000F49A6" w:rsidRPr="00A373EC">
        <w:t xml:space="preserve">les </w:t>
      </w:r>
      <w:r w:rsidR="009505C0" w:rsidRPr="00A373EC">
        <w:t>utiliser de façon opérationnelle</w:t>
      </w:r>
      <w:r w:rsidRPr="00A373EC">
        <w:t xml:space="preserve">, toutes les questions d'ordre réglementaire, </w:t>
      </w:r>
      <w:r w:rsidR="00141C97" w:rsidRPr="00A373EC">
        <w:t>notamment</w:t>
      </w:r>
      <w:r w:rsidRPr="00A373EC">
        <w:t xml:space="preserve"> les dispositions du Règlement des radiocommunications</w:t>
      </w:r>
      <w:r w:rsidR="009505C0" w:rsidRPr="00A373EC">
        <w:t xml:space="preserve"> (RR)</w:t>
      </w:r>
      <w:r w:rsidRPr="00A373EC">
        <w:t xml:space="preserve">, doivent être </w:t>
      </w:r>
      <w:r w:rsidR="003537C7" w:rsidRPr="00A373EC">
        <w:t>étudiées</w:t>
      </w:r>
      <w:r w:rsidR="000F49A6" w:rsidRPr="00A373EC">
        <w:t>.</w:t>
      </w:r>
      <w:r w:rsidR="001045D3" w:rsidRPr="00A373EC">
        <w:t xml:space="preserve"> </w:t>
      </w:r>
      <w:r w:rsidR="000F49A6" w:rsidRPr="00A373EC">
        <w:t xml:space="preserve">De plus, il faut </w:t>
      </w:r>
      <w:r w:rsidR="001045D3" w:rsidRPr="00A373EC">
        <w:t xml:space="preserve">déterminer si les services de télécommunication utilisés par les véhicules suborbitaux peuvent être considérés comme faisant partie des services </w:t>
      </w:r>
      <w:r w:rsidR="009505C0" w:rsidRPr="00A373EC">
        <w:t xml:space="preserve">de radiocommunication existants, </w:t>
      </w:r>
      <w:r w:rsidR="001045D3" w:rsidRPr="00A373EC">
        <w:t xml:space="preserve">ou s'il est nécessaire qu'une future Conférence mondiale des radiocommunications </w:t>
      </w:r>
      <w:r w:rsidR="009505C0" w:rsidRPr="00A373EC">
        <w:t xml:space="preserve">en </w:t>
      </w:r>
      <w:r w:rsidR="001045D3" w:rsidRPr="00A373EC">
        <w:t>définisse de nouveaux</w:t>
      </w:r>
      <w:r w:rsidR="0084756C" w:rsidRPr="00A373EC">
        <w:t xml:space="preserve">, </w:t>
      </w:r>
      <w:r w:rsidR="000F49A6" w:rsidRPr="00A373EC">
        <w:t>et</w:t>
      </w:r>
      <w:r w:rsidR="001045D3" w:rsidRPr="00A373EC">
        <w:t xml:space="preserve"> </w:t>
      </w:r>
      <w:r w:rsidR="0084756C" w:rsidRPr="00A373EC">
        <w:t>même déterminer si celle-ci peut attribuer</w:t>
      </w:r>
      <w:r w:rsidR="001045D3" w:rsidRPr="00A373EC">
        <w:t xml:space="preserve"> des bandes de fréquences à ces services pour </w:t>
      </w:r>
      <w:r w:rsidR="000F49A6" w:rsidRPr="00A373EC">
        <w:t>utiliser</w:t>
      </w:r>
      <w:r w:rsidR="00E406A2" w:rsidRPr="00A373EC">
        <w:t xml:space="preserve"> </w:t>
      </w:r>
      <w:r w:rsidR="0084756C" w:rsidRPr="00A373EC">
        <w:t>l</w:t>
      </w:r>
      <w:r w:rsidR="000B1DFA" w:rsidRPr="00A373EC">
        <w:t>es véhicules</w:t>
      </w:r>
      <w:r w:rsidR="0084756C" w:rsidRPr="00A373EC">
        <w:t xml:space="preserve"> suborbitaux</w:t>
      </w:r>
      <w:r w:rsidR="00E406A2" w:rsidRPr="00A373EC">
        <w:t>.</w:t>
      </w:r>
    </w:p>
    <w:p w14:paraId="071BC659" w14:textId="691170BF" w:rsidR="00E406A2" w:rsidRPr="00A373EC" w:rsidRDefault="001045D3" w:rsidP="00541D56">
      <w:pPr>
        <w:pStyle w:val="Headingb"/>
      </w:pPr>
      <w:r w:rsidRPr="00A373EC">
        <w:t>G</w:t>
      </w:r>
      <w:r w:rsidR="000D69E4" w:rsidRPr="00A373EC">
        <w:t>énéralités</w:t>
      </w:r>
    </w:p>
    <w:p w14:paraId="4F950B5D" w14:textId="3ACE80EC" w:rsidR="00E406A2" w:rsidRPr="00A373EC" w:rsidRDefault="000B1DFA" w:rsidP="00541D56">
      <w:r w:rsidRPr="00A373EC">
        <w:t xml:space="preserve">Les avancées concernant les technologies de propulsion et la propulsion par fusée ont </w:t>
      </w:r>
      <w:r w:rsidR="00720BED" w:rsidRPr="00A373EC">
        <w:t>facilité</w:t>
      </w:r>
      <w:r w:rsidRPr="00A373EC">
        <w:t xml:space="preserve"> la conception de véhicules pouvant </w:t>
      </w:r>
      <w:r w:rsidR="00720BED" w:rsidRPr="00A373EC">
        <w:t>effectuer des vols à</w:t>
      </w:r>
      <w:r w:rsidRPr="00A373EC">
        <w:t xml:space="preserve"> une altitude </w:t>
      </w:r>
      <w:r w:rsidR="00720BED" w:rsidRPr="00A373EC">
        <w:t>de plus de</w:t>
      </w:r>
      <w:r w:rsidRPr="00A373EC">
        <w:t xml:space="preserve"> 100 kilomètres (vol</w:t>
      </w:r>
      <w:r w:rsidR="00720BED" w:rsidRPr="00A373EC">
        <w:t>s suborbitaux</w:t>
      </w:r>
      <w:r w:rsidRPr="00A373EC">
        <w:t xml:space="preserve">) et </w:t>
      </w:r>
      <w:r w:rsidR="00141C97" w:rsidRPr="00A373EC">
        <w:t>regagner ensuite la</w:t>
      </w:r>
      <w:r w:rsidRPr="00A373EC">
        <w:t xml:space="preserve"> Terre sans avoir atteint </w:t>
      </w:r>
      <w:r w:rsidR="00986E4B" w:rsidRPr="00A373EC">
        <w:t xml:space="preserve">une </w:t>
      </w:r>
      <w:r w:rsidRPr="00A373EC">
        <w:t xml:space="preserve">orbite ou l'espace lointain. Un véhicule suborbital peut être utilisé </w:t>
      </w:r>
      <w:r w:rsidR="00720BED" w:rsidRPr="00A373EC">
        <w:t>pour</w:t>
      </w:r>
      <w:r w:rsidR="00A34B91" w:rsidRPr="00A373EC">
        <w:t xml:space="preserve"> </w:t>
      </w:r>
      <w:r w:rsidR="00F97BD1" w:rsidRPr="00A373EC">
        <w:t>d</w:t>
      </w:r>
      <w:r w:rsidR="001A6D20" w:rsidRPr="00A373EC">
        <w:t>es</w:t>
      </w:r>
      <w:r w:rsidRPr="00A373EC">
        <w:t xml:space="preserve"> vols spatiaux</w:t>
      </w:r>
      <w:r w:rsidR="00A34B91" w:rsidRPr="00A373EC">
        <w:t xml:space="preserve"> commerciaux</w:t>
      </w:r>
      <w:r w:rsidRPr="00A373EC">
        <w:t xml:space="preserve">, </w:t>
      </w:r>
      <w:r w:rsidR="00F97BD1" w:rsidRPr="00A373EC">
        <w:t>d</w:t>
      </w:r>
      <w:r w:rsidRPr="00A373EC">
        <w:t xml:space="preserve">es recherches scientifiques, </w:t>
      </w:r>
      <w:r w:rsidR="00F97BD1" w:rsidRPr="00A373EC">
        <w:t>d</w:t>
      </w:r>
      <w:r w:rsidR="0089612E" w:rsidRPr="00A373EC">
        <w:t>es voyages point à point</w:t>
      </w:r>
      <w:r w:rsidR="00E406A2" w:rsidRPr="00A373EC">
        <w:t xml:space="preserve">, </w:t>
      </w:r>
      <w:r w:rsidR="00A34B91" w:rsidRPr="00A373EC">
        <w:t>le transport de fret ou l'observation de la Terre</w:t>
      </w:r>
      <w:r w:rsidR="00E406A2" w:rsidRPr="00A373EC">
        <w:t>.</w:t>
      </w:r>
    </w:p>
    <w:p w14:paraId="23E1D01E" w14:textId="10C1B436" w:rsidR="00E406A2" w:rsidRPr="00A373EC" w:rsidRDefault="00A1091E" w:rsidP="000620CF">
      <w:pPr>
        <w:keepLines/>
      </w:pPr>
      <w:r w:rsidRPr="00A373EC">
        <w:lastRenderedPageBreak/>
        <w:t>L</w:t>
      </w:r>
      <w:r w:rsidR="00283650" w:rsidRPr="00A373EC">
        <w:t>es vols spatiaux commerciaux sont devenus réalité</w:t>
      </w:r>
      <w:r w:rsidRPr="00A373EC">
        <w:t xml:space="preserve"> </w:t>
      </w:r>
      <w:r w:rsidR="00AC4F40" w:rsidRPr="00A373EC">
        <w:t>grâce à</w:t>
      </w:r>
      <w:r w:rsidRPr="00A373EC">
        <w:t xml:space="preserve"> des entreprises </w:t>
      </w:r>
      <w:r w:rsidR="00AC4F40" w:rsidRPr="00A373EC">
        <w:t xml:space="preserve">qui </w:t>
      </w:r>
      <w:r w:rsidRPr="00A373EC">
        <w:t>promettent de rendre possibles les vols spatiaux</w:t>
      </w:r>
      <w:r w:rsidR="00A41803" w:rsidRPr="00A373EC">
        <w:t xml:space="preserve">. La Conférence mondiale des radiocommunications de </w:t>
      </w:r>
      <w:r w:rsidR="00E406A2" w:rsidRPr="00A373EC">
        <w:t>2015 (</w:t>
      </w:r>
      <w:r w:rsidR="00A41803" w:rsidRPr="00A373EC">
        <w:t>CMR</w:t>
      </w:r>
      <w:r w:rsidR="00E406A2" w:rsidRPr="00A373EC">
        <w:t xml:space="preserve">-15) </w:t>
      </w:r>
      <w:r w:rsidR="00A41803" w:rsidRPr="00A373EC">
        <w:t>a adopté la Résolution</w:t>
      </w:r>
      <w:r w:rsidR="00E406A2" w:rsidRPr="00A373EC">
        <w:t xml:space="preserve"> </w:t>
      </w:r>
      <w:r w:rsidR="00E406A2" w:rsidRPr="00A373EC">
        <w:rPr>
          <w:b/>
        </w:rPr>
        <w:t>763 (</w:t>
      </w:r>
      <w:r w:rsidR="00A41803" w:rsidRPr="00A373EC">
        <w:rPr>
          <w:b/>
        </w:rPr>
        <w:t>CMR</w:t>
      </w:r>
      <w:r w:rsidR="00E406A2" w:rsidRPr="00A373EC">
        <w:rPr>
          <w:b/>
        </w:rPr>
        <w:noBreakHyphen/>
        <w:t>15)</w:t>
      </w:r>
      <w:r w:rsidR="00E406A2" w:rsidRPr="00A373EC">
        <w:t xml:space="preserve"> </w:t>
      </w:r>
      <w:r w:rsidR="00986E4B" w:rsidRPr="00A373EC">
        <w:t>concernant</w:t>
      </w:r>
      <w:r w:rsidR="00A41803" w:rsidRPr="00A373EC">
        <w:t xml:space="preserve"> les stations </w:t>
      </w:r>
      <w:r w:rsidR="005C7D42" w:rsidRPr="00A373EC">
        <w:t>placées à bord de</w:t>
      </w:r>
      <w:r w:rsidR="00A41803" w:rsidRPr="00A373EC">
        <w:t xml:space="preserve"> véhicules suborbitaux</w:t>
      </w:r>
      <w:r w:rsidR="00E406A2" w:rsidRPr="00A373EC">
        <w:rPr>
          <w:vertAlign w:val="superscript"/>
        </w:rPr>
        <w:footnoteReference w:id="1"/>
      </w:r>
      <w:r w:rsidR="00E406A2" w:rsidRPr="00A373EC">
        <w:t xml:space="preserve">. </w:t>
      </w:r>
      <w:r w:rsidR="00A41803" w:rsidRPr="00A373EC">
        <w:t xml:space="preserve">Il a été décidé de </w:t>
      </w:r>
      <w:r w:rsidR="00557595" w:rsidRPr="00A373EC">
        <w:t>procéder à</w:t>
      </w:r>
      <w:r w:rsidR="00A41803" w:rsidRPr="00A373EC">
        <w:t xml:space="preserve"> des</w:t>
      </w:r>
      <w:r w:rsidR="00141C97" w:rsidRPr="00A373EC">
        <w:t xml:space="preserve"> études durant le cycle d'étude</w:t>
      </w:r>
      <w:r w:rsidR="00A41803" w:rsidRPr="00A373EC">
        <w:t xml:space="preserve"> </w:t>
      </w:r>
      <w:r w:rsidR="00986E4B" w:rsidRPr="00A373EC">
        <w:t>précédant</w:t>
      </w:r>
      <w:r w:rsidR="00A41803" w:rsidRPr="00A373EC">
        <w:t xml:space="preserve"> la CMR-19</w:t>
      </w:r>
      <w:r w:rsidR="00E406A2" w:rsidRPr="00A373EC">
        <w:t>:</w:t>
      </w:r>
    </w:p>
    <w:p w14:paraId="6980AE97" w14:textId="77777777" w:rsidR="005E368D" w:rsidRPr="00A373EC" w:rsidRDefault="005E368D" w:rsidP="005E368D">
      <w:pPr>
        <w:pStyle w:val="enumlev1"/>
      </w:pPr>
      <w:r w:rsidRPr="00A373EC">
        <w:t>•</w:t>
      </w:r>
      <w:r w:rsidRPr="00A373EC">
        <w:tab/>
      </w:r>
      <w:r w:rsidR="00684EE4" w:rsidRPr="00A373EC">
        <w:t>pour mettre en évidence les mesures techniques et opérationnelles qui pourraient être nécessaires, en ce qui concerne avec les stations placées à bord de véhicules suborbitaux, pour contribuer à éviter les brouillages préjudiciables entre services de radiocommunication;</w:t>
      </w:r>
    </w:p>
    <w:p w14:paraId="161A8F91" w14:textId="52CAECB6" w:rsidR="00E406A2" w:rsidRPr="00A373EC" w:rsidRDefault="005E368D" w:rsidP="005E368D">
      <w:pPr>
        <w:pStyle w:val="enumlev1"/>
      </w:pPr>
      <w:r w:rsidRPr="00A373EC">
        <w:t>•</w:t>
      </w:r>
      <w:r w:rsidRPr="00A373EC">
        <w:tab/>
      </w:r>
      <w:r w:rsidR="00684EE4" w:rsidRPr="00A373EC">
        <w:t>pour déterminer les besoins de fréquences, et, sur la base des résultats de ces études, à envisager l'inscription d'un point éventuel à l'ordre du jour futur de la CMR-23</w:t>
      </w:r>
      <w:r w:rsidR="00E406A2" w:rsidRPr="00A373EC">
        <w:t>.</w:t>
      </w:r>
    </w:p>
    <w:p w14:paraId="14027B01" w14:textId="4C09600D" w:rsidR="00E406A2" w:rsidRPr="00A373EC" w:rsidRDefault="007C7F94" w:rsidP="00541D56">
      <w:r w:rsidRPr="00A373EC">
        <w:t xml:space="preserve">Il </w:t>
      </w:r>
      <w:r w:rsidR="00E91FF7" w:rsidRPr="00A373EC">
        <w:t>est</w:t>
      </w:r>
      <w:r w:rsidRPr="00A373EC">
        <w:t xml:space="preserve"> également </w:t>
      </w:r>
      <w:r w:rsidR="00E91FF7" w:rsidRPr="00A373EC">
        <w:t>pris note du fait</w:t>
      </w:r>
      <w:r w:rsidRPr="00A373EC">
        <w:t xml:space="preserve"> que l'UIT-R a formulé en </w:t>
      </w:r>
      <w:r w:rsidR="00E406A2" w:rsidRPr="00A373EC">
        <w:t xml:space="preserve">2015 </w:t>
      </w:r>
      <w:r w:rsidRPr="00A373EC">
        <w:t>la</w:t>
      </w:r>
      <w:r w:rsidR="00E406A2" w:rsidRPr="00A373EC">
        <w:t xml:space="preserve"> Question </w:t>
      </w:r>
      <w:r w:rsidRPr="00A373EC">
        <w:t xml:space="preserve">UIT-R </w:t>
      </w:r>
      <w:r w:rsidR="005E368D" w:rsidRPr="00A373EC">
        <w:t>N</w:t>
      </w:r>
      <w:r w:rsidRPr="00A373EC">
        <w:t>° </w:t>
      </w:r>
      <w:bookmarkStart w:id="4" w:name="_Hlk16793812"/>
      <w:r w:rsidR="00E406A2" w:rsidRPr="00A373EC">
        <w:fldChar w:fldCharType="begin"/>
      </w:r>
      <w:r w:rsidR="00E406A2" w:rsidRPr="00A373EC">
        <w:instrText xml:space="preserve"> HYPERLINK "http://www.itu.int/pub/R-QUE-SG05.259" </w:instrText>
      </w:r>
      <w:r w:rsidR="00E406A2" w:rsidRPr="00A373EC">
        <w:fldChar w:fldCharType="separate"/>
      </w:r>
      <w:r w:rsidR="00E406A2" w:rsidRPr="00A373EC">
        <w:rPr>
          <w:rStyle w:val="Hyperlink"/>
        </w:rPr>
        <w:t>259/5</w:t>
      </w:r>
      <w:r w:rsidR="00E406A2" w:rsidRPr="00A373EC">
        <w:fldChar w:fldCharType="end"/>
      </w:r>
      <w:bookmarkEnd w:id="4"/>
      <w:r w:rsidR="00E406A2" w:rsidRPr="00A373EC">
        <w:t xml:space="preserve">, </w:t>
      </w:r>
      <w:r w:rsidR="00E476D8" w:rsidRPr="00A373EC">
        <w:t>«Aspects opérationnels et réglementaires applicables aux avions évoluant dans la haute atmosphère»</w:t>
      </w:r>
      <w:r w:rsidR="00E406A2" w:rsidRPr="00A373EC">
        <w:t xml:space="preserve">, </w:t>
      </w:r>
      <w:r w:rsidRPr="00A373EC">
        <w:t xml:space="preserve">et que les études réalisées dans le cadre de cette </w:t>
      </w:r>
      <w:r w:rsidR="00E406A2" w:rsidRPr="00A373EC">
        <w:t xml:space="preserve">Question </w:t>
      </w:r>
      <w:r w:rsidRPr="00A373EC">
        <w:t>sont liées à la Résolution</w:t>
      </w:r>
      <w:r w:rsidR="00817F80" w:rsidRPr="00A373EC">
        <w:t> </w:t>
      </w:r>
      <w:r w:rsidR="00E406A2" w:rsidRPr="00A373EC">
        <w:rPr>
          <w:b/>
        </w:rPr>
        <w:t>763 (</w:t>
      </w:r>
      <w:r w:rsidRPr="00A373EC">
        <w:rPr>
          <w:b/>
        </w:rPr>
        <w:t>CMR-</w:t>
      </w:r>
      <w:r w:rsidR="00E406A2" w:rsidRPr="00A373EC">
        <w:rPr>
          <w:b/>
        </w:rPr>
        <w:t>15)</w:t>
      </w:r>
      <w:r w:rsidR="00E406A2" w:rsidRPr="00A373EC">
        <w:t xml:space="preserve">. </w:t>
      </w:r>
      <w:r w:rsidR="005E72DD" w:rsidRPr="00A373EC">
        <w:t>En particulier, l</w:t>
      </w:r>
      <w:r w:rsidR="00813F64" w:rsidRPr="00A373EC">
        <w:t xml:space="preserve">a question suivante a été </w:t>
      </w:r>
      <w:r w:rsidR="005E72DD" w:rsidRPr="00A373EC">
        <w:t>formulée</w:t>
      </w:r>
      <w:r w:rsidR="00813F64" w:rsidRPr="00A373EC">
        <w:t xml:space="preserve"> au </w:t>
      </w:r>
      <w:r w:rsidRPr="00A373EC">
        <w:t>point 3 du</w:t>
      </w:r>
      <w:r w:rsidR="00E406A2" w:rsidRPr="00A373EC">
        <w:t xml:space="preserve"> </w:t>
      </w:r>
      <w:r w:rsidRPr="00A373EC">
        <w:rPr>
          <w:i/>
        </w:rPr>
        <w:t>décide</w:t>
      </w:r>
      <w:r w:rsidR="00813F64" w:rsidRPr="00A373EC">
        <w:rPr>
          <w:i/>
        </w:rPr>
        <w:t xml:space="preserve"> </w:t>
      </w:r>
      <w:r w:rsidR="00813F64" w:rsidRPr="00A373EC">
        <w:rPr>
          <w:iCs/>
        </w:rPr>
        <w:t>de cette Question</w:t>
      </w:r>
      <w:r w:rsidR="00813F64" w:rsidRPr="00A373EC">
        <w:t xml:space="preserve">: </w:t>
      </w:r>
      <w:r w:rsidR="00BA7D74" w:rsidRPr="00A373EC">
        <w:t>«</w:t>
      </w:r>
      <w:r w:rsidR="00CF709C" w:rsidRPr="00A373EC">
        <w:t>q</w:t>
      </w:r>
      <w:r w:rsidR="00BA7D74" w:rsidRPr="00A373EC">
        <w:t xml:space="preserve">uelles liaisons </w:t>
      </w:r>
      <w:r w:rsidR="00813F64" w:rsidRPr="00A373EC">
        <w:t>radioélectriques ser</w:t>
      </w:r>
      <w:r w:rsidR="005E72DD" w:rsidRPr="00A373EC">
        <w:t>o</w:t>
      </w:r>
      <w:r w:rsidR="00BA7D74" w:rsidRPr="00A373EC">
        <w:t>nt nécessaires pour l'exploitation de ces aéronefs et de quel service de radiocommunications relèveront-t-elles?»</w:t>
      </w:r>
      <w:r w:rsidR="005E368D" w:rsidRPr="00A373EC">
        <w:t>.</w:t>
      </w:r>
    </w:p>
    <w:p w14:paraId="3E359A39" w14:textId="1959EEBE" w:rsidR="00E406A2" w:rsidRPr="00A373EC" w:rsidRDefault="007C7F94" w:rsidP="00541D56">
      <w:r w:rsidRPr="00A373EC">
        <w:t xml:space="preserve">Les véhicules suborbitaux, </w:t>
      </w:r>
      <w:r w:rsidR="00414543" w:rsidRPr="00A373EC">
        <w:t>notamment les avions spatiaux</w:t>
      </w:r>
      <w:r w:rsidR="00E406A2" w:rsidRPr="00A373EC">
        <w:t xml:space="preserve">, </w:t>
      </w:r>
      <w:r w:rsidR="00E703C7" w:rsidRPr="00A373EC">
        <w:t>sont conçus</w:t>
      </w:r>
      <w:r w:rsidR="00414543" w:rsidRPr="00A373EC">
        <w:t xml:space="preserve"> pour aller au-delà de</w:t>
      </w:r>
      <w:r w:rsidR="00E406A2" w:rsidRPr="00A373EC">
        <w:t xml:space="preserve"> </w:t>
      </w:r>
      <w:r w:rsidR="00414543" w:rsidRPr="00A373EC">
        <w:t>la partie principale de l'atmosphère terrestre pour de courtes périodes.</w:t>
      </w:r>
      <w:r w:rsidR="00E406A2" w:rsidRPr="00A373EC">
        <w:t xml:space="preserve"> </w:t>
      </w:r>
      <w:r w:rsidR="00414543" w:rsidRPr="00A373EC">
        <w:t xml:space="preserve">Cependant, ils doivent aussi partager l'espace aérien avec les </w:t>
      </w:r>
      <w:r w:rsidR="00E703C7" w:rsidRPr="00A373EC">
        <w:t>aéronefs traditionnels</w:t>
      </w:r>
      <w:r w:rsidR="00414543" w:rsidRPr="00A373EC">
        <w:t xml:space="preserve"> </w:t>
      </w:r>
      <w:r w:rsidR="00E703C7" w:rsidRPr="00A373EC">
        <w:t>pendant</w:t>
      </w:r>
      <w:r w:rsidR="00414543" w:rsidRPr="00A373EC">
        <w:t xml:space="preserve"> certaines phases d</w:t>
      </w:r>
      <w:r w:rsidR="00E703C7" w:rsidRPr="00A373EC">
        <w:t>e</w:t>
      </w:r>
      <w:r w:rsidR="00414543" w:rsidRPr="00A373EC">
        <w:t xml:space="preserve"> vol. Ces véhicules peuvent atteindre l'espace et effectuer une mission consistant par exemple à déployer un véhicule spatial, </w:t>
      </w:r>
      <w:r w:rsidR="00CF709C" w:rsidRPr="00A373EC">
        <w:t xml:space="preserve">à </w:t>
      </w:r>
      <w:r w:rsidR="00414543" w:rsidRPr="00A373EC">
        <w:t xml:space="preserve">mener des recherches scientifiques ou </w:t>
      </w:r>
      <w:r w:rsidR="00CF709C" w:rsidRPr="00A373EC">
        <w:t xml:space="preserve">à </w:t>
      </w:r>
      <w:r w:rsidR="00414543" w:rsidRPr="00A373EC">
        <w:t xml:space="preserve">permettre à des touristes de participer à un vol </w:t>
      </w:r>
      <w:r w:rsidR="008C0894" w:rsidRPr="00A373EC">
        <w:t>spatial</w:t>
      </w:r>
      <w:r w:rsidR="00E406A2" w:rsidRPr="00A373EC">
        <w:t xml:space="preserve">, </w:t>
      </w:r>
      <w:r w:rsidR="00414543" w:rsidRPr="00A373EC">
        <w:t xml:space="preserve">avant de </w:t>
      </w:r>
      <w:r w:rsidR="00141C97" w:rsidRPr="00A373EC">
        <w:t>regagner la</w:t>
      </w:r>
      <w:r w:rsidR="00414543" w:rsidRPr="00A373EC">
        <w:t xml:space="preserve"> Terre</w:t>
      </w:r>
      <w:r w:rsidR="00E406A2" w:rsidRPr="00A373EC">
        <w:t>.</w:t>
      </w:r>
    </w:p>
    <w:p w14:paraId="296A53C7" w14:textId="52E9647B" w:rsidR="00E406A2" w:rsidRPr="00A373EC" w:rsidRDefault="00414543" w:rsidP="00541D56">
      <w:r w:rsidRPr="00A373EC">
        <w:t>Les c</w:t>
      </w:r>
      <w:r w:rsidR="00E406A2" w:rsidRPr="00A373EC">
        <w:t xml:space="preserve">ommunications </w:t>
      </w:r>
      <w:r w:rsidRPr="00A373EC">
        <w:t xml:space="preserve">avec ces véhicules suborbitaux </w:t>
      </w:r>
      <w:r w:rsidR="008C0894" w:rsidRPr="00A373EC">
        <w:t>comprennent</w:t>
      </w:r>
      <w:r w:rsidR="00302BCC" w:rsidRPr="00A373EC">
        <w:t xml:space="preserve"> </w:t>
      </w:r>
      <w:r w:rsidRPr="00A373EC">
        <w:t xml:space="preserve">actuellement </w:t>
      </w:r>
      <w:r w:rsidR="008C0894" w:rsidRPr="00A373EC">
        <w:t>des communications de</w:t>
      </w:r>
      <w:r w:rsidRPr="00A373EC">
        <w:t xml:space="preserve"> télémesure, </w:t>
      </w:r>
      <w:r w:rsidR="00141C97" w:rsidRPr="00A373EC">
        <w:t xml:space="preserve">poursuite et commande </w:t>
      </w:r>
      <w:r w:rsidR="00E406A2" w:rsidRPr="00A373EC">
        <w:t xml:space="preserve">(TT&amp;C), </w:t>
      </w:r>
      <w:r w:rsidR="00302BCC" w:rsidRPr="00A373EC">
        <w:t>parfois</w:t>
      </w:r>
      <w:r w:rsidR="00E406A2" w:rsidRPr="00A373EC">
        <w:t xml:space="preserve"> </w:t>
      </w:r>
      <w:r w:rsidR="00141C97" w:rsidRPr="00A373EC">
        <w:t>dans le cadre du</w:t>
      </w:r>
      <w:r w:rsidR="00E406A2" w:rsidRPr="00A373EC">
        <w:t xml:space="preserve"> </w:t>
      </w:r>
      <w:r w:rsidR="00141C97" w:rsidRPr="00A373EC">
        <w:t>service d'exploitation spatiale</w:t>
      </w:r>
      <w:r w:rsidR="00F03CF8" w:rsidRPr="00A373EC">
        <w:t>,</w:t>
      </w:r>
      <w:r w:rsidR="00E406A2" w:rsidRPr="00A373EC">
        <w:t xml:space="preserve"> </w:t>
      </w:r>
      <w:r w:rsidR="00141C97" w:rsidRPr="00A373EC">
        <w:t>pour pouvoir contrôler le véhicule</w:t>
      </w:r>
      <w:r w:rsidR="00E406A2" w:rsidRPr="00A373EC">
        <w:t xml:space="preserve">, </w:t>
      </w:r>
      <w:r w:rsidR="00141C97" w:rsidRPr="00A373EC">
        <w:t xml:space="preserve">et </w:t>
      </w:r>
      <w:r w:rsidR="00F03CF8" w:rsidRPr="00A373EC">
        <w:t>des</w:t>
      </w:r>
      <w:r w:rsidR="00141C97" w:rsidRPr="00A373EC">
        <w:t xml:space="preserve"> communications concernant la mission</w:t>
      </w:r>
      <w:r w:rsidR="00302BCC" w:rsidRPr="00A373EC">
        <w:t xml:space="preserve"> effectuée</w:t>
      </w:r>
      <w:r w:rsidR="00E406A2" w:rsidRPr="00A373EC">
        <w:t xml:space="preserve">. </w:t>
      </w:r>
      <w:r w:rsidR="006B4374" w:rsidRPr="00A373EC">
        <w:t>Actuellement, i</w:t>
      </w:r>
      <w:r w:rsidR="00141C97" w:rsidRPr="00A373EC">
        <w:t xml:space="preserve">l n'existe pas de radiocommunications entre les fonctions de gestion du trafic aérien </w:t>
      </w:r>
      <w:r w:rsidR="00E406A2" w:rsidRPr="00A373EC">
        <w:t xml:space="preserve">(ATM) </w:t>
      </w:r>
      <w:r w:rsidR="00141C97" w:rsidRPr="00A373EC">
        <w:t>ou de contrôle du trafic aérien</w:t>
      </w:r>
      <w:r w:rsidR="00E406A2" w:rsidRPr="00A373EC">
        <w:t xml:space="preserve"> (ATC) </w:t>
      </w:r>
      <w:r w:rsidR="00141C97" w:rsidRPr="00A373EC">
        <w:t>et les véhicules suborbitaux</w:t>
      </w:r>
      <w:r w:rsidR="00E406A2" w:rsidRPr="00A373EC">
        <w:t>.</w:t>
      </w:r>
    </w:p>
    <w:p w14:paraId="6F1CAF50" w14:textId="1BF75939" w:rsidR="00E406A2" w:rsidRPr="00A373EC" w:rsidRDefault="00B73707" w:rsidP="00541D56">
      <w:r w:rsidRPr="00A373EC">
        <w:t xml:space="preserve">Toutefois, les véhicules suborbitaux doivent s'intégrer en toute sécurité dans le même espace aérien que les </w:t>
      </w:r>
      <w:r w:rsidR="00D31FCD" w:rsidRPr="00A373EC">
        <w:t>aéronefs traditionnels</w:t>
      </w:r>
      <w:r w:rsidRPr="00A373EC">
        <w:t xml:space="preserve"> </w:t>
      </w:r>
      <w:r w:rsidR="009710C6" w:rsidRPr="00A373EC">
        <w:t xml:space="preserve">durant leur vol vers </w:t>
      </w:r>
      <w:r w:rsidR="00D31FCD" w:rsidRPr="00A373EC">
        <w:t xml:space="preserve">et </w:t>
      </w:r>
      <w:r w:rsidR="009710C6" w:rsidRPr="00A373EC">
        <w:t>depuis l'espace. Pour cela, la plupart des fournisseurs de service de navigation aérienne garantissent actuellement</w:t>
      </w:r>
      <w:r w:rsidR="00E406A2" w:rsidRPr="00A373EC">
        <w:t xml:space="preserve"> </w:t>
      </w:r>
      <w:r w:rsidR="009710C6" w:rsidRPr="00A373EC">
        <w:t>une intégration sûre en séparant complètement les véhicules suborbitaux des autres a</w:t>
      </w:r>
      <w:r w:rsidR="00B52140" w:rsidRPr="00A373EC">
        <w:t>éronef</w:t>
      </w:r>
      <w:r w:rsidR="009710C6" w:rsidRPr="00A373EC">
        <w:t>s lors des opérations de lancement et d</w:t>
      </w:r>
      <w:r w:rsidR="00D31FCD" w:rsidRPr="00A373EC">
        <w:t>e récupération</w:t>
      </w:r>
      <w:r w:rsidR="00D129CD" w:rsidRPr="00A373EC">
        <w:t>, ainsi</w:t>
      </w:r>
      <w:r w:rsidR="009710C6" w:rsidRPr="00A373EC">
        <w:t xml:space="preserve"> </w:t>
      </w:r>
      <w:r w:rsidR="00D129CD" w:rsidRPr="00A373EC">
        <w:t>qu'</w:t>
      </w:r>
      <w:r w:rsidR="009710C6" w:rsidRPr="00A373EC">
        <w:t>en</w:t>
      </w:r>
      <w:r w:rsidR="00E406A2" w:rsidRPr="00A373EC">
        <w:t xml:space="preserve"> </w:t>
      </w:r>
      <w:r w:rsidR="00D129CD" w:rsidRPr="00A373EC">
        <w:t>excluant</w:t>
      </w:r>
      <w:r w:rsidR="00E406A2" w:rsidRPr="00A373EC">
        <w:t xml:space="preserve"> </w:t>
      </w:r>
      <w:r w:rsidR="00D31FCD" w:rsidRPr="00A373EC">
        <w:t>de l'espace aérien les aéronefs</w:t>
      </w:r>
      <w:r w:rsidR="00E406A2" w:rsidRPr="00A373EC">
        <w:t xml:space="preserve"> </w:t>
      </w:r>
      <w:r w:rsidR="0046331E" w:rsidRPr="00A373EC">
        <w:t>non participants</w:t>
      </w:r>
      <w:r w:rsidR="00E406A2" w:rsidRPr="00A373EC">
        <w:t xml:space="preserve"> </w:t>
      </w:r>
      <w:r w:rsidR="00D31FCD" w:rsidRPr="00A373EC">
        <w:t xml:space="preserve">dans les trois dimensions </w:t>
      </w:r>
      <w:r w:rsidR="00D129CD" w:rsidRPr="00A373EC">
        <w:t>de l'espace et</w:t>
      </w:r>
      <w:r w:rsidR="00D31FCD" w:rsidRPr="00A373EC">
        <w:t xml:space="preserve"> </w:t>
      </w:r>
      <w:r w:rsidR="00D129CD" w:rsidRPr="00A373EC">
        <w:t xml:space="preserve">dans le </w:t>
      </w:r>
      <w:r w:rsidR="00D31FCD" w:rsidRPr="00A373EC">
        <w:t>temps</w:t>
      </w:r>
      <w:r w:rsidR="00E406A2" w:rsidRPr="00A373EC">
        <w:t xml:space="preserve"> </w:t>
      </w:r>
      <w:r w:rsidR="009710C6" w:rsidRPr="00A373EC">
        <w:t>pour maintenir le niveau de sécurité requis.</w:t>
      </w:r>
      <w:r w:rsidR="00E406A2" w:rsidRPr="00A373EC">
        <w:t xml:space="preserve"> </w:t>
      </w:r>
      <w:r w:rsidR="00D31FCD" w:rsidRPr="00A373EC">
        <w:t xml:space="preserve">Les </w:t>
      </w:r>
      <w:r w:rsidR="00E406A2" w:rsidRPr="00A373EC">
        <w:t xml:space="preserve">dimensions </w:t>
      </w:r>
      <w:r w:rsidR="00D31FCD" w:rsidRPr="00A373EC">
        <w:t xml:space="preserve">de l'espace aérien </w:t>
      </w:r>
      <w:r w:rsidR="00BD681C" w:rsidRPr="00A373EC">
        <w:t>sécurisé</w:t>
      </w:r>
      <w:r w:rsidR="00D31FCD" w:rsidRPr="00A373EC">
        <w:t xml:space="preserve"> </w:t>
      </w:r>
      <w:r w:rsidR="00BD681C" w:rsidRPr="00A373EC">
        <w:t>dé</w:t>
      </w:r>
      <w:r w:rsidR="00D31FCD" w:rsidRPr="00A373EC">
        <w:t xml:space="preserve">pendent </w:t>
      </w:r>
      <w:r w:rsidR="00BD681C" w:rsidRPr="00A373EC">
        <w:t>de la capacité de transmission des données en matière de TT&amp;C de l'installation de lancement existante</w:t>
      </w:r>
      <w:r w:rsidR="00E406A2" w:rsidRPr="00A373EC">
        <w:t>.</w:t>
      </w:r>
    </w:p>
    <w:p w14:paraId="3A7E8ED8" w14:textId="60B7D56C" w:rsidR="00E406A2" w:rsidRPr="00A373EC" w:rsidRDefault="001A6D20" w:rsidP="00541D56">
      <w:r w:rsidRPr="00A373EC">
        <w:t xml:space="preserve">L'approche actuelle consistant à </w:t>
      </w:r>
      <w:r w:rsidR="00BD681C" w:rsidRPr="00A373EC">
        <w:t>diviser</w:t>
      </w:r>
      <w:r w:rsidRPr="00A373EC">
        <w:t xml:space="preserve"> l'espace aérien </w:t>
      </w:r>
      <w:r w:rsidR="00BD681C" w:rsidRPr="00A373EC">
        <w:t>est appliquée au détriment des possibilités de lancement et de récupération</w:t>
      </w:r>
      <w:r w:rsidR="00E406A2" w:rsidRPr="00A373EC">
        <w:t>,</w:t>
      </w:r>
      <w:r w:rsidR="00BD681C" w:rsidRPr="00A373EC">
        <w:t xml:space="preserve"> de la gestion efficace du trafic aérien</w:t>
      </w:r>
      <w:r w:rsidR="00E406A2" w:rsidRPr="00A373EC">
        <w:t xml:space="preserve"> </w:t>
      </w:r>
      <w:r w:rsidR="0002782A" w:rsidRPr="00A373EC">
        <w:t xml:space="preserve">et </w:t>
      </w:r>
      <w:r w:rsidR="00F846E2" w:rsidRPr="00A373EC">
        <w:t>de la nécessité pour les avions de disposer de davantage de</w:t>
      </w:r>
      <w:r w:rsidR="0002782A" w:rsidRPr="00A373EC">
        <w:t xml:space="preserve"> carburant et </w:t>
      </w:r>
      <w:r w:rsidR="00F846E2" w:rsidRPr="00A373EC">
        <w:t>d</w:t>
      </w:r>
      <w:r w:rsidR="00E30149" w:rsidRPr="00A373EC">
        <w:t>e</w:t>
      </w:r>
      <w:r w:rsidR="0002782A" w:rsidRPr="00A373EC">
        <w:t xml:space="preserve"> temps </w:t>
      </w:r>
      <w:r w:rsidR="00BD681C" w:rsidRPr="00A373EC">
        <w:t xml:space="preserve">pour éviter les zones </w:t>
      </w:r>
      <w:r w:rsidR="00E30149" w:rsidRPr="00A373EC">
        <w:t>dangereuses</w:t>
      </w:r>
      <w:r w:rsidR="00E406A2" w:rsidRPr="00A373EC">
        <w:t xml:space="preserve">. </w:t>
      </w:r>
      <w:r w:rsidRPr="00A373EC">
        <w:t xml:space="preserve">Cette </w:t>
      </w:r>
      <w:r w:rsidR="0002782A" w:rsidRPr="00A373EC">
        <w:t>méthode de séparation des</w:t>
      </w:r>
      <w:r w:rsidRPr="00A373EC">
        <w:t xml:space="preserve"> </w:t>
      </w:r>
      <w:r w:rsidR="00B65E74" w:rsidRPr="00A373EC">
        <w:t>opérations</w:t>
      </w:r>
      <w:r w:rsidRPr="00A373EC">
        <w:t xml:space="preserve"> de lancement </w:t>
      </w:r>
      <w:r w:rsidR="00831EDF" w:rsidRPr="00A373EC">
        <w:t xml:space="preserve">et de récupération du trafic aérien </w:t>
      </w:r>
      <w:r w:rsidR="00B65E74" w:rsidRPr="00A373EC">
        <w:t xml:space="preserve">ne </w:t>
      </w:r>
      <w:r w:rsidR="00831EDF" w:rsidRPr="00A373EC">
        <w:t>pourra pas être appliqué</w:t>
      </w:r>
      <w:r w:rsidR="0002782A" w:rsidRPr="00A373EC">
        <w:t>e</w:t>
      </w:r>
      <w:r w:rsidR="00831EDF" w:rsidRPr="00A373EC">
        <w:t xml:space="preserve"> durablement</w:t>
      </w:r>
      <w:r w:rsidR="00B65E74" w:rsidRPr="00A373EC">
        <w:t xml:space="preserve"> en raison de la hausse de la demande d'accès à l'espace de véhicules suborbitaux supplémentaires </w:t>
      </w:r>
      <w:r w:rsidR="00087FA9" w:rsidRPr="00A373EC">
        <w:t>exploités</w:t>
      </w:r>
      <w:r w:rsidR="00B65E74" w:rsidRPr="00A373EC">
        <w:t xml:space="preserve"> à l'intérieur ou à l'extérieur des gammes traditionnelles</w:t>
      </w:r>
      <w:r w:rsidR="00E406A2" w:rsidRPr="00A373EC">
        <w:t>.</w:t>
      </w:r>
    </w:p>
    <w:p w14:paraId="243AB4D6" w14:textId="5CBDE1E7" w:rsidR="00E406A2" w:rsidRPr="00A373EC" w:rsidRDefault="00F614FE" w:rsidP="00541D56">
      <w:r w:rsidRPr="00A373EC">
        <w:lastRenderedPageBreak/>
        <w:t>Conformément à la</w:t>
      </w:r>
      <w:r w:rsidR="00E406A2" w:rsidRPr="00A373EC">
        <w:t xml:space="preserve"> </w:t>
      </w:r>
      <w:r w:rsidRPr="00A373EC">
        <w:t>Résolution</w:t>
      </w:r>
      <w:r w:rsidR="00E406A2" w:rsidRPr="00A373EC">
        <w:rPr>
          <w:b/>
        </w:rPr>
        <w:t xml:space="preserve"> 763 (</w:t>
      </w:r>
      <w:r w:rsidRPr="00A373EC">
        <w:rPr>
          <w:b/>
        </w:rPr>
        <w:t>CMR</w:t>
      </w:r>
      <w:r w:rsidR="00E406A2" w:rsidRPr="00A373EC">
        <w:rPr>
          <w:b/>
        </w:rPr>
        <w:t>-15)</w:t>
      </w:r>
      <w:r w:rsidR="00E406A2" w:rsidRPr="00A373EC">
        <w:rPr>
          <w:bCs/>
        </w:rPr>
        <w:t>,</w:t>
      </w:r>
      <w:r w:rsidR="00E406A2" w:rsidRPr="00A373EC">
        <w:t xml:space="preserve"> </w:t>
      </w:r>
      <w:r w:rsidRPr="00A373EC">
        <w:t>l'UIT-R a élaboré un projet de nouveau Rapport UIT</w:t>
      </w:r>
      <w:r w:rsidR="00E406A2" w:rsidRPr="00A373EC">
        <w:t>-R M.[</w:t>
      </w:r>
      <w:r w:rsidR="00B52140" w:rsidRPr="00A373EC">
        <w:t>SUBORBITAL VEHICLES</w:t>
      </w:r>
      <w:r w:rsidR="00E406A2" w:rsidRPr="00A373EC">
        <w:t xml:space="preserve">] </w:t>
      </w:r>
      <w:r w:rsidRPr="00A373EC">
        <w:t>intitulé</w:t>
      </w:r>
      <w:r w:rsidR="00E406A2" w:rsidRPr="00A373EC">
        <w:t xml:space="preserve">, </w:t>
      </w:r>
      <w:r w:rsidR="004A7D48" w:rsidRPr="00A373EC">
        <w:t>«Radiocommunications pour les véhicules suborbitaux»</w:t>
      </w:r>
      <w:r w:rsidR="00E406A2" w:rsidRPr="00A373EC">
        <w:t xml:space="preserve">. </w:t>
      </w:r>
      <w:r w:rsidR="004A6D76" w:rsidRPr="00A373EC">
        <w:t xml:space="preserve">Les travaux ont été effectués sur la base d'informations fournies </w:t>
      </w:r>
      <w:r w:rsidR="00680206" w:rsidRPr="00A373EC">
        <w:t>par</w:t>
      </w:r>
      <w:r w:rsidR="004A6D76" w:rsidRPr="00A373EC">
        <w:t xml:space="preserve"> l'Organisation de l'aviation civile internationale (OACI)</w:t>
      </w:r>
      <w:r w:rsidR="00E406A2" w:rsidRPr="00A373EC">
        <w:t xml:space="preserve"> </w:t>
      </w:r>
      <w:r w:rsidR="00680206" w:rsidRPr="00A373EC">
        <w:t xml:space="preserve">et les administrations, </w:t>
      </w:r>
      <w:r w:rsidR="004A6D76" w:rsidRPr="00A373EC">
        <w:t xml:space="preserve">et ont </w:t>
      </w:r>
      <w:r w:rsidR="00680206" w:rsidRPr="00A373EC">
        <w:t>permis d'identifier</w:t>
      </w:r>
      <w:r w:rsidR="004A6D76" w:rsidRPr="00A373EC">
        <w:t xml:space="preserve"> des projets de futures approches concernant l'intégration dans l'espace aérien qui éviteraient ou atténueraient la séparation de l'espace aérien en permettant aux stations</w:t>
      </w:r>
      <w:r w:rsidR="00E406A2" w:rsidRPr="00A373EC">
        <w:t xml:space="preserve"> radio </w:t>
      </w:r>
      <w:r w:rsidR="004A6D76" w:rsidRPr="00A373EC">
        <w:t xml:space="preserve">placées à bord des véhicules suborbitaux d'utiliser des fréquences attribuées aux radiocommunications de Terre pour les services de communication vocale/de données concernant </w:t>
      </w:r>
      <w:r w:rsidR="00680206" w:rsidRPr="00A373EC">
        <w:t>l'ATM/l'ATC</w:t>
      </w:r>
      <w:r w:rsidR="004A6D76" w:rsidRPr="00A373EC">
        <w:t>, de surveillance et de navigation</w:t>
      </w:r>
      <w:r w:rsidR="00E406A2" w:rsidRPr="00A373EC">
        <w:t xml:space="preserve">. </w:t>
      </w:r>
      <w:r w:rsidR="004A6D76" w:rsidRPr="00A373EC">
        <w:t xml:space="preserve">Ces approches, </w:t>
      </w:r>
      <w:r w:rsidR="00680206" w:rsidRPr="00A373EC">
        <w:t>si elles sont</w:t>
      </w:r>
      <w:r w:rsidR="004A6D76" w:rsidRPr="00A373EC">
        <w:t xml:space="preserve"> normalisées par l'OACI, </w:t>
      </w:r>
      <w:r w:rsidR="00680206" w:rsidRPr="00A373EC">
        <w:t>assureraient</w:t>
      </w:r>
      <w:r w:rsidR="004A6D76" w:rsidRPr="00A373EC">
        <w:t xml:space="preserve"> l'interopérabilité </w:t>
      </w:r>
      <w:r w:rsidR="001443AC" w:rsidRPr="00A373EC">
        <w:t>des</w:t>
      </w:r>
      <w:r w:rsidR="004A6D76" w:rsidRPr="00A373EC">
        <w:t xml:space="preserve"> véhicules suborbitaux </w:t>
      </w:r>
      <w:r w:rsidR="001443AC" w:rsidRPr="00A373EC">
        <w:t xml:space="preserve">avec </w:t>
      </w:r>
      <w:r w:rsidR="00680206" w:rsidRPr="00A373EC">
        <w:t>l'ATM/l'ATC</w:t>
      </w:r>
      <w:r w:rsidR="00E406A2" w:rsidRPr="00A373EC">
        <w:t xml:space="preserve"> </w:t>
      </w:r>
      <w:r w:rsidR="001443AC" w:rsidRPr="00A373EC">
        <w:t>et l'avionique de bord</w:t>
      </w:r>
      <w:r w:rsidR="00E406A2" w:rsidRPr="00A373EC">
        <w:t xml:space="preserve">, </w:t>
      </w:r>
      <w:r w:rsidR="001443AC" w:rsidRPr="00A373EC">
        <w:t>tout en garantissant</w:t>
      </w:r>
      <w:r w:rsidR="00E406A2" w:rsidRPr="00A373EC">
        <w:t xml:space="preserve"> </w:t>
      </w:r>
      <w:r w:rsidR="001443AC" w:rsidRPr="00A373EC">
        <w:t>la sécurité des vols des véhicules suborbitaux et des autres aéronefs qui occupent l'espace aérien traversé par les véhicules suborbitaux</w:t>
      </w:r>
      <w:r w:rsidR="00E406A2" w:rsidRPr="00A373EC">
        <w:t xml:space="preserve">. </w:t>
      </w:r>
      <w:r w:rsidR="001443AC" w:rsidRPr="00A373EC">
        <w:t xml:space="preserve">Cela permettrait de rendre </w:t>
      </w:r>
      <w:r w:rsidR="00D00204" w:rsidRPr="00A373EC">
        <w:t xml:space="preserve">à nouveau </w:t>
      </w:r>
      <w:r w:rsidR="001443AC" w:rsidRPr="00A373EC">
        <w:t>le contrôle</w:t>
      </w:r>
      <w:r w:rsidR="00D00204" w:rsidRPr="00A373EC">
        <w:t xml:space="preserve"> du trafic aérien plus efficace</w:t>
      </w:r>
      <w:r w:rsidR="00E406A2" w:rsidRPr="00A373EC">
        <w:t xml:space="preserve">, </w:t>
      </w:r>
      <w:r w:rsidR="001443AC" w:rsidRPr="00A373EC">
        <w:t>d'améliorer les systèmes anticollision embarqués et de réduire</w:t>
      </w:r>
      <w:r w:rsidR="00E406A2" w:rsidRPr="00A373EC">
        <w:t xml:space="preserve"> </w:t>
      </w:r>
      <w:r w:rsidR="001443AC" w:rsidRPr="00A373EC">
        <w:t xml:space="preserve">la demande de carburant et les émissions. L'étude suggère qu'il est possible d'un point de vue technique </w:t>
      </w:r>
      <w:r w:rsidR="00637619" w:rsidRPr="00A373EC">
        <w:t>pour les véhicules suborbitaux d'</w:t>
      </w:r>
      <w:r w:rsidR="00D00204" w:rsidRPr="00A373EC">
        <w:t xml:space="preserve">être exploités dans le cadre des </w:t>
      </w:r>
      <w:r w:rsidR="00637619" w:rsidRPr="00A373EC">
        <w:t xml:space="preserve">attributions </w:t>
      </w:r>
      <w:r w:rsidR="00D00204" w:rsidRPr="00A373EC">
        <w:t xml:space="preserve">existantes </w:t>
      </w:r>
      <w:r w:rsidR="00637619" w:rsidRPr="00A373EC">
        <w:t>aux services de radiocommunications spatiales et de Terre</w:t>
      </w:r>
      <w:r w:rsidR="00E406A2" w:rsidRPr="00A373EC">
        <w:t xml:space="preserve">, </w:t>
      </w:r>
      <w:r w:rsidR="00637619" w:rsidRPr="00A373EC">
        <w:t>si le Règlement des radiocommunications</w:t>
      </w:r>
      <w:r w:rsidR="00D00204" w:rsidRPr="00A373EC">
        <w:t xml:space="preserve"> le permet</w:t>
      </w:r>
      <w:r w:rsidR="00E406A2" w:rsidRPr="00A373EC">
        <w:t xml:space="preserve">, </w:t>
      </w:r>
      <w:r w:rsidR="00637619" w:rsidRPr="00A373EC">
        <w:t xml:space="preserve">pour les applications </w:t>
      </w:r>
      <w:r w:rsidR="00680206" w:rsidRPr="00A373EC">
        <w:t>ATM/ATC</w:t>
      </w:r>
      <w:r w:rsidR="00637619" w:rsidRPr="00A373EC">
        <w:t xml:space="preserve"> identifiées dans le rapport</w:t>
      </w:r>
      <w:r w:rsidR="00E406A2" w:rsidRPr="00A373EC">
        <w:t xml:space="preserve">. </w:t>
      </w:r>
      <w:r w:rsidR="00637619" w:rsidRPr="00A373EC">
        <w:t xml:space="preserve">L'utilisation d'attributions existantes assurerait une harmonisation et une interopérabilité internationales avec </w:t>
      </w:r>
      <w:r w:rsidR="00D00204" w:rsidRPr="00A373EC">
        <w:t>l</w:t>
      </w:r>
      <w:r w:rsidR="00637619" w:rsidRPr="00A373EC">
        <w:t xml:space="preserve">es systèmes et applications </w:t>
      </w:r>
      <w:r w:rsidR="00D00204" w:rsidRPr="00A373EC">
        <w:t>relatifs à la sûreté aérienne</w:t>
      </w:r>
      <w:r w:rsidR="00E406A2" w:rsidRPr="00A373EC">
        <w:t xml:space="preserve">, </w:t>
      </w:r>
      <w:r w:rsidR="00A347E8" w:rsidRPr="00A373EC">
        <w:t xml:space="preserve">tels que </w:t>
      </w:r>
      <w:r w:rsidR="00D00204" w:rsidRPr="00A373EC">
        <w:t>normalisés par l'OACI</w:t>
      </w:r>
      <w:r w:rsidR="00E406A2" w:rsidRPr="00A373EC">
        <w:t xml:space="preserve">, </w:t>
      </w:r>
      <w:r w:rsidR="00D00204" w:rsidRPr="00A373EC">
        <w:t>comme les systèmes ATM</w:t>
      </w:r>
      <w:r w:rsidR="00680206" w:rsidRPr="00A373EC">
        <w:t>/</w:t>
      </w:r>
      <w:r w:rsidR="00E406A2" w:rsidRPr="00A373EC">
        <w:t xml:space="preserve">ATC </w:t>
      </w:r>
      <w:r w:rsidR="00D00204" w:rsidRPr="00A373EC">
        <w:t>et l'avionique de bord</w:t>
      </w:r>
      <w:r w:rsidR="00E406A2" w:rsidRPr="00A373EC">
        <w:t>.</w:t>
      </w:r>
    </w:p>
    <w:p w14:paraId="7B382A57" w14:textId="2F2C53EC" w:rsidR="00E406A2" w:rsidRPr="00A373EC" w:rsidRDefault="00C32DAC" w:rsidP="00541D56">
      <w:pPr>
        <w:rPr>
          <w:iCs/>
        </w:rPr>
      </w:pPr>
      <w:r w:rsidRPr="00A373EC">
        <w:t xml:space="preserve">Des questions ont été soulevées pour savoir si les dispositions réglementaires du Règlement des radiocommunications de l'UIT-R </w:t>
      </w:r>
      <w:r w:rsidR="00A43BB4" w:rsidRPr="00A373EC">
        <w:t xml:space="preserve">relatives aux services spatiaux et de Terre </w:t>
      </w:r>
      <w:r w:rsidRPr="00A373EC">
        <w:t>étaient adéquates pour appuyer ce</w:t>
      </w:r>
      <w:r w:rsidR="00A43BB4" w:rsidRPr="00A373EC">
        <w:t>s</w:t>
      </w:r>
      <w:r w:rsidRPr="00A373EC">
        <w:t xml:space="preserve"> type</w:t>
      </w:r>
      <w:r w:rsidR="00A43BB4" w:rsidRPr="00A373EC">
        <w:t>s</w:t>
      </w:r>
      <w:r w:rsidRPr="00A373EC">
        <w:t xml:space="preserve"> d'approche</w:t>
      </w:r>
      <w:r w:rsidR="00A43BB4" w:rsidRPr="00A373EC">
        <w:t>s</w:t>
      </w:r>
      <w:r w:rsidRPr="00A373EC">
        <w:t xml:space="preserve"> concernant l'intégration des véhicules suborbitaux dans l</w:t>
      </w:r>
      <w:r w:rsidR="00B52140" w:rsidRPr="00A373EC">
        <w:t>a gestion du trafic</w:t>
      </w:r>
      <w:r w:rsidRPr="00A373EC">
        <w:t xml:space="preserve"> aérien</w:t>
      </w:r>
      <w:r w:rsidR="00E406A2" w:rsidRPr="00A373EC">
        <w:t xml:space="preserve">, </w:t>
      </w:r>
      <w:r w:rsidR="00A43BB4" w:rsidRPr="00A373EC">
        <w:t>et s'il pouvait être nécessaire d'adopter</w:t>
      </w:r>
      <w:r w:rsidRPr="00A373EC">
        <w:t xml:space="preserve"> des dispositions additionnelles relatives au spectre</w:t>
      </w:r>
      <w:r w:rsidR="00E406A2" w:rsidRPr="00A373EC">
        <w:rPr>
          <w:iCs/>
        </w:rPr>
        <w:t xml:space="preserve">. </w:t>
      </w:r>
    </w:p>
    <w:p w14:paraId="47C28493" w14:textId="77777777" w:rsidR="0084667E" w:rsidRPr="00A373EC" w:rsidRDefault="00C32DAC" w:rsidP="0084667E">
      <w:r w:rsidRPr="00A373EC">
        <w:t xml:space="preserve">Le Groupe de travail 5B de l'UIT-R a élaboré un projet de nouveau Rapport contenant plusieurs études </w:t>
      </w:r>
      <w:r w:rsidR="005C75FE" w:rsidRPr="00A373EC">
        <w:t>concernant les</w:t>
      </w:r>
      <w:r w:rsidR="00575BBA" w:rsidRPr="00A373EC">
        <w:t xml:space="preserve"> analyses des bilans de liaison</w:t>
      </w:r>
      <w:r w:rsidR="00E406A2" w:rsidRPr="00A373EC">
        <w:t xml:space="preserve">, </w:t>
      </w:r>
      <w:r w:rsidR="005C75FE" w:rsidRPr="00A373EC">
        <w:t>le</w:t>
      </w:r>
      <w:r w:rsidR="00575BBA" w:rsidRPr="00A373EC">
        <w:t xml:space="preserve"> décalage </w:t>
      </w:r>
      <w:r w:rsidR="00E406A2" w:rsidRPr="00A373EC">
        <w:t xml:space="preserve">Doppler </w:t>
      </w:r>
      <w:r w:rsidR="00575BBA" w:rsidRPr="00A373EC">
        <w:t>pendant plusieurs phases de vol</w:t>
      </w:r>
      <w:r w:rsidR="00E406A2" w:rsidRPr="00A373EC">
        <w:t xml:space="preserve"> </w:t>
      </w:r>
      <w:r w:rsidR="00575BBA" w:rsidRPr="00A373EC">
        <w:t>et l'utilisation possible des systèmes aéronautiques existants pour les véhicules suborbitaux</w:t>
      </w:r>
      <w:r w:rsidR="00E406A2" w:rsidRPr="00A373EC">
        <w:t xml:space="preserve">. </w:t>
      </w:r>
      <w:r w:rsidR="00575BBA" w:rsidRPr="00A373EC">
        <w:t xml:space="preserve">Cependant, un </w:t>
      </w:r>
      <w:r w:rsidR="0046331E" w:rsidRPr="00A373EC">
        <w:t>complément</w:t>
      </w:r>
      <w:r w:rsidR="00575BBA" w:rsidRPr="00A373EC">
        <w:t xml:space="preserve"> d'étude est nécessaire</w:t>
      </w:r>
      <w:r w:rsidR="00E406A2" w:rsidRPr="00A373EC">
        <w:t xml:space="preserve">: </w:t>
      </w:r>
    </w:p>
    <w:p w14:paraId="5A437647" w14:textId="30835905" w:rsidR="00E406A2" w:rsidRPr="00A373EC" w:rsidRDefault="0084667E" w:rsidP="0084667E">
      <w:pPr>
        <w:pStyle w:val="enumlev1"/>
      </w:pPr>
      <w:r w:rsidRPr="00A373EC">
        <w:t>–</w:t>
      </w:r>
      <w:r w:rsidRPr="00A373EC">
        <w:tab/>
      </w:r>
      <w:r w:rsidR="00EB3B0A" w:rsidRPr="00A373EC">
        <w:t>pour évaluer la manière dont les applications généralement exploitées dans les services de Terre, en particulier dans le service mobile aéronautique, ou dans les services spatiaux, pourraient être utilisées</w:t>
      </w:r>
      <w:r w:rsidR="00A43BB4" w:rsidRPr="00A373EC">
        <w:t xml:space="preserve"> pour les véhicules suborbitaux</w:t>
      </w:r>
      <w:r w:rsidR="00E406A2" w:rsidRPr="00A373EC">
        <w:t>;</w:t>
      </w:r>
    </w:p>
    <w:p w14:paraId="58BD3C65" w14:textId="77777777" w:rsidR="0084667E" w:rsidRPr="00A373EC" w:rsidRDefault="0084667E" w:rsidP="0084667E">
      <w:pPr>
        <w:pStyle w:val="enumlev1"/>
      </w:pPr>
      <w:r w:rsidRPr="00A373EC">
        <w:t>–</w:t>
      </w:r>
      <w:r w:rsidRPr="00A373EC">
        <w:tab/>
      </w:r>
      <w:r w:rsidR="00EB3B0A" w:rsidRPr="00A373EC">
        <w:t>pour évaluer les risques de brouillage entre les services dans le cas d'un véhicule suborbital fonctionnant avec des stations spatiales et de Terre</w:t>
      </w:r>
      <w:r w:rsidR="00E406A2" w:rsidRPr="00A373EC">
        <w:t>;</w:t>
      </w:r>
    </w:p>
    <w:p w14:paraId="267685D8" w14:textId="18C26A92" w:rsidR="00E406A2" w:rsidRPr="00A373EC" w:rsidRDefault="0084667E" w:rsidP="0084667E">
      <w:pPr>
        <w:pStyle w:val="enumlev1"/>
      </w:pPr>
      <w:r w:rsidRPr="00A373EC">
        <w:t>–</w:t>
      </w:r>
      <w:r w:rsidRPr="00A373EC">
        <w:tab/>
      </w:r>
      <w:r w:rsidR="00EB3B0A" w:rsidRPr="00A373EC">
        <w:t xml:space="preserve">pour </w:t>
      </w:r>
      <w:r w:rsidR="00E95EC6" w:rsidRPr="00A373EC">
        <w:t>déterminer</w:t>
      </w:r>
      <w:r w:rsidR="00EB3B0A" w:rsidRPr="00A373EC">
        <w:t xml:space="preserve"> les services de radiocommunication dans lesquels fonctionnent les véhicules suborbitaux</w:t>
      </w:r>
      <w:r w:rsidR="00E406A2" w:rsidRPr="00A373EC">
        <w:t>.</w:t>
      </w:r>
    </w:p>
    <w:p w14:paraId="1CBCA867" w14:textId="6E2AC17C" w:rsidR="00E406A2" w:rsidRPr="00A373EC" w:rsidRDefault="00CB2BE2" w:rsidP="00541D56">
      <w:pPr>
        <w:rPr>
          <w:bCs/>
        </w:rPr>
      </w:pPr>
      <w:r w:rsidRPr="00A373EC">
        <w:t>Lors de la RPC19-2</w:t>
      </w:r>
      <w:r w:rsidR="00E406A2" w:rsidRPr="00A373EC">
        <w:t xml:space="preserve">, </w:t>
      </w:r>
      <w:r w:rsidRPr="00A373EC">
        <w:t>le texte du point 9 (question 9.1.4) de l'ordre du jour a été finalisé en concluant uniquement que d'autres questions d'ordre opérationnel, technique et réglementaire devaient peut-être être traitées, ce qui nécessite de poursuivre les études</w:t>
      </w:r>
      <w:r w:rsidR="00E406A2" w:rsidRPr="00A373EC">
        <w:t>.</w:t>
      </w:r>
    </w:p>
    <w:p w14:paraId="0C953BC2" w14:textId="0DD4A8CA" w:rsidR="00E406A2" w:rsidRPr="00A373EC" w:rsidRDefault="00E406A2" w:rsidP="000620CF">
      <w:pPr>
        <w:pStyle w:val="Headingb"/>
        <w:keepLines/>
      </w:pPr>
      <w:r w:rsidRPr="00A373EC">
        <w:lastRenderedPageBreak/>
        <w:t>C</w:t>
      </w:r>
      <w:r w:rsidR="007029BA" w:rsidRPr="00A373EC">
        <w:t>onclusions</w:t>
      </w:r>
    </w:p>
    <w:p w14:paraId="55257CC1" w14:textId="460F5499" w:rsidR="003A583E" w:rsidRPr="00A373EC" w:rsidRDefault="004914E3" w:rsidP="000620CF">
      <w:pPr>
        <w:keepNext/>
        <w:keepLines/>
      </w:pPr>
      <w:r w:rsidRPr="00A373EC">
        <w:rPr>
          <w:iCs/>
        </w:rPr>
        <w:t xml:space="preserve">Des études ont démontré qu'un complément d'examen était nécessaire au sujet de la définition des véhicules suborbitaux dans le Règlement des radiocommunications et le(s) service(s) de radiocommunication dans le(s)quel(s) ils devraient fonctionner. De plus, des études indiquent qu'à certaines altitudes, des mesures techniques et opérationnelles </w:t>
      </w:r>
      <w:r w:rsidR="005C75FE" w:rsidRPr="00A373EC">
        <w:rPr>
          <w:iCs/>
        </w:rPr>
        <w:t>additionnelles</w:t>
      </w:r>
      <w:r w:rsidRPr="00A373EC">
        <w:rPr>
          <w:iCs/>
        </w:rPr>
        <w:t xml:space="preserve"> peuvent être nécessaires pour assurer la sécurité d'exploitation en vol des véhicules suborbitaux</w:t>
      </w:r>
      <w:r w:rsidR="00E406A2" w:rsidRPr="00A373EC">
        <w:rPr>
          <w:iCs/>
        </w:rPr>
        <w:t xml:space="preserve"> </w:t>
      </w:r>
      <w:r w:rsidRPr="00A373EC">
        <w:rPr>
          <w:iCs/>
        </w:rPr>
        <w:t xml:space="preserve">et des </w:t>
      </w:r>
      <w:r w:rsidR="00AF44CE" w:rsidRPr="00A373EC">
        <w:rPr>
          <w:iCs/>
        </w:rPr>
        <w:t>aéronefs</w:t>
      </w:r>
      <w:r w:rsidR="00E406A2" w:rsidRPr="00A373EC">
        <w:rPr>
          <w:iCs/>
        </w:rPr>
        <w:t xml:space="preserve">, </w:t>
      </w:r>
      <w:r w:rsidRPr="00A373EC">
        <w:rPr>
          <w:iCs/>
        </w:rPr>
        <w:t>ce qui relève de la responsabilité de l'OACI</w:t>
      </w:r>
      <w:r w:rsidR="00E406A2" w:rsidRPr="00A373EC">
        <w:rPr>
          <w:iCs/>
        </w:rPr>
        <w:t xml:space="preserve">. </w:t>
      </w:r>
      <w:r w:rsidRPr="00A373EC">
        <w:rPr>
          <w:iCs/>
        </w:rPr>
        <w:t xml:space="preserve">Par exemple, les applications </w:t>
      </w:r>
      <w:r w:rsidR="005C75FE" w:rsidRPr="00A373EC">
        <w:rPr>
          <w:iCs/>
        </w:rPr>
        <w:t>ATM</w:t>
      </w:r>
      <w:r w:rsidRPr="00A373EC">
        <w:rPr>
          <w:iCs/>
        </w:rPr>
        <w:t xml:space="preserve"> nécessitent des équipements de radiocommunications interopérables avec les systèmes normalisés </w:t>
      </w:r>
      <w:r w:rsidR="00AF44CE" w:rsidRPr="00A373EC">
        <w:rPr>
          <w:iCs/>
        </w:rPr>
        <w:t>de</w:t>
      </w:r>
      <w:r w:rsidRPr="00A373EC">
        <w:rPr>
          <w:iCs/>
        </w:rPr>
        <w:t xml:space="preserve"> l'OACI, dans toutes les phases de vol, pour </w:t>
      </w:r>
      <w:r w:rsidR="005C75FE" w:rsidRPr="00A373EC">
        <w:rPr>
          <w:iCs/>
        </w:rPr>
        <w:t>éviter</w:t>
      </w:r>
      <w:r w:rsidRPr="00A373EC">
        <w:rPr>
          <w:iCs/>
        </w:rPr>
        <w:t xml:space="preserve"> les collisions avec les aéronefs traditionnels</w:t>
      </w:r>
      <w:r w:rsidRPr="00A373EC">
        <w:t xml:space="preserve">. Des études techniques et des dispositions réglementaires additionnelles sont donc nécessaires pour améliorer l'intégration des véhicules suborbitaux dans les systèmes </w:t>
      </w:r>
      <w:r w:rsidR="00E406A2" w:rsidRPr="00A373EC">
        <w:t>ATM.</w:t>
      </w:r>
    </w:p>
    <w:p w14:paraId="1A2FCA76" w14:textId="77777777" w:rsidR="0015203F" w:rsidRPr="00A373EC" w:rsidRDefault="0015203F" w:rsidP="00541D56">
      <w:pPr>
        <w:tabs>
          <w:tab w:val="clear" w:pos="1134"/>
          <w:tab w:val="clear" w:pos="1871"/>
          <w:tab w:val="clear" w:pos="2268"/>
        </w:tabs>
        <w:overflowPunct/>
        <w:autoSpaceDE/>
        <w:autoSpaceDN/>
        <w:adjustRightInd/>
        <w:spacing w:before="0"/>
        <w:textAlignment w:val="auto"/>
      </w:pPr>
      <w:r w:rsidRPr="00A373EC">
        <w:br w:type="page"/>
      </w:r>
    </w:p>
    <w:p w14:paraId="3676DC3F" w14:textId="77777777" w:rsidR="00633B92" w:rsidRPr="00A373EC" w:rsidRDefault="008A052F" w:rsidP="00541D56">
      <w:pPr>
        <w:pStyle w:val="Proposal"/>
      </w:pPr>
      <w:r w:rsidRPr="00A373EC">
        <w:lastRenderedPageBreak/>
        <w:t>SUP</w:t>
      </w:r>
      <w:r w:rsidRPr="00A373EC">
        <w:tab/>
        <w:t>IAP/11A21A4/1</w:t>
      </w:r>
    </w:p>
    <w:p w14:paraId="08EC2C64" w14:textId="77777777" w:rsidR="004A4B52" w:rsidRPr="00A373EC" w:rsidRDefault="008A052F" w:rsidP="00541D56">
      <w:pPr>
        <w:pStyle w:val="ResNo"/>
      </w:pPr>
      <w:r w:rsidRPr="00A373EC">
        <w:t xml:space="preserve">RÉSOLUTION </w:t>
      </w:r>
      <w:r w:rsidRPr="00A373EC">
        <w:rPr>
          <w:rStyle w:val="href"/>
          <w:caps w:val="0"/>
        </w:rPr>
        <w:t>763</w:t>
      </w:r>
      <w:r w:rsidRPr="00A373EC">
        <w:t xml:space="preserve"> (CMR-15)</w:t>
      </w:r>
    </w:p>
    <w:p w14:paraId="676FA116" w14:textId="77777777" w:rsidR="004A4B52" w:rsidRPr="00A373EC" w:rsidRDefault="008A052F" w:rsidP="00541D56">
      <w:pPr>
        <w:pStyle w:val="Restitle"/>
      </w:pPr>
      <w:bookmarkStart w:id="5" w:name="_Toc450208815"/>
      <w:r w:rsidRPr="00A373EC">
        <w:t>Stations placées à bord de véhicules suborbitaux</w:t>
      </w:r>
      <w:bookmarkEnd w:id="5"/>
    </w:p>
    <w:p w14:paraId="19B66141" w14:textId="353AF88C" w:rsidR="00633B92" w:rsidRPr="00A373EC" w:rsidRDefault="008A052F" w:rsidP="00541D56">
      <w:pPr>
        <w:pStyle w:val="Reasons"/>
      </w:pPr>
      <w:r w:rsidRPr="00A373EC">
        <w:rPr>
          <w:b/>
        </w:rPr>
        <w:t>Motifs:</w:t>
      </w:r>
      <w:r w:rsidRPr="00A373EC">
        <w:tab/>
      </w:r>
      <w:r w:rsidR="005632D6" w:rsidRPr="00A373EC">
        <w:t>Les études menées au sein des Commissions d'études de l'UIT-R</w:t>
      </w:r>
      <w:r w:rsidR="000755EA" w:rsidRPr="00A373EC">
        <w:t xml:space="preserve"> </w:t>
      </w:r>
      <w:r w:rsidR="005632D6" w:rsidRPr="00A373EC">
        <w:t>sur cette question ont été achevées</w:t>
      </w:r>
      <w:r w:rsidR="000755EA" w:rsidRPr="00A373EC">
        <w:t xml:space="preserve">; </w:t>
      </w:r>
      <w:r w:rsidR="005632D6" w:rsidRPr="00A373EC">
        <w:t>par conséquent, la Résolution</w:t>
      </w:r>
      <w:r w:rsidR="000755EA" w:rsidRPr="00A373EC">
        <w:t xml:space="preserve"> </w:t>
      </w:r>
      <w:r w:rsidR="000755EA" w:rsidRPr="00A373EC">
        <w:rPr>
          <w:b/>
          <w:bCs/>
        </w:rPr>
        <w:t>763 (</w:t>
      </w:r>
      <w:r w:rsidR="005632D6" w:rsidRPr="00A373EC">
        <w:rPr>
          <w:b/>
          <w:bCs/>
        </w:rPr>
        <w:t>CMR</w:t>
      </w:r>
      <w:r w:rsidR="000755EA" w:rsidRPr="00A373EC">
        <w:rPr>
          <w:b/>
          <w:bCs/>
        </w:rPr>
        <w:t>-15)</w:t>
      </w:r>
      <w:r w:rsidR="000755EA" w:rsidRPr="00A373EC">
        <w:t xml:space="preserve"> </w:t>
      </w:r>
      <w:r w:rsidR="005632D6" w:rsidRPr="00A373EC">
        <w:t>n'a plus lieu d'être</w:t>
      </w:r>
      <w:r w:rsidR="000755EA" w:rsidRPr="00A373EC">
        <w:t>.</w:t>
      </w:r>
    </w:p>
    <w:p w14:paraId="66E8716E" w14:textId="77777777" w:rsidR="00F22F38" w:rsidRPr="00A373EC" w:rsidRDefault="00F22F38" w:rsidP="00541D56"/>
    <w:p w14:paraId="7E546AF7" w14:textId="77777777" w:rsidR="00F22F38" w:rsidRPr="00A373EC" w:rsidRDefault="00F22F38" w:rsidP="00541D56">
      <w:pPr>
        <w:jc w:val="center"/>
      </w:pPr>
      <w:r w:rsidRPr="00A373EC">
        <w:t>______________</w:t>
      </w:r>
      <w:bookmarkStart w:id="6" w:name="_GoBack"/>
      <w:bookmarkEnd w:id="6"/>
    </w:p>
    <w:sectPr w:rsidR="00F22F38" w:rsidRPr="00A373EC">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6BD2" w14:textId="77777777" w:rsidR="0070076C" w:rsidRDefault="0070076C">
      <w:r>
        <w:separator/>
      </w:r>
    </w:p>
  </w:endnote>
  <w:endnote w:type="continuationSeparator" w:id="0">
    <w:p w14:paraId="56A4BF4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D303" w14:textId="1805E7CE" w:rsidR="00936D25" w:rsidRDefault="00936D25">
    <w:pPr>
      <w:rPr>
        <w:lang w:val="en-US"/>
      </w:rPr>
    </w:pPr>
    <w:r>
      <w:fldChar w:fldCharType="begin"/>
    </w:r>
    <w:r>
      <w:rPr>
        <w:lang w:val="en-US"/>
      </w:rPr>
      <w:instrText xml:space="preserve"> FILENAME \p  \* MERGEFORMAT </w:instrText>
    </w:r>
    <w:r>
      <w:fldChar w:fldCharType="separate"/>
    </w:r>
    <w:r w:rsidR="00DF17E4">
      <w:rPr>
        <w:noProof/>
        <w:lang w:val="en-US"/>
      </w:rPr>
      <w:t>P:\FRA\ITU-R\CONF-R\CMR19\000\011ADD21ADD04F.docx</w:t>
    </w:r>
    <w:r>
      <w:fldChar w:fldCharType="end"/>
    </w:r>
    <w:r>
      <w:rPr>
        <w:lang w:val="en-US"/>
      </w:rPr>
      <w:tab/>
    </w:r>
    <w:r>
      <w:fldChar w:fldCharType="begin"/>
    </w:r>
    <w:r>
      <w:instrText xml:space="preserve"> SAVEDATE \@ DD.MM.YY </w:instrText>
    </w:r>
    <w:r>
      <w:fldChar w:fldCharType="separate"/>
    </w:r>
    <w:r w:rsidR="00DF17E4">
      <w:rPr>
        <w:noProof/>
      </w:rPr>
      <w:t>26.09.19</w:t>
    </w:r>
    <w:r>
      <w:fldChar w:fldCharType="end"/>
    </w:r>
    <w:r>
      <w:rPr>
        <w:lang w:val="en-US"/>
      </w:rPr>
      <w:tab/>
    </w:r>
    <w:r>
      <w:fldChar w:fldCharType="begin"/>
    </w:r>
    <w:r>
      <w:instrText xml:space="preserve"> PRINTDATE \@ DD.MM.YY </w:instrText>
    </w:r>
    <w:r>
      <w:fldChar w:fldCharType="separate"/>
    </w:r>
    <w:r w:rsidR="00DF17E4">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1306" w14:textId="03531167" w:rsidR="00936D25" w:rsidRPr="00541D56" w:rsidRDefault="00DF17E4" w:rsidP="00541D56">
    <w:pPr>
      <w:pStyle w:val="Footer"/>
    </w:pPr>
    <w:r>
      <w:fldChar w:fldCharType="begin"/>
    </w:r>
    <w:r>
      <w:instrText xml:space="preserve"> FILENAME \p  \* MERGEFORMAT </w:instrText>
    </w:r>
    <w:r>
      <w:fldChar w:fldCharType="separate"/>
    </w:r>
    <w:r>
      <w:t>P:\FRA\ITU-R\CONF-R\CMR19\000\011ADD21ADD04F.docx</w:t>
    </w:r>
    <w:r>
      <w:fldChar w:fldCharType="end"/>
    </w:r>
    <w:r w:rsidR="00541D56">
      <w:t xml:space="preserve"> (460831)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7AAE" w14:textId="3EA3881A" w:rsidR="00936D25" w:rsidRDefault="00B44814" w:rsidP="00541D56">
    <w:pPr>
      <w:pStyle w:val="Footer"/>
      <w:rPr>
        <w:lang w:val="en-US"/>
      </w:rPr>
    </w:pPr>
    <w:fldSimple w:instr=" FILENAME \p  \* MERGEFORMAT ">
      <w:r w:rsidR="00DF17E4">
        <w:t>P:\FRA\ITU-R\CONF-R\CMR19\000\011ADD21ADD04F.docx</w:t>
      </w:r>
    </w:fldSimple>
    <w:r w:rsidR="00541D56">
      <w:t xml:space="preserve"> (460831)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D95A" w14:textId="77777777" w:rsidR="0070076C" w:rsidRDefault="0070076C">
      <w:r>
        <w:rPr>
          <w:b/>
        </w:rPr>
        <w:t>_______________</w:t>
      </w:r>
    </w:p>
  </w:footnote>
  <w:footnote w:type="continuationSeparator" w:id="0">
    <w:p w14:paraId="333BADC8" w14:textId="77777777" w:rsidR="0070076C" w:rsidRDefault="0070076C">
      <w:r>
        <w:continuationSeparator/>
      </w:r>
    </w:p>
  </w:footnote>
  <w:footnote w:id="1">
    <w:p w14:paraId="3D5C5D13" w14:textId="6B0A7624" w:rsidR="00E406A2" w:rsidRPr="009710C6" w:rsidRDefault="00E406A2" w:rsidP="00817F80">
      <w:pPr>
        <w:pStyle w:val="FootnoteText"/>
        <w:rPr>
          <w:color w:val="222222"/>
          <w:shd w:val="clear" w:color="auto" w:fill="FFFFFF"/>
        </w:rPr>
      </w:pPr>
      <w:r w:rsidRPr="00373210">
        <w:rPr>
          <w:rStyle w:val="FootnoteReference"/>
          <w:sz w:val="20"/>
        </w:rPr>
        <w:footnoteRef/>
      </w:r>
      <w:r w:rsidRPr="009710C6">
        <w:t xml:space="preserve"> </w:t>
      </w:r>
      <w:r w:rsidRPr="009710C6">
        <w:tab/>
      </w:r>
      <w:r w:rsidR="00141C97" w:rsidRPr="0046331E">
        <w:t>Véhicule suborbital</w:t>
      </w:r>
      <w:r w:rsidRPr="0046331E">
        <w:t xml:space="preserve">: </w:t>
      </w:r>
      <w:r w:rsidR="009710C6" w:rsidRPr="0046331E">
        <w:t xml:space="preserve">véhicule conçu pour effectuer </w:t>
      </w:r>
      <w:r w:rsidR="00E91FF7">
        <w:t>un vol suborbital</w:t>
      </w:r>
      <w:r w:rsidR="005E368D">
        <w:t xml:space="preserve"> et </w:t>
      </w:r>
      <w:r w:rsidR="0046331E" w:rsidRPr="0046331E">
        <w:t xml:space="preserve">dont </w:t>
      </w:r>
      <w:r w:rsidR="00DE47B0">
        <w:t>tout ou partie des étages ou des composants peuvent être réutilisables ou à usage unique</w:t>
      </w:r>
      <w:r w:rsidRPr="009710C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9256" w14:textId="77777777" w:rsidR="004F1F8E" w:rsidRDefault="004F1F8E" w:rsidP="004F1F8E">
    <w:pPr>
      <w:pStyle w:val="Header"/>
    </w:pPr>
    <w:r>
      <w:fldChar w:fldCharType="begin"/>
    </w:r>
    <w:r>
      <w:instrText xml:space="preserve"> PAGE </w:instrText>
    </w:r>
    <w:r>
      <w:fldChar w:fldCharType="separate"/>
    </w:r>
    <w:r w:rsidR="00AF44CE">
      <w:rPr>
        <w:noProof/>
      </w:rPr>
      <w:t>7</w:t>
    </w:r>
    <w:r>
      <w:fldChar w:fldCharType="end"/>
    </w:r>
  </w:p>
  <w:p w14:paraId="1F61A0F2" w14:textId="77777777" w:rsidR="004F1F8E" w:rsidRDefault="004F1F8E" w:rsidP="00FD7AA3">
    <w:pPr>
      <w:pStyle w:val="Header"/>
    </w:pPr>
    <w:r>
      <w:t>CMR1</w:t>
    </w:r>
    <w:r w:rsidR="00FD7AA3">
      <w:t>9</w:t>
    </w:r>
    <w:r>
      <w:t>/</w:t>
    </w:r>
    <w:r w:rsidR="006A4B45">
      <w:t>11(Add.21)(Add.4)-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E2E7BE5"/>
    <w:multiLevelType w:val="hybridMultilevel"/>
    <w:tmpl w:val="3034A9CC"/>
    <w:lvl w:ilvl="0" w:tplc="A3F8D0C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ED74A04"/>
    <w:multiLevelType w:val="hybridMultilevel"/>
    <w:tmpl w:val="486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82A"/>
    <w:rsid w:val="0003522F"/>
    <w:rsid w:val="000620CF"/>
    <w:rsid w:val="00063A1F"/>
    <w:rsid w:val="000755EA"/>
    <w:rsid w:val="00080E2C"/>
    <w:rsid w:val="00081366"/>
    <w:rsid w:val="000863B3"/>
    <w:rsid w:val="00087FA9"/>
    <w:rsid w:val="000A4755"/>
    <w:rsid w:val="000A55AE"/>
    <w:rsid w:val="000B1DFA"/>
    <w:rsid w:val="000B2E0C"/>
    <w:rsid w:val="000B3D0C"/>
    <w:rsid w:val="000D69E4"/>
    <w:rsid w:val="000F49A6"/>
    <w:rsid w:val="001045D3"/>
    <w:rsid w:val="001167B9"/>
    <w:rsid w:val="001267A0"/>
    <w:rsid w:val="00141C97"/>
    <w:rsid w:val="001443AC"/>
    <w:rsid w:val="0015203F"/>
    <w:rsid w:val="00153701"/>
    <w:rsid w:val="00160C64"/>
    <w:rsid w:val="001736FB"/>
    <w:rsid w:val="0018169B"/>
    <w:rsid w:val="0019352B"/>
    <w:rsid w:val="001960D0"/>
    <w:rsid w:val="001A11F6"/>
    <w:rsid w:val="001A6D20"/>
    <w:rsid w:val="001F17E8"/>
    <w:rsid w:val="00204306"/>
    <w:rsid w:val="00232FD2"/>
    <w:rsid w:val="0026554E"/>
    <w:rsid w:val="00283650"/>
    <w:rsid w:val="002A4622"/>
    <w:rsid w:val="002A6F8F"/>
    <w:rsid w:val="002B17E5"/>
    <w:rsid w:val="002C0EBF"/>
    <w:rsid w:val="002C28A4"/>
    <w:rsid w:val="002D7E0A"/>
    <w:rsid w:val="00302BCC"/>
    <w:rsid w:val="00315AFE"/>
    <w:rsid w:val="0032656E"/>
    <w:rsid w:val="003537C7"/>
    <w:rsid w:val="003606A6"/>
    <w:rsid w:val="0036650C"/>
    <w:rsid w:val="003867E4"/>
    <w:rsid w:val="00393ACD"/>
    <w:rsid w:val="003A583E"/>
    <w:rsid w:val="003E112B"/>
    <w:rsid w:val="003E1D1C"/>
    <w:rsid w:val="003E7B05"/>
    <w:rsid w:val="003F3719"/>
    <w:rsid w:val="003F6F2D"/>
    <w:rsid w:val="00413392"/>
    <w:rsid w:val="00414543"/>
    <w:rsid w:val="0042092C"/>
    <w:rsid w:val="0045457A"/>
    <w:rsid w:val="0046331E"/>
    <w:rsid w:val="00466211"/>
    <w:rsid w:val="00483196"/>
    <w:rsid w:val="004834A9"/>
    <w:rsid w:val="004914E3"/>
    <w:rsid w:val="004A6D76"/>
    <w:rsid w:val="004A7D48"/>
    <w:rsid w:val="004D01FC"/>
    <w:rsid w:val="004E28C3"/>
    <w:rsid w:val="004F1F8E"/>
    <w:rsid w:val="00512A32"/>
    <w:rsid w:val="005343DA"/>
    <w:rsid w:val="00541D56"/>
    <w:rsid w:val="00557595"/>
    <w:rsid w:val="00560874"/>
    <w:rsid w:val="005632D6"/>
    <w:rsid w:val="00575BBA"/>
    <w:rsid w:val="00581557"/>
    <w:rsid w:val="00586CF2"/>
    <w:rsid w:val="005A7C75"/>
    <w:rsid w:val="005C3768"/>
    <w:rsid w:val="005C6C3F"/>
    <w:rsid w:val="005C75FE"/>
    <w:rsid w:val="005C7D42"/>
    <w:rsid w:val="005E368D"/>
    <w:rsid w:val="005E72DD"/>
    <w:rsid w:val="00613635"/>
    <w:rsid w:val="0062093D"/>
    <w:rsid w:val="00633B92"/>
    <w:rsid w:val="00637619"/>
    <w:rsid w:val="00637ECF"/>
    <w:rsid w:val="00647B59"/>
    <w:rsid w:val="00680206"/>
    <w:rsid w:val="00684EE4"/>
    <w:rsid w:val="00690C7B"/>
    <w:rsid w:val="006A4B45"/>
    <w:rsid w:val="006B4374"/>
    <w:rsid w:val="006D4724"/>
    <w:rsid w:val="006E0FB9"/>
    <w:rsid w:val="006F5FA2"/>
    <w:rsid w:val="0070076C"/>
    <w:rsid w:val="00701BAE"/>
    <w:rsid w:val="007029BA"/>
    <w:rsid w:val="007164CC"/>
    <w:rsid w:val="00720BED"/>
    <w:rsid w:val="00721F04"/>
    <w:rsid w:val="00730E95"/>
    <w:rsid w:val="007426B9"/>
    <w:rsid w:val="00764342"/>
    <w:rsid w:val="00774362"/>
    <w:rsid w:val="00786598"/>
    <w:rsid w:val="00790C74"/>
    <w:rsid w:val="007A04E8"/>
    <w:rsid w:val="007A6FDA"/>
    <w:rsid w:val="007B2C34"/>
    <w:rsid w:val="007C7F94"/>
    <w:rsid w:val="00801842"/>
    <w:rsid w:val="00813F64"/>
    <w:rsid w:val="00817F80"/>
    <w:rsid w:val="00830086"/>
    <w:rsid w:val="00831EDF"/>
    <w:rsid w:val="0084667E"/>
    <w:rsid w:val="0084756C"/>
    <w:rsid w:val="00851625"/>
    <w:rsid w:val="00863C0A"/>
    <w:rsid w:val="00882522"/>
    <w:rsid w:val="0089612E"/>
    <w:rsid w:val="008A0391"/>
    <w:rsid w:val="008A052F"/>
    <w:rsid w:val="008A3120"/>
    <w:rsid w:val="008A4B97"/>
    <w:rsid w:val="008C0894"/>
    <w:rsid w:val="008C5B8E"/>
    <w:rsid w:val="008C5DD5"/>
    <w:rsid w:val="008D41BE"/>
    <w:rsid w:val="008D58D3"/>
    <w:rsid w:val="008E3BC9"/>
    <w:rsid w:val="00923064"/>
    <w:rsid w:val="00930FFD"/>
    <w:rsid w:val="00936D25"/>
    <w:rsid w:val="00941EA5"/>
    <w:rsid w:val="009505C0"/>
    <w:rsid w:val="00964700"/>
    <w:rsid w:val="00966C16"/>
    <w:rsid w:val="009710C6"/>
    <w:rsid w:val="00986E4B"/>
    <w:rsid w:val="0098732F"/>
    <w:rsid w:val="009A045F"/>
    <w:rsid w:val="009A6A2B"/>
    <w:rsid w:val="009C7E7C"/>
    <w:rsid w:val="00A00473"/>
    <w:rsid w:val="00A03C9B"/>
    <w:rsid w:val="00A1091E"/>
    <w:rsid w:val="00A347E8"/>
    <w:rsid w:val="00A34810"/>
    <w:rsid w:val="00A34B91"/>
    <w:rsid w:val="00A37105"/>
    <w:rsid w:val="00A373EC"/>
    <w:rsid w:val="00A41803"/>
    <w:rsid w:val="00A43BB4"/>
    <w:rsid w:val="00A606C3"/>
    <w:rsid w:val="00A83B09"/>
    <w:rsid w:val="00A84541"/>
    <w:rsid w:val="00AC4F40"/>
    <w:rsid w:val="00AC6080"/>
    <w:rsid w:val="00AE36A0"/>
    <w:rsid w:val="00AF44CE"/>
    <w:rsid w:val="00B00294"/>
    <w:rsid w:val="00B3749C"/>
    <w:rsid w:val="00B44814"/>
    <w:rsid w:val="00B52140"/>
    <w:rsid w:val="00B56381"/>
    <w:rsid w:val="00B64FD0"/>
    <w:rsid w:val="00B65E74"/>
    <w:rsid w:val="00B73707"/>
    <w:rsid w:val="00B8238D"/>
    <w:rsid w:val="00B91CCC"/>
    <w:rsid w:val="00BA5BD0"/>
    <w:rsid w:val="00BA7D74"/>
    <w:rsid w:val="00BB1D82"/>
    <w:rsid w:val="00BD51C5"/>
    <w:rsid w:val="00BD681C"/>
    <w:rsid w:val="00BF26E7"/>
    <w:rsid w:val="00C32DAC"/>
    <w:rsid w:val="00C53FCA"/>
    <w:rsid w:val="00C76BAF"/>
    <w:rsid w:val="00C814B9"/>
    <w:rsid w:val="00CB2BE2"/>
    <w:rsid w:val="00CC6226"/>
    <w:rsid w:val="00CD516F"/>
    <w:rsid w:val="00CF51FB"/>
    <w:rsid w:val="00CF709C"/>
    <w:rsid w:val="00D00204"/>
    <w:rsid w:val="00D119A7"/>
    <w:rsid w:val="00D129CD"/>
    <w:rsid w:val="00D25FBA"/>
    <w:rsid w:val="00D31FCD"/>
    <w:rsid w:val="00D32B28"/>
    <w:rsid w:val="00D42954"/>
    <w:rsid w:val="00D4481D"/>
    <w:rsid w:val="00D66EAC"/>
    <w:rsid w:val="00D730DF"/>
    <w:rsid w:val="00D772F0"/>
    <w:rsid w:val="00D77BDC"/>
    <w:rsid w:val="00DC402B"/>
    <w:rsid w:val="00DE0932"/>
    <w:rsid w:val="00DE47B0"/>
    <w:rsid w:val="00DF17E4"/>
    <w:rsid w:val="00E03A27"/>
    <w:rsid w:val="00E049F1"/>
    <w:rsid w:val="00E30149"/>
    <w:rsid w:val="00E37A25"/>
    <w:rsid w:val="00E406A2"/>
    <w:rsid w:val="00E476D8"/>
    <w:rsid w:val="00E537FF"/>
    <w:rsid w:val="00E54D16"/>
    <w:rsid w:val="00E644EF"/>
    <w:rsid w:val="00E6539B"/>
    <w:rsid w:val="00E703C7"/>
    <w:rsid w:val="00E70A31"/>
    <w:rsid w:val="00E723A7"/>
    <w:rsid w:val="00E91FF7"/>
    <w:rsid w:val="00E95EC6"/>
    <w:rsid w:val="00EA3F38"/>
    <w:rsid w:val="00EA5AB6"/>
    <w:rsid w:val="00EB3B0A"/>
    <w:rsid w:val="00EC7615"/>
    <w:rsid w:val="00ED16AA"/>
    <w:rsid w:val="00ED6B8D"/>
    <w:rsid w:val="00EE3D7B"/>
    <w:rsid w:val="00EF662E"/>
    <w:rsid w:val="00F03CF8"/>
    <w:rsid w:val="00F10064"/>
    <w:rsid w:val="00F148F1"/>
    <w:rsid w:val="00F159CB"/>
    <w:rsid w:val="00F22F38"/>
    <w:rsid w:val="00F40299"/>
    <w:rsid w:val="00F614FE"/>
    <w:rsid w:val="00F711A7"/>
    <w:rsid w:val="00F846E2"/>
    <w:rsid w:val="00F97BD1"/>
    <w:rsid w:val="00FA3BBF"/>
    <w:rsid w:val="00FC0186"/>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16E96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NormalWeb">
    <w:name w:val="Normal (Web)"/>
    <w:basedOn w:val="Normal"/>
    <w:semiHidden/>
    <w:unhideWhenUsed/>
    <w:rsid w:val="00E406A2"/>
    <w:rPr>
      <w:szCs w:val="24"/>
      <w:lang w:val="en-GB"/>
    </w:rPr>
  </w:style>
  <w:style w:type="character" w:styleId="Hyperlink">
    <w:name w:val="Hyperlink"/>
    <w:basedOn w:val="DefaultParagraphFont"/>
    <w:unhideWhenUsed/>
    <w:rsid w:val="00E406A2"/>
    <w:rPr>
      <w:color w:val="0000FF" w:themeColor="hyperlink"/>
      <w:u w:val="single"/>
    </w:rPr>
  </w:style>
  <w:style w:type="character" w:customStyle="1" w:styleId="UnresolvedMention1">
    <w:name w:val="Unresolved Mention1"/>
    <w:basedOn w:val="DefaultParagraphFont"/>
    <w:uiPriority w:val="99"/>
    <w:semiHidden/>
    <w:unhideWhenUsed/>
    <w:rsid w:val="00E406A2"/>
    <w:rPr>
      <w:color w:val="605E5C"/>
      <w:shd w:val="clear" w:color="auto" w:fill="E1DFDD"/>
    </w:rPr>
  </w:style>
  <w:style w:type="character" w:styleId="FollowedHyperlink">
    <w:name w:val="FollowedHyperlink"/>
    <w:basedOn w:val="DefaultParagraphFont"/>
    <w:semiHidden/>
    <w:unhideWhenUsed/>
    <w:rsid w:val="007C7F94"/>
    <w:rPr>
      <w:color w:val="800080" w:themeColor="followedHyperlink"/>
      <w:u w:val="single"/>
    </w:rPr>
  </w:style>
  <w:style w:type="paragraph" w:styleId="BalloonText">
    <w:name w:val="Balloon Text"/>
    <w:basedOn w:val="Normal"/>
    <w:link w:val="BalloonTextChar"/>
    <w:semiHidden/>
    <w:unhideWhenUsed/>
    <w:rsid w:val="00B5638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638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8F36E40-DF5F-4940-A471-F4E95E8E0D8B}">
  <ds:schemaRefs>
    <ds:schemaRef ds:uri="http://schemas.microsoft.com/sharepoint/v3/contenttype/forms"/>
  </ds:schemaRefs>
</ds:datastoreItem>
</file>

<file path=customXml/itemProps3.xml><?xml version="1.0" encoding="utf-8"?>
<ds:datastoreItem xmlns:ds="http://schemas.openxmlformats.org/officeDocument/2006/customXml" ds:itemID="{AFC0E8F6-1FCB-4E9F-85DB-8F8A5245A4A6}">
  <ds:schemaRefs>
    <ds:schemaRef ds:uri="http://schemas.microsoft.com/office/2006/metadata/properties"/>
    <ds:schemaRef ds:uri="http://schemas.microsoft.com/office/2006/documentManagement/types"/>
    <ds:schemaRef ds:uri="http://purl.org/dc/dcmitype/"/>
    <ds:schemaRef ds:uri="996b2e75-67fd-4955-a3b0-5ab9934cb50b"/>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51832A06-941A-42FF-A9CC-98B551AB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1461</Words>
  <Characters>8899</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R16-WRC19-C-0011!A21-A4!MSW-F</vt:lpstr>
    </vt:vector>
  </TitlesOfParts>
  <Manager>Secrétariat général - Pool</Manager>
  <Company>Union internationale des télécommunications (UIT)</Company>
  <LinksUpToDate>false</LinksUpToDate>
  <CharactersWithSpaces>10330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R16-WRC19-C-0011!A21-A4!MSW-F</dc:title>
  <dc:subject>Conférence mondiale des radiocommunications - 2019</dc:subject>
  <dc:creator>Documents Proposals Manager (DPM)</dc:creator>
  <cp:keywords>DPM_v2019.9.20.1_prod</cp:keywords>
  <dc:description/>
  <cp:lastModifiedBy>Gozel, Elsa</cp:lastModifiedBy>
  <cp:revision>25</cp:revision>
  <cp:lastPrinted>2019-09-26T08:38:00Z</cp:lastPrinted>
  <dcterms:created xsi:type="dcterms:W3CDTF">2019-09-25T13:32:00Z</dcterms:created>
  <dcterms:modified xsi:type="dcterms:W3CDTF">2019-09-26T08:38:00Z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