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9F067D" w14:paraId="15EA6A29" w14:textId="77777777" w:rsidTr="001226EC">
        <w:trPr>
          <w:cantSplit/>
        </w:trPr>
        <w:tc>
          <w:tcPr>
            <w:tcW w:w="6771" w:type="dxa"/>
          </w:tcPr>
          <w:p w14:paraId="01EB267D" w14:textId="77777777" w:rsidR="005651C9" w:rsidRPr="009F067D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F067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9F067D">
              <w:rPr>
                <w:rFonts w:ascii="Verdana" w:hAnsi="Verdana"/>
                <w:b/>
                <w:bCs/>
                <w:szCs w:val="22"/>
              </w:rPr>
              <w:t>9</w:t>
            </w:r>
            <w:r w:rsidRPr="009F067D">
              <w:rPr>
                <w:rFonts w:ascii="Verdana" w:hAnsi="Verdana"/>
                <w:b/>
                <w:bCs/>
                <w:szCs w:val="22"/>
              </w:rPr>
              <w:t>)</w:t>
            </w:r>
            <w:r w:rsidRPr="009F067D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F067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F067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9F067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9F067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3530383E" w14:textId="77777777" w:rsidR="005651C9" w:rsidRPr="009F067D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9F067D">
              <w:rPr>
                <w:noProof/>
                <w:szCs w:val="22"/>
                <w:lang w:val="en-GB" w:eastAsia="en-GB"/>
              </w:rPr>
              <w:drawing>
                <wp:inline distT="0" distB="0" distL="0" distR="0" wp14:anchorId="49840C69" wp14:editId="69DCF29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F067D" w14:paraId="6E922C93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5CF763E2" w14:textId="77777777" w:rsidR="005651C9" w:rsidRPr="009F067D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19BFCFC3" w14:textId="77777777" w:rsidR="005651C9" w:rsidRPr="009F067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F067D" w14:paraId="0B087405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78C50134" w14:textId="77777777" w:rsidR="005651C9" w:rsidRPr="009F067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38CC2732" w14:textId="77777777" w:rsidR="005651C9" w:rsidRPr="009F067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9F067D" w14:paraId="25E4EA11" w14:textId="77777777" w:rsidTr="001226EC">
        <w:trPr>
          <w:cantSplit/>
        </w:trPr>
        <w:tc>
          <w:tcPr>
            <w:tcW w:w="6771" w:type="dxa"/>
          </w:tcPr>
          <w:p w14:paraId="5E57A8E6" w14:textId="77777777" w:rsidR="005651C9" w:rsidRPr="009F067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F067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63F76B86" w14:textId="77777777" w:rsidR="005651C9" w:rsidRPr="009F067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F067D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4</w:t>
            </w:r>
            <w:r w:rsidRPr="009F067D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11(Add.21)</w:t>
            </w:r>
            <w:r w:rsidR="005651C9" w:rsidRPr="009F067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F067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F067D" w14:paraId="5D678473" w14:textId="77777777" w:rsidTr="001226EC">
        <w:trPr>
          <w:cantSplit/>
        </w:trPr>
        <w:tc>
          <w:tcPr>
            <w:tcW w:w="6771" w:type="dxa"/>
          </w:tcPr>
          <w:p w14:paraId="59F467B7" w14:textId="77777777" w:rsidR="000F33D8" w:rsidRPr="009F067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03BB3A5" w14:textId="77777777" w:rsidR="000F33D8" w:rsidRPr="009F067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F067D">
              <w:rPr>
                <w:rFonts w:ascii="Verdana" w:hAnsi="Verdana"/>
                <w:b/>
                <w:bCs/>
                <w:sz w:val="18"/>
                <w:szCs w:val="18"/>
              </w:rPr>
              <w:t>13 сентября 2019 года</w:t>
            </w:r>
          </w:p>
        </w:tc>
      </w:tr>
      <w:tr w:rsidR="000F33D8" w:rsidRPr="009F067D" w14:paraId="36222515" w14:textId="77777777" w:rsidTr="001226EC">
        <w:trPr>
          <w:cantSplit/>
        </w:trPr>
        <w:tc>
          <w:tcPr>
            <w:tcW w:w="6771" w:type="dxa"/>
          </w:tcPr>
          <w:p w14:paraId="675122DD" w14:textId="77777777" w:rsidR="000F33D8" w:rsidRPr="009F067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EB3787D" w14:textId="507B53E2" w:rsidR="000F33D8" w:rsidRPr="009F067D" w:rsidRDefault="000F33D8" w:rsidP="00102C54">
            <w:pPr>
              <w:spacing w:before="0"/>
              <w:ind w:left="1134" w:hanging="1134"/>
              <w:rPr>
                <w:rFonts w:ascii="Verdana" w:hAnsi="Verdana"/>
                <w:sz w:val="18"/>
                <w:szCs w:val="22"/>
              </w:rPr>
            </w:pPr>
            <w:r w:rsidRPr="009F067D">
              <w:rPr>
                <w:rFonts w:ascii="Verdana" w:hAnsi="Verdana"/>
                <w:b/>
                <w:bCs/>
                <w:sz w:val="18"/>
                <w:szCs w:val="22"/>
              </w:rPr>
              <w:t>Оригинал:</w:t>
            </w:r>
            <w:r w:rsidR="00102C54" w:rsidRPr="009F067D">
              <w:rPr>
                <w:rFonts w:ascii="Verdana" w:hAnsi="Verdana"/>
                <w:b/>
                <w:bCs/>
                <w:sz w:val="18"/>
                <w:szCs w:val="22"/>
              </w:rPr>
              <w:tab/>
            </w:r>
            <w:r w:rsidRPr="009F067D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  <w:r w:rsidR="00102C54" w:rsidRPr="009F067D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102C54" w:rsidRPr="009F067D">
              <w:rPr>
                <w:rFonts w:ascii="Verdana" w:hAnsi="Verdana"/>
                <w:b/>
                <w:bCs/>
                <w:sz w:val="18"/>
                <w:szCs w:val="22"/>
              </w:rPr>
              <w:br/>
              <w:t>испанский</w:t>
            </w:r>
          </w:p>
        </w:tc>
      </w:tr>
      <w:tr w:rsidR="000F33D8" w:rsidRPr="009F067D" w14:paraId="20D73E0B" w14:textId="77777777" w:rsidTr="008C3625">
        <w:trPr>
          <w:cantSplit/>
        </w:trPr>
        <w:tc>
          <w:tcPr>
            <w:tcW w:w="10031" w:type="dxa"/>
            <w:gridSpan w:val="2"/>
          </w:tcPr>
          <w:p w14:paraId="56F57004" w14:textId="77777777" w:rsidR="000F33D8" w:rsidRPr="009F067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F067D" w14:paraId="07F44CBB" w14:textId="77777777">
        <w:trPr>
          <w:cantSplit/>
        </w:trPr>
        <w:tc>
          <w:tcPr>
            <w:tcW w:w="10031" w:type="dxa"/>
            <w:gridSpan w:val="2"/>
          </w:tcPr>
          <w:p w14:paraId="7C73F7BF" w14:textId="77777777" w:rsidR="000F33D8" w:rsidRPr="009F067D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9F067D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9F067D" w14:paraId="545D6266" w14:textId="77777777">
        <w:trPr>
          <w:cantSplit/>
        </w:trPr>
        <w:tc>
          <w:tcPr>
            <w:tcW w:w="10031" w:type="dxa"/>
            <w:gridSpan w:val="2"/>
          </w:tcPr>
          <w:p w14:paraId="42305C9A" w14:textId="2CBB28DE" w:rsidR="000F33D8" w:rsidRPr="009F067D" w:rsidRDefault="00102C54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9F067D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9F067D" w14:paraId="7202021D" w14:textId="77777777">
        <w:trPr>
          <w:cantSplit/>
        </w:trPr>
        <w:tc>
          <w:tcPr>
            <w:tcW w:w="10031" w:type="dxa"/>
            <w:gridSpan w:val="2"/>
          </w:tcPr>
          <w:p w14:paraId="1D94D6D2" w14:textId="77777777" w:rsidR="000F33D8" w:rsidRPr="009F067D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9F067D" w14:paraId="7F8B3A4D" w14:textId="77777777">
        <w:trPr>
          <w:cantSplit/>
        </w:trPr>
        <w:tc>
          <w:tcPr>
            <w:tcW w:w="10031" w:type="dxa"/>
            <w:gridSpan w:val="2"/>
          </w:tcPr>
          <w:p w14:paraId="52180BD8" w14:textId="77777777" w:rsidR="000F33D8" w:rsidRPr="009F067D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9F067D">
              <w:rPr>
                <w:lang w:val="ru-RU"/>
              </w:rPr>
              <w:t>Пункт 9.1(9.1.4) повестки дня</w:t>
            </w:r>
          </w:p>
        </w:tc>
      </w:tr>
    </w:tbl>
    <w:bookmarkEnd w:id="6"/>
    <w:p w14:paraId="1B489E33" w14:textId="77777777" w:rsidR="008C3625" w:rsidRPr="009F067D" w:rsidRDefault="007F2BE4" w:rsidP="008C3625">
      <w:pPr>
        <w:rPr>
          <w:szCs w:val="22"/>
        </w:rPr>
      </w:pPr>
      <w:r w:rsidRPr="009F067D">
        <w:t>9</w:t>
      </w:r>
      <w:r w:rsidRPr="009F067D">
        <w:tab/>
        <w:t>рассмотреть и утвердить Отчет Директора Бюро радиосвязи в соответствии со Статьей 7 Конвенции:</w:t>
      </w:r>
    </w:p>
    <w:p w14:paraId="4BE9D8AD" w14:textId="77777777" w:rsidR="008C3625" w:rsidRPr="009F067D" w:rsidRDefault="007F2BE4" w:rsidP="008C3625">
      <w:pPr>
        <w:rPr>
          <w:szCs w:val="22"/>
        </w:rPr>
      </w:pPr>
      <w:r w:rsidRPr="009F067D">
        <w:t>9.1</w:t>
      </w:r>
      <w:r w:rsidRPr="009F067D">
        <w:tab/>
        <w:t>о деятельности Сектора радиосвязи в период после ВКР-15;</w:t>
      </w:r>
    </w:p>
    <w:p w14:paraId="652A4FFE" w14:textId="77777777" w:rsidR="008C3625" w:rsidRPr="009F067D" w:rsidRDefault="007F2BE4" w:rsidP="008C3625">
      <w:pPr>
        <w:rPr>
          <w:szCs w:val="22"/>
        </w:rPr>
      </w:pPr>
      <w:r w:rsidRPr="009F067D">
        <w:rPr>
          <w:rFonts w:cstheme="majorBidi"/>
          <w:color w:val="000000"/>
          <w:szCs w:val="24"/>
          <w:lang w:eastAsia="zh-CN"/>
        </w:rPr>
        <w:t>9.1 (</w:t>
      </w:r>
      <w:r w:rsidRPr="009F067D">
        <w:rPr>
          <w:lang w:eastAsia="zh-CN"/>
        </w:rPr>
        <w:t>9.1.4)</w:t>
      </w:r>
      <w:r w:rsidRPr="009F067D">
        <w:tab/>
      </w:r>
      <w:hyperlink w:anchor="res_763" w:history="1">
        <w:r w:rsidRPr="009F067D">
          <w:t xml:space="preserve">Резолюция </w:t>
        </w:r>
        <w:r w:rsidRPr="009F067D">
          <w:rPr>
            <w:b/>
            <w:bCs/>
          </w:rPr>
          <w:t>763 (ВКР-15)</w:t>
        </w:r>
      </w:hyperlink>
      <w:r w:rsidRPr="009F067D">
        <w:t xml:space="preserve"> − Станции на борту суборбитальных аппаратов</w:t>
      </w:r>
    </w:p>
    <w:p w14:paraId="363505E5" w14:textId="3882FEC1" w:rsidR="00102C54" w:rsidRPr="009F067D" w:rsidRDefault="00AB3E57" w:rsidP="00102C54">
      <w:pPr>
        <w:pStyle w:val="Headingb"/>
        <w:rPr>
          <w:lang w:val="ru-RU"/>
        </w:rPr>
      </w:pPr>
      <w:r w:rsidRPr="009F067D">
        <w:rPr>
          <w:lang w:val="ru-RU"/>
        </w:rPr>
        <w:t>Введение</w:t>
      </w:r>
    </w:p>
    <w:p w14:paraId="2B2FE5DA" w14:textId="2593D8E0" w:rsidR="00102C54" w:rsidRPr="009F067D" w:rsidRDefault="00AB3E57" w:rsidP="00102C54">
      <w:r w:rsidRPr="009F067D">
        <w:t>В настоящее время существуют аппараты,</w:t>
      </w:r>
      <w:r w:rsidR="00102C54" w:rsidRPr="009F067D">
        <w:t xml:space="preserve"> </w:t>
      </w:r>
      <w:r w:rsidRPr="009F067D">
        <w:t>которые могут достигать</w:t>
      </w:r>
      <w:r w:rsidR="00102C54" w:rsidRPr="009F067D">
        <w:t xml:space="preserve"> </w:t>
      </w:r>
      <w:r w:rsidRPr="009F067D">
        <w:t>высот,</w:t>
      </w:r>
      <w:r w:rsidR="00102C54" w:rsidRPr="009F067D">
        <w:t xml:space="preserve"> </w:t>
      </w:r>
      <w:r w:rsidRPr="009F067D">
        <w:t>превышающих</w:t>
      </w:r>
      <w:r w:rsidR="00102C54" w:rsidRPr="009F067D">
        <w:t xml:space="preserve"> 100 </w:t>
      </w:r>
      <w:r w:rsidRPr="009F067D">
        <w:t>км</w:t>
      </w:r>
      <w:r w:rsidR="00102C54" w:rsidRPr="009F067D">
        <w:t xml:space="preserve">, </w:t>
      </w:r>
      <w:r w:rsidRPr="009F067D">
        <w:t>известные также</w:t>
      </w:r>
      <w:r w:rsidR="00102C54" w:rsidRPr="009F067D">
        <w:t xml:space="preserve"> </w:t>
      </w:r>
      <w:r w:rsidRPr="009F067D">
        <w:t>как</w:t>
      </w:r>
      <w:r w:rsidRPr="00582F89">
        <w:t xml:space="preserve"> суборбитальные полеты</w:t>
      </w:r>
      <w:r w:rsidR="00102C54" w:rsidRPr="009F067D">
        <w:t xml:space="preserve">, </w:t>
      </w:r>
      <w:r w:rsidRPr="009F067D">
        <w:t>и</w:t>
      </w:r>
      <w:r w:rsidR="00102C54" w:rsidRPr="009F067D">
        <w:t xml:space="preserve"> </w:t>
      </w:r>
      <w:r w:rsidRPr="009F067D">
        <w:t>затем возвращаться на землю</w:t>
      </w:r>
      <w:r w:rsidR="00102C54" w:rsidRPr="009F067D">
        <w:t xml:space="preserve"> </w:t>
      </w:r>
      <w:r w:rsidRPr="009F067D">
        <w:t>без достижения орбиты или выхода в дальний космос</w:t>
      </w:r>
      <w:r w:rsidR="00102C54" w:rsidRPr="009F067D">
        <w:t xml:space="preserve">. </w:t>
      </w:r>
      <w:r w:rsidRPr="009F067D">
        <w:t>Эти аппараты получили название</w:t>
      </w:r>
      <w:r w:rsidR="00102C54" w:rsidRPr="009F067D">
        <w:t xml:space="preserve"> </w:t>
      </w:r>
      <w:r w:rsidRPr="006E08D8">
        <w:t>суборбитальных аппаратов или космических самолетов</w:t>
      </w:r>
      <w:r w:rsidR="00102C54" w:rsidRPr="009F067D">
        <w:t>.</w:t>
      </w:r>
    </w:p>
    <w:p w14:paraId="6791B6DB" w14:textId="05D1124F" w:rsidR="00102C54" w:rsidRPr="009F067D" w:rsidRDefault="00951A9F" w:rsidP="00102C54">
      <w:r w:rsidRPr="009F067D">
        <w:t>Поэтому</w:t>
      </w:r>
      <w:r w:rsidR="00102C54" w:rsidRPr="009F067D">
        <w:t xml:space="preserve">, </w:t>
      </w:r>
      <w:r w:rsidR="00B7013D" w:rsidRPr="009F067D">
        <w:t>чтобы осуществить</w:t>
      </w:r>
      <w:r w:rsidR="00102C54" w:rsidRPr="009F067D">
        <w:t xml:space="preserve"> </w:t>
      </w:r>
      <w:r w:rsidR="00B7013D" w:rsidRPr="009F067D">
        <w:t>разработку</w:t>
      </w:r>
      <w:r w:rsidR="00102C54" w:rsidRPr="009F067D">
        <w:t xml:space="preserve"> </w:t>
      </w:r>
      <w:r w:rsidR="00B7013D" w:rsidRPr="009F067D">
        <w:t>и</w:t>
      </w:r>
      <w:r w:rsidR="00102C54" w:rsidRPr="009F067D">
        <w:t xml:space="preserve"> </w:t>
      </w:r>
      <w:r w:rsidR="00B7013D" w:rsidRPr="009F067D">
        <w:t>переход</w:t>
      </w:r>
      <w:r w:rsidR="00102C54" w:rsidRPr="009F067D">
        <w:t xml:space="preserve"> </w:t>
      </w:r>
      <w:r w:rsidR="00B7013D" w:rsidRPr="009F067D">
        <w:t>к эксплуатационному использованию</w:t>
      </w:r>
      <w:r w:rsidR="00102C54" w:rsidRPr="009F067D">
        <w:t xml:space="preserve"> </w:t>
      </w:r>
      <w:r w:rsidR="00B7013D" w:rsidRPr="009F067D">
        <w:t>таких аппаратов</w:t>
      </w:r>
      <w:r w:rsidR="00102C54" w:rsidRPr="009F067D">
        <w:t xml:space="preserve">, </w:t>
      </w:r>
      <w:r w:rsidR="00B7013D" w:rsidRPr="009F067D">
        <w:t xml:space="preserve">необходимо </w:t>
      </w:r>
      <w:r w:rsidR="00BC2711" w:rsidRPr="009F067D">
        <w:t>изучить</w:t>
      </w:r>
      <w:r w:rsidR="00B7013D" w:rsidRPr="009F067D">
        <w:t xml:space="preserve"> все регламентарные вопросы, включая положения Регламента радиосвязи</w:t>
      </w:r>
      <w:r w:rsidR="00102C54" w:rsidRPr="009F067D">
        <w:t xml:space="preserve"> (</w:t>
      </w:r>
      <w:r w:rsidR="00B7013D" w:rsidRPr="009F067D">
        <w:t>РР</w:t>
      </w:r>
      <w:r w:rsidR="00102C54" w:rsidRPr="009F067D">
        <w:t xml:space="preserve">), </w:t>
      </w:r>
      <w:r w:rsidR="00B7013D" w:rsidRPr="009F067D">
        <w:t>и определить,</w:t>
      </w:r>
      <w:r w:rsidR="00102C54" w:rsidRPr="009F067D">
        <w:t xml:space="preserve"> </w:t>
      </w:r>
      <w:r w:rsidR="00B7013D" w:rsidRPr="009F067D">
        <w:t xml:space="preserve">могут ли </w:t>
      </w:r>
      <w:r w:rsidR="00BC2711" w:rsidRPr="009F067D">
        <w:t>службы</w:t>
      </w:r>
      <w:r w:rsidR="00B7013D" w:rsidRPr="009F067D">
        <w:t xml:space="preserve"> электросвязи</w:t>
      </w:r>
      <w:r w:rsidR="00BC2711" w:rsidRPr="009F067D">
        <w:t>, используемые</w:t>
      </w:r>
      <w:r w:rsidR="00102C54" w:rsidRPr="009F067D">
        <w:t xml:space="preserve"> </w:t>
      </w:r>
      <w:r w:rsidR="00BC2711" w:rsidRPr="006E08D8">
        <w:t>суборбитальными аппаратами,</w:t>
      </w:r>
      <w:r w:rsidR="00102C54" w:rsidRPr="009F067D">
        <w:t xml:space="preserve"> </w:t>
      </w:r>
      <w:r w:rsidR="00BC2711" w:rsidRPr="009F067D">
        <w:t>рассматриваться как часть существующих служб радиосвязи</w:t>
      </w:r>
      <w:r w:rsidR="00102C54" w:rsidRPr="009F067D">
        <w:t xml:space="preserve"> </w:t>
      </w:r>
      <w:r w:rsidR="00BC2711" w:rsidRPr="009F067D">
        <w:t>или</w:t>
      </w:r>
      <w:r w:rsidR="00102C54" w:rsidRPr="009F067D">
        <w:t xml:space="preserve"> </w:t>
      </w:r>
      <w:r w:rsidR="00BC2711" w:rsidRPr="009F067D">
        <w:t>необходимо, чтобы</w:t>
      </w:r>
      <w:r w:rsidR="00102C54" w:rsidRPr="009F067D">
        <w:t xml:space="preserve"> </w:t>
      </w:r>
      <w:r w:rsidR="00BC2711" w:rsidRPr="009F067D">
        <w:t>будущая Всемирная конференция радиосвязи</w:t>
      </w:r>
      <w:r w:rsidR="00102C54" w:rsidRPr="009F067D">
        <w:t xml:space="preserve"> </w:t>
      </w:r>
      <w:r w:rsidR="00BC2711" w:rsidRPr="009F067D">
        <w:t>определила</w:t>
      </w:r>
      <w:r w:rsidR="00102C54" w:rsidRPr="009F067D">
        <w:t xml:space="preserve"> </w:t>
      </w:r>
      <w:r w:rsidR="00BC2711" w:rsidRPr="009F067D">
        <w:t>новые службы радиосвязи</w:t>
      </w:r>
      <w:r w:rsidR="0007291E" w:rsidRPr="009F067D">
        <w:t>, или, в том числе, может ли она</w:t>
      </w:r>
      <w:r w:rsidR="00102C54" w:rsidRPr="009F067D">
        <w:t xml:space="preserve"> </w:t>
      </w:r>
      <w:r w:rsidR="0007291E" w:rsidRPr="009F067D">
        <w:t>присвоить полосы частот</w:t>
      </w:r>
      <w:r w:rsidR="00102C54" w:rsidRPr="009F067D">
        <w:t xml:space="preserve"> </w:t>
      </w:r>
      <w:r w:rsidR="0007291E" w:rsidRPr="009F067D">
        <w:t>этим службам, чтобы удовлетворить потребности</w:t>
      </w:r>
      <w:r w:rsidR="00102C54" w:rsidRPr="009F067D">
        <w:t xml:space="preserve"> </w:t>
      </w:r>
      <w:r w:rsidR="0007291E" w:rsidRPr="009F067D">
        <w:t>этих аппаратов</w:t>
      </w:r>
      <w:r w:rsidR="00102C54" w:rsidRPr="009F067D">
        <w:t>.</w:t>
      </w:r>
    </w:p>
    <w:p w14:paraId="755EABBC" w14:textId="0C4D4179" w:rsidR="00102C54" w:rsidRPr="009F067D" w:rsidRDefault="00AB3E57" w:rsidP="00102C54">
      <w:pPr>
        <w:pStyle w:val="Headingb"/>
        <w:rPr>
          <w:lang w:val="ru-RU"/>
        </w:rPr>
      </w:pPr>
      <w:r w:rsidRPr="009F067D">
        <w:rPr>
          <w:lang w:val="ru-RU"/>
        </w:rPr>
        <w:t>Базовая информация</w:t>
      </w:r>
    </w:p>
    <w:p w14:paraId="4BEF4402" w14:textId="6B1B2734" w:rsidR="00102C54" w:rsidRPr="009F067D" w:rsidRDefault="00E2728E" w:rsidP="00102C54">
      <w:r w:rsidRPr="009F067D">
        <w:t>Прогресс в области развития силовых установок</w:t>
      </w:r>
      <w:r w:rsidR="00102C54" w:rsidRPr="009F067D">
        <w:t xml:space="preserve"> </w:t>
      </w:r>
      <w:r w:rsidRPr="009F067D">
        <w:t>и</w:t>
      </w:r>
      <w:r w:rsidR="00102C54" w:rsidRPr="009F067D">
        <w:t xml:space="preserve"> </w:t>
      </w:r>
      <w:r w:rsidRPr="009F067D">
        <w:t>ракетных двигателей</w:t>
      </w:r>
      <w:r w:rsidR="00102C54" w:rsidRPr="009F067D">
        <w:t xml:space="preserve"> </w:t>
      </w:r>
      <w:r w:rsidRPr="009F067D">
        <w:t>облегчил процесс проектирования</w:t>
      </w:r>
      <w:r w:rsidR="00102C54" w:rsidRPr="009F067D">
        <w:t xml:space="preserve"> </w:t>
      </w:r>
      <w:r w:rsidRPr="009F067D">
        <w:t>аппаратов,</w:t>
      </w:r>
      <w:r w:rsidR="00102C54" w:rsidRPr="009F067D">
        <w:t xml:space="preserve"> </w:t>
      </w:r>
      <w:r w:rsidRPr="009F067D">
        <w:t>которые могут достигать высот, превышающих 100 км, известны</w:t>
      </w:r>
      <w:r w:rsidR="00951A9F" w:rsidRPr="009F067D">
        <w:t>х</w:t>
      </w:r>
      <w:r w:rsidRPr="009F067D">
        <w:t xml:space="preserve"> также как</w:t>
      </w:r>
      <w:r w:rsidRPr="00582F89">
        <w:t xml:space="preserve"> суборбитальные полеты</w:t>
      </w:r>
      <w:r w:rsidRPr="009F067D">
        <w:t>, и затем возвращаться на землю без достижения орбиты или выхода в дальний космос</w:t>
      </w:r>
      <w:r w:rsidR="00F570CD" w:rsidRPr="009F067D">
        <w:t xml:space="preserve">. </w:t>
      </w:r>
      <w:r w:rsidR="008A1EDC" w:rsidRPr="009F067D">
        <w:t>С</w:t>
      </w:r>
      <w:r w:rsidR="008A1EDC" w:rsidRPr="00582F89">
        <w:t>уборбитальный</w:t>
      </w:r>
      <w:r w:rsidR="008A1EDC" w:rsidRPr="009F067D">
        <w:t xml:space="preserve"> аппарат может использоваться для целей к</w:t>
      </w:r>
      <w:r w:rsidR="008A1EDC" w:rsidRPr="006E08D8">
        <w:t>оммерческих космических полетов</w:t>
      </w:r>
      <w:r w:rsidR="00102C54" w:rsidRPr="009F067D">
        <w:t xml:space="preserve">, </w:t>
      </w:r>
      <w:r w:rsidR="008A1EDC" w:rsidRPr="009F067D">
        <w:t>научных исследований</w:t>
      </w:r>
      <w:r w:rsidR="00102C54" w:rsidRPr="009F067D">
        <w:t xml:space="preserve">, </w:t>
      </w:r>
      <w:r w:rsidR="008A1EDC" w:rsidRPr="009F067D">
        <w:t>полета из одной точки в другую</w:t>
      </w:r>
      <w:r w:rsidR="00102C54" w:rsidRPr="009F067D">
        <w:t xml:space="preserve">, </w:t>
      </w:r>
      <w:r w:rsidR="008A1EDC" w:rsidRPr="009F067D">
        <w:t>перевозки грузов</w:t>
      </w:r>
      <w:r w:rsidR="00102C54" w:rsidRPr="009F067D">
        <w:t xml:space="preserve"> </w:t>
      </w:r>
      <w:r w:rsidR="008A1EDC" w:rsidRPr="009F067D">
        <w:t>или</w:t>
      </w:r>
      <w:r w:rsidR="00102C54" w:rsidRPr="009F067D">
        <w:t xml:space="preserve"> </w:t>
      </w:r>
      <w:r w:rsidR="008A1EDC" w:rsidRPr="009F067D">
        <w:t>наблюдения Земли</w:t>
      </w:r>
      <w:r w:rsidR="00102C54" w:rsidRPr="009F067D">
        <w:t>.</w:t>
      </w:r>
    </w:p>
    <w:p w14:paraId="3510CC2E" w14:textId="2E7A874C" w:rsidR="00102C54" w:rsidRPr="009F067D" w:rsidRDefault="006104EE" w:rsidP="007F3F7D">
      <w:r w:rsidRPr="009F067D">
        <w:t>Коммерческий космический полет</w:t>
      </w:r>
      <w:r w:rsidR="00102C54" w:rsidRPr="009F067D">
        <w:t xml:space="preserve"> </w:t>
      </w:r>
      <w:r w:rsidR="009C33D5" w:rsidRPr="009F067D">
        <w:t>стал реальностью,</w:t>
      </w:r>
      <w:r w:rsidR="00102C54" w:rsidRPr="009F067D">
        <w:t xml:space="preserve"> </w:t>
      </w:r>
      <w:r w:rsidR="009C33D5" w:rsidRPr="009F067D">
        <w:t>благодаря компаниям, обещающим сделать космические полеты</w:t>
      </w:r>
      <w:r w:rsidR="00951A9F" w:rsidRPr="009F067D">
        <w:t xml:space="preserve"> возможными</w:t>
      </w:r>
      <w:r w:rsidR="00102C54" w:rsidRPr="009F067D">
        <w:t xml:space="preserve">. </w:t>
      </w:r>
      <w:r w:rsidR="009C33D5" w:rsidRPr="009F067D">
        <w:t>Всемирная конференция радиосвязи</w:t>
      </w:r>
      <w:r w:rsidR="00102C54" w:rsidRPr="009F067D">
        <w:t xml:space="preserve"> 2015 </w:t>
      </w:r>
      <w:r w:rsidR="009C33D5" w:rsidRPr="009F067D">
        <w:t>года</w:t>
      </w:r>
      <w:r w:rsidR="00102C54" w:rsidRPr="009F067D">
        <w:t xml:space="preserve"> (ВКР-15) </w:t>
      </w:r>
      <w:r w:rsidR="009C33D5" w:rsidRPr="009F067D">
        <w:t xml:space="preserve">приняла </w:t>
      </w:r>
      <w:r w:rsidR="009C33D5" w:rsidRPr="009F067D">
        <w:lastRenderedPageBreak/>
        <w:t>Резолюцию</w:t>
      </w:r>
      <w:r w:rsidR="00102C54" w:rsidRPr="009F067D">
        <w:t> </w:t>
      </w:r>
      <w:r w:rsidR="00102C54" w:rsidRPr="009F067D">
        <w:rPr>
          <w:b/>
        </w:rPr>
        <w:t>763 (ВКР</w:t>
      </w:r>
      <w:r w:rsidR="00102C54" w:rsidRPr="009F067D">
        <w:rPr>
          <w:b/>
        </w:rPr>
        <w:noBreakHyphen/>
        <w:t>15)</w:t>
      </w:r>
      <w:r w:rsidR="009C33D5" w:rsidRPr="009F067D">
        <w:t>, касающуюся станций</w:t>
      </w:r>
      <w:r w:rsidR="00102C54" w:rsidRPr="009F067D">
        <w:t xml:space="preserve"> </w:t>
      </w:r>
      <w:r w:rsidR="009C33D5" w:rsidRPr="009F067D">
        <w:t>на</w:t>
      </w:r>
      <w:r w:rsidR="00102C54" w:rsidRPr="009F067D">
        <w:t xml:space="preserve"> </w:t>
      </w:r>
      <w:r w:rsidR="009C33D5" w:rsidRPr="009F067D">
        <w:t>борту суборбитальных аппаратов</w:t>
      </w:r>
      <w:r w:rsidR="00102C54" w:rsidRPr="009F067D">
        <w:rPr>
          <w:rStyle w:val="FootnoteReference"/>
        </w:rPr>
        <w:footnoteReference w:id="1"/>
      </w:r>
      <w:r w:rsidR="00102C54" w:rsidRPr="009F067D">
        <w:t xml:space="preserve">. </w:t>
      </w:r>
      <w:r w:rsidR="009C33D5" w:rsidRPr="009F067D">
        <w:t>Было решено провести исследования</w:t>
      </w:r>
      <w:r w:rsidR="00102C54" w:rsidRPr="009F067D">
        <w:t xml:space="preserve"> </w:t>
      </w:r>
      <w:r w:rsidR="009C33D5" w:rsidRPr="009F067D">
        <w:rPr>
          <w:color w:val="000000"/>
          <w:shd w:val="clear" w:color="auto" w:fill="FFFFFF"/>
        </w:rPr>
        <w:t>в ходе исследовательского цикла</w:t>
      </w:r>
      <w:r w:rsidR="009C33D5" w:rsidRPr="009F067D">
        <w:t xml:space="preserve"> ВКР</w:t>
      </w:r>
      <w:r w:rsidR="00102C54" w:rsidRPr="009F067D">
        <w:t>-19:</w:t>
      </w:r>
    </w:p>
    <w:p w14:paraId="6075D72D" w14:textId="5A99D57F" w:rsidR="00102C54" w:rsidRPr="009F067D" w:rsidRDefault="00102C54" w:rsidP="00102C54">
      <w:pPr>
        <w:pStyle w:val="enumlev1"/>
      </w:pPr>
      <w:r w:rsidRPr="009F067D">
        <w:t>•</w:t>
      </w:r>
      <w:r w:rsidRPr="009F067D">
        <w:tab/>
        <w:t>чтобы определить любые необходимые технические и эксплуатационные меры, касающиеся станций на борту суборбитальных аппаратов, которые помогли бы избежать создания вредных помех между службами радиосвязи;</w:t>
      </w:r>
    </w:p>
    <w:p w14:paraId="23CCCAB7" w14:textId="5AA04F0A" w:rsidR="00102C54" w:rsidRPr="009F067D" w:rsidRDefault="00102C54" w:rsidP="00102C54">
      <w:pPr>
        <w:pStyle w:val="enumlev1"/>
      </w:pPr>
      <w:r w:rsidRPr="009F067D">
        <w:t>•</w:t>
      </w:r>
      <w:r w:rsidRPr="009F067D">
        <w:tab/>
        <w:t>чтобы определить потребности в спектре и на основе результатов этих исследований рассмотреть возможный будущий пункт повестки дня для ВКР-23.</w:t>
      </w:r>
    </w:p>
    <w:p w14:paraId="0289A181" w14:textId="39DDDF30" w:rsidR="00102C54" w:rsidRPr="009F067D" w:rsidRDefault="00AD0F84" w:rsidP="00102C54">
      <w:r w:rsidRPr="009F067D">
        <w:t>Следует также отметить, что</w:t>
      </w:r>
      <w:r w:rsidR="00102C54" w:rsidRPr="009F067D">
        <w:t xml:space="preserve"> </w:t>
      </w:r>
      <w:r w:rsidRPr="009F067D">
        <w:t>в</w:t>
      </w:r>
      <w:r w:rsidR="00102C54" w:rsidRPr="009F067D">
        <w:t xml:space="preserve"> 2015 </w:t>
      </w:r>
      <w:r w:rsidRPr="009F067D">
        <w:t xml:space="preserve">МСЭ-R </w:t>
      </w:r>
      <w:r w:rsidRPr="006E08D8">
        <w:t xml:space="preserve">сформулировал Вопрос </w:t>
      </w:r>
      <w:r w:rsidR="00102C54" w:rsidRPr="009F067D">
        <w:t xml:space="preserve">МСЭ-R </w:t>
      </w:r>
      <w:bookmarkStart w:id="7" w:name="_Hlk16793812"/>
      <w:r w:rsidR="00102C54" w:rsidRPr="009F067D">
        <w:fldChar w:fldCharType="begin"/>
      </w:r>
      <w:r w:rsidR="00102C54" w:rsidRPr="009F067D">
        <w:instrText xml:space="preserve"> HYPERLINK "http://www.itu.int/pub/R-QUE-SG05.259" </w:instrText>
      </w:r>
      <w:r w:rsidR="00102C54" w:rsidRPr="009F067D">
        <w:fldChar w:fldCharType="separate"/>
      </w:r>
      <w:r w:rsidR="00102C54" w:rsidRPr="009F067D">
        <w:rPr>
          <w:rStyle w:val="Hyperlink"/>
        </w:rPr>
        <w:t>259/5</w:t>
      </w:r>
      <w:r w:rsidR="00102C54" w:rsidRPr="009F067D">
        <w:fldChar w:fldCharType="end"/>
      </w:r>
      <w:bookmarkEnd w:id="7"/>
      <w:r w:rsidR="00102C54" w:rsidRPr="009F067D">
        <w:t xml:space="preserve"> "Эксплуатационные и </w:t>
      </w:r>
      <w:proofErr w:type="spellStart"/>
      <w:r w:rsidR="00102C54" w:rsidRPr="009F067D">
        <w:t>радиорегламентарные</w:t>
      </w:r>
      <w:proofErr w:type="spellEnd"/>
      <w:r w:rsidR="00102C54" w:rsidRPr="009F067D">
        <w:t xml:space="preserve"> аспекты, касающиеся самолетов, которые эксплуатируются в верхних слоях атмосферы", </w:t>
      </w:r>
      <w:r w:rsidRPr="009F067D">
        <w:t>и что</w:t>
      </w:r>
      <w:r w:rsidR="00102C54" w:rsidRPr="009F067D">
        <w:t xml:space="preserve"> </w:t>
      </w:r>
      <w:r w:rsidRPr="009F067D">
        <w:t>исследования, предпринятые в рамках этого Вопроса,</w:t>
      </w:r>
      <w:r w:rsidR="00102C54" w:rsidRPr="009F067D">
        <w:t xml:space="preserve"> </w:t>
      </w:r>
      <w:r w:rsidRPr="009F067D">
        <w:t>связаны с Резолюцией</w:t>
      </w:r>
      <w:r w:rsidR="00102C54" w:rsidRPr="009F067D">
        <w:t xml:space="preserve"> </w:t>
      </w:r>
      <w:r w:rsidR="00102C54" w:rsidRPr="009F067D">
        <w:rPr>
          <w:b/>
        </w:rPr>
        <w:t>763 (ВКР-15)</w:t>
      </w:r>
      <w:r w:rsidR="00102C54" w:rsidRPr="009F067D">
        <w:t xml:space="preserve">. </w:t>
      </w:r>
      <w:r w:rsidRPr="009F067D">
        <w:t>В частности</w:t>
      </w:r>
      <w:r w:rsidR="00102C54" w:rsidRPr="009F067D">
        <w:t xml:space="preserve">, </w:t>
      </w:r>
      <w:r w:rsidRPr="009F067D">
        <w:t xml:space="preserve">в пункте </w:t>
      </w:r>
      <w:r w:rsidRPr="009F067D">
        <w:rPr>
          <w:i/>
          <w:iCs/>
        </w:rPr>
        <w:t>3</w:t>
      </w:r>
      <w:r w:rsidRPr="009F067D">
        <w:t xml:space="preserve"> раздела </w:t>
      </w:r>
      <w:r w:rsidRPr="009F067D">
        <w:rPr>
          <w:i/>
          <w:iCs/>
        </w:rPr>
        <w:t>решает</w:t>
      </w:r>
      <w:r w:rsidRPr="009F067D">
        <w:t xml:space="preserve"> этого Вопроса </w:t>
      </w:r>
      <w:r w:rsidRPr="009F067D">
        <w:rPr>
          <w:i/>
        </w:rPr>
        <w:t>спрашивается</w:t>
      </w:r>
      <w:r w:rsidR="00AB291E" w:rsidRPr="009F067D">
        <w:t>,</w:t>
      </w:r>
      <w:r w:rsidR="00102C54" w:rsidRPr="009F067D">
        <w:t xml:space="preserve"> "</w:t>
      </w:r>
      <w:r w:rsidR="00AB291E" w:rsidRPr="009F067D">
        <w:t>к</w:t>
      </w:r>
      <w:r w:rsidR="00907052" w:rsidRPr="009F067D">
        <w:t xml:space="preserve">акие радиолинии потребуются для обеспечения полетов </w:t>
      </w:r>
      <w:r w:rsidRPr="009F067D">
        <w:t xml:space="preserve">космических </w:t>
      </w:r>
      <w:r w:rsidR="00907052" w:rsidRPr="009F067D">
        <w:t>самолетов и под определение какой службы радиосвязи они подпадают</w:t>
      </w:r>
      <w:r w:rsidR="00102C54" w:rsidRPr="009F067D">
        <w:t>?"</w:t>
      </w:r>
    </w:p>
    <w:p w14:paraId="75058F3A" w14:textId="0E59D595" w:rsidR="00102C54" w:rsidRPr="009F067D" w:rsidRDefault="00AB291E" w:rsidP="00102C54">
      <w:r w:rsidRPr="009F067D">
        <w:t>Суборбитальные аппараты</w:t>
      </w:r>
      <w:r w:rsidR="00102C54" w:rsidRPr="009F067D">
        <w:t xml:space="preserve">, </w:t>
      </w:r>
      <w:r w:rsidRPr="009F067D">
        <w:t>включая</w:t>
      </w:r>
      <w:r w:rsidR="00102C54" w:rsidRPr="009F067D">
        <w:t xml:space="preserve"> </w:t>
      </w:r>
      <w:r w:rsidRPr="009F067D">
        <w:t>космические самолеты</w:t>
      </w:r>
      <w:r w:rsidR="00102C54" w:rsidRPr="009F067D">
        <w:t xml:space="preserve">, </w:t>
      </w:r>
      <w:r w:rsidRPr="009F067D">
        <w:t>были разработаны</w:t>
      </w:r>
      <w:r w:rsidRPr="006E08D8">
        <w:t xml:space="preserve"> для выхода за пределы основной части атмосферы Земли</w:t>
      </w:r>
      <w:r w:rsidR="00CE58D3" w:rsidRPr="006E08D8">
        <w:t xml:space="preserve"> на короткие периоды времени</w:t>
      </w:r>
      <w:r w:rsidR="00102C54" w:rsidRPr="009F067D">
        <w:t xml:space="preserve">, </w:t>
      </w:r>
      <w:r w:rsidRPr="009F067D">
        <w:t xml:space="preserve">однако </w:t>
      </w:r>
      <w:r w:rsidR="00CE58D3" w:rsidRPr="006E08D8">
        <w:t>на определенных этапах полета</w:t>
      </w:r>
      <w:r w:rsidR="00CE58D3" w:rsidRPr="009F067D">
        <w:t xml:space="preserve"> </w:t>
      </w:r>
      <w:r w:rsidRPr="009F067D">
        <w:t>они должны также</w:t>
      </w:r>
      <w:r w:rsidR="00102C54" w:rsidRPr="009F067D">
        <w:t xml:space="preserve"> </w:t>
      </w:r>
      <w:r w:rsidRPr="006E08D8">
        <w:t>использовать воздушное пространство совместно с обычными воздушными судами</w:t>
      </w:r>
      <w:r w:rsidR="00102C54" w:rsidRPr="009F067D">
        <w:t xml:space="preserve">. </w:t>
      </w:r>
      <w:r w:rsidRPr="009F067D">
        <w:t>Эти</w:t>
      </w:r>
      <w:r w:rsidR="00102C54" w:rsidRPr="009F067D">
        <w:t xml:space="preserve"> </w:t>
      </w:r>
      <w:r w:rsidRPr="009F067D">
        <w:t>аппараты</w:t>
      </w:r>
      <w:r w:rsidR="00102C54" w:rsidRPr="009F067D">
        <w:t xml:space="preserve"> </w:t>
      </w:r>
      <w:r w:rsidR="001C24FA" w:rsidRPr="009F067D">
        <w:t xml:space="preserve">могут </w:t>
      </w:r>
      <w:r w:rsidRPr="009F067D">
        <w:t>достигать космоса</w:t>
      </w:r>
      <w:r w:rsidR="00102C54" w:rsidRPr="009F067D">
        <w:t xml:space="preserve"> </w:t>
      </w:r>
      <w:r w:rsidRPr="009F067D">
        <w:t xml:space="preserve">и </w:t>
      </w:r>
      <w:r w:rsidR="001C24FA" w:rsidRPr="006E08D8">
        <w:t>выполнять, например, такие задачи</w:t>
      </w:r>
      <w:r w:rsidR="00102C54" w:rsidRPr="009F067D">
        <w:t xml:space="preserve">, </w:t>
      </w:r>
      <w:r w:rsidR="001C24FA" w:rsidRPr="009F067D">
        <w:t>как</w:t>
      </w:r>
      <w:r w:rsidR="00102C54" w:rsidRPr="009F067D">
        <w:t xml:space="preserve"> </w:t>
      </w:r>
      <w:r w:rsidR="001C24FA" w:rsidRPr="006E08D8">
        <w:t>развертывание космических аппаратов, проведение научных исследований или</w:t>
      </w:r>
      <w:r w:rsidR="00102C54" w:rsidRPr="009F067D">
        <w:t xml:space="preserve"> </w:t>
      </w:r>
      <w:r w:rsidR="001C24FA" w:rsidRPr="009F067D">
        <w:t>участи</w:t>
      </w:r>
      <w:r w:rsidR="00CE58D3" w:rsidRPr="009F067D">
        <w:t>е</w:t>
      </w:r>
      <w:r w:rsidR="001C24FA" w:rsidRPr="009F067D">
        <w:t xml:space="preserve"> туристов в космических полетах</w:t>
      </w:r>
      <w:r w:rsidR="00102C54" w:rsidRPr="009F067D">
        <w:t xml:space="preserve">, </w:t>
      </w:r>
      <w:r w:rsidR="001C24FA" w:rsidRPr="009F067D">
        <w:t>и затем</w:t>
      </w:r>
      <w:r w:rsidR="00102C54" w:rsidRPr="009F067D">
        <w:t xml:space="preserve"> </w:t>
      </w:r>
      <w:r w:rsidR="001C24FA" w:rsidRPr="009F067D">
        <w:t>возвращаться на поверхность Земли</w:t>
      </w:r>
      <w:r w:rsidR="00102C54" w:rsidRPr="009F067D">
        <w:t>.</w:t>
      </w:r>
    </w:p>
    <w:p w14:paraId="71549B35" w14:textId="3EE39F42" w:rsidR="00102C54" w:rsidRPr="00582F89" w:rsidRDefault="00195553" w:rsidP="00102C54">
      <w:pPr>
        <w:rPr>
          <w:color w:val="000000"/>
          <w:shd w:val="clear" w:color="auto" w:fill="FFFFFF"/>
        </w:rPr>
      </w:pPr>
      <w:r w:rsidRPr="009F067D">
        <w:t xml:space="preserve">Связь с этими суборбитальными </w:t>
      </w:r>
      <w:r w:rsidR="00AB291E" w:rsidRPr="009F067D">
        <w:t>аппарат</w:t>
      </w:r>
      <w:r w:rsidRPr="009F067D">
        <w:t>ами</w:t>
      </w:r>
      <w:r w:rsidR="00102C54" w:rsidRPr="009F067D">
        <w:t xml:space="preserve"> </w:t>
      </w:r>
      <w:r w:rsidRPr="009F067D">
        <w:t>в настоящее время осуществляется</w:t>
      </w:r>
      <w:r w:rsidR="00102C54" w:rsidRPr="009F067D">
        <w:t xml:space="preserve"> </w:t>
      </w:r>
      <w:r w:rsidRPr="009F067D">
        <w:t xml:space="preserve">посредством </w:t>
      </w:r>
      <w:r w:rsidRPr="006E08D8">
        <w:t>телеметрии, с помощью станций телеуправления и контроля (TT&amp;C)</w:t>
      </w:r>
      <w:r w:rsidR="00102C54" w:rsidRPr="009F067D">
        <w:t xml:space="preserve">, </w:t>
      </w:r>
      <w:r w:rsidRPr="009F067D">
        <w:t>иногда работающих в рамках</w:t>
      </w:r>
      <w:r w:rsidR="00102C54" w:rsidRPr="009F067D">
        <w:t xml:space="preserve"> </w:t>
      </w:r>
      <w:r w:rsidRPr="006E08D8">
        <w:t>службы космической эксплуатации (СКЭ)</w:t>
      </w:r>
      <w:r w:rsidR="00102C54" w:rsidRPr="009F067D">
        <w:t xml:space="preserve">, </w:t>
      </w:r>
      <w:r w:rsidR="00C27901" w:rsidRPr="009F067D">
        <w:t>чтобы осуществлять</w:t>
      </w:r>
      <w:r w:rsidR="00102C54" w:rsidRPr="009F067D">
        <w:t xml:space="preserve"> </w:t>
      </w:r>
      <w:r w:rsidR="00C27901" w:rsidRPr="009F067D">
        <w:t>управление аппаратом</w:t>
      </w:r>
      <w:r w:rsidR="00102C54" w:rsidRPr="009F067D">
        <w:t xml:space="preserve">, </w:t>
      </w:r>
      <w:r w:rsidR="00C27901" w:rsidRPr="009F067D">
        <w:t>а также</w:t>
      </w:r>
      <w:r w:rsidR="00102C54" w:rsidRPr="009F067D">
        <w:t xml:space="preserve"> </w:t>
      </w:r>
      <w:r w:rsidR="00C27901" w:rsidRPr="009F067D">
        <w:t>средств связи</w:t>
      </w:r>
      <w:r w:rsidR="007F6BB7" w:rsidRPr="009F067D">
        <w:t>, относящихся к данному полету</w:t>
      </w:r>
      <w:r w:rsidR="00102C54" w:rsidRPr="009F067D">
        <w:t xml:space="preserve">. </w:t>
      </w:r>
      <w:r w:rsidR="007F6BB7" w:rsidRPr="009F067D">
        <w:t xml:space="preserve">В настоящее время не существует радиосвязи между функциями </w:t>
      </w:r>
      <w:r w:rsidR="007F6BB7" w:rsidRPr="009F067D">
        <w:rPr>
          <w:color w:val="000000"/>
          <w:shd w:val="clear" w:color="auto" w:fill="FFFFFF"/>
        </w:rPr>
        <w:t>организации воздушного движения (ОрВД)</w:t>
      </w:r>
      <w:r w:rsidR="00102C54" w:rsidRPr="00582F89">
        <w:rPr>
          <w:color w:val="000000"/>
          <w:shd w:val="clear" w:color="auto" w:fill="FFFFFF"/>
        </w:rPr>
        <w:t xml:space="preserve"> </w:t>
      </w:r>
      <w:r w:rsidR="007F6BB7" w:rsidRPr="00582F89">
        <w:rPr>
          <w:color w:val="000000"/>
          <w:shd w:val="clear" w:color="auto" w:fill="FFFFFF"/>
        </w:rPr>
        <w:t>или</w:t>
      </w:r>
      <w:r w:rsidR="00102C54" w:rsidRPr="00582F89">
        <w:rPr>
          <w:color w:val="000000"/>
          <w:shd w:val="clear" w:color="auto" w:fill="FFFFFF"/>
        </w:rPr>
        <w:t xml:space="preserve"> </w:t>
      </w:r>
      <w:r w:rsidR="007F6BB7" w:rsidRPr="00582F89">
        <w:rPr>
          <w:color w:val="000000"/>
          <w:shd w:val="clear" w:color="auto" w:fill="FFFFFF"/>
        </w:rPr>
        <w:t>управления воздушным движением (ATC) и</w:t>
      </w:r>
      <w:r w:rsidR="00102C54" w:rsidRPr="00582F89">
        <w:rPr>
          <w:color w:val="000000"/>
          <w:shd w:val="clear" w:color="auto" w:fill="FFFFFF"/>
        </w:rPr>
        <w:t xml:space="preserve"> </w:t>
      </w:r>
      <w:r w:rsidR="007F6BB7" w:rsidRPr="00582F89">
        <w:rPr>
          <w:color w:val="000000"/>
          <w:shd w:val="clear" w:color="auto" w:fill="FFFFFF"/>
        </w:rPr>
        <w:t xml:space="preserve">суборбитальными </w:t>
      </w:r>
      <w:r w:rsidR="00AB291E" w:rsidRPr="00582F89">
        <w:rPr>
          <w:color w:val="000000"/>
          <w:shd w:val="clear" w:color="auto" w:fill="FFFFFF"/>
        </w:rPr>
        <w:t>аппарат</w:t>
      </w:r>
      <w:r w:rsidR="007F6BB7" w:rsidRPr="00582F89">
        <w:rPr>
          <w:color w:val="000000"/>
          <w:shd w:val="clear" w:color="auto" w:fill="FFFFFF"/>
        </w:rPr>
        <w:t>ами</w:t>
      </w:r>
      <w:r w:rsidR="00102C54" w:rsidRPr="00582F89">
        <w:rPr>
          <w:color w:val="000000"/>
          <w:shd w:val="clear" w:color="auto" w:fill="FFFFFF"/>
        </w:rPr>
        <w:t>.</w:t>
      </w:r>
    </w:p>
    <w:p w14:paraId="55D329D4" w14:textId="209DAD21" w:rsidR="00102C54" w:rsidRPr="00582F89" w:rsidRDefault="00B3683F" w:rsidP="00102C54">
      <w:pPr>
        <w:rPr>
          <w:color w:val="000000"/>
          <w:shd w:val="clear" w:color="auto" w:fill="FFFFFF"/>
        </w:rPr>
      </w:pPr>
      <w:r w:rsidRPr="00582F89">
        <w:rPr>
          <w:color w:val="000000"/>
          <w:shd w:val="clear" w:color="auto" w:fill="FFFFFF"/>
        </w:rPr>
        <w:t>Вместе с тем</w:t>
      </w:r>
      <w:r w:rsidR="007F6BB7" w:rsidRPr="00582F89">
        <w:rPr>
          <w:color w:val="000000"/>
          <w:shd w:val="clear" w:color="auto" w:fill="FFFFFF"/>
        </w:rPr>
        <w:t>,</w:t>
      </w:r>
      <w:r w:rsidRPr="00582F89">
        <w:rPr>
          <w:color w:val="000000"/>
          <w:shd w:val="clear" w:color="auto" w:fill="FFFFFF"/>
        </w:rPr>
        <w:t xml:space="preserve"> во время перелета в космос и из космоса суборбитальные аппараты должны безопасно использовать воздушное пространство вместе с обычными воздушными судами</w:t>
      </w:r>
      <w:r w:rsidR="00102C54" w:rsidRPr="00582F89">
        <w:rPr>
          <w:color w:val="000000"/>
          <w:shd w:val="clear" w:color="auto" w:fill="FFFFFF"/>
        </w:rPr>
        <w:t xml:space="preserve">. </w:t>
      </w:r>
      <w:r w:rsidRPr="00582F89">
        <w:rPr>
          <w:color w:val="000000"/>
          <w:shd w:val="clear" w:color="auto" w:fill="FFFFFF"/>
        </w:rPr>
        <w:t>Для этого</w:t>
      </w:r>
      <w:r w:rsidR="00102C54" w:rsidRPr="00582F89">
        <w:rPr>
          <w:color w:val="000000"/>
          <w:shd w:val="clear" w:color="auto" w:fill="FFFFFF"/>
        </w:rPr>
        <w:t xml:space="preserve"> </w:t>
      </w:r>
      <w:r w:rsidRPr="00582F89">
        <w:rPr>
          <w:color w:val="000000"/>
          <w:shd w:val="clear" w:color="auto" w:fill="FFFFFF"/>
        </w:rPr>
        <w:t>большинство</w:t>
      </w:r>
      <w:r w:rsidR="00102C54" w:rsidRPr="00582F89">
        <w:rPr>
          <w:color w:val="000000"/>
          <w:shd w:val="clear" w:color="auto" w:fill="FFFFFF"/>
        </w:rPr>
        <w:t xml:space="preserve"> </w:t>
      </w:r>
      <w:r w:rsidRPr="00582F89">
        <w:rPr>
          <w:color w:val="000000"/>
          <w:shd w:val="clear" w:color="auto" w:fill="FFFFFF"/>
        </w:rPr>
        <w:t>поставщик</w:t>
      </w:r>
      <w:r w:rsidR="002215FC" w:rsidRPr="00582F89">
        <w:rPr>
          <w:color w:val="000000"/>
          <w:shd w:val="clear" w:color="auto" w:fill="FFFFFF"/>
        </w:rPr>
        <w:t>ов услуг</w:t>
      </w:r>
      <w:r w:rsidRPr="00582F89">
        <w:rPr>
          <w:color w:val="000000"/>
          <w:shd w:val="clear" w:color="auto" w:fill="FFFFFF"/>
        </w:rPr>
        <w:t xml:space="preserve"> </w:t>
      </w:r>
      <w:r w:rsidR="002215FC" w:rsidRPr="00582F89">
        <w:rPr>
          <w:color w:val="000000"/>
          <w:shd w:val="clear" w:color="auto" w:fill="FFFFFF"/>
        </w:rPr>
        <w:t>воздушной на</w:t>
      </w:r>
      <w:r w:rsidRPr="00582F89">
        <w:rPr>
          <w:color w:val="000000"/>
          <w:shd w:val="clear" w:color="auto" w:fill="FFFFFF"/>
        </w:rPr>
        <w:t>вигаци</w:t>
      </w:r>
      <w:r w:rsidR="002215FC" w:rsidRPr="00582F89">
        <w:rPr>
          <w:color w:val="000000"/>
          <w:shd w:val="clear" w:color="auto" w:fill="FFFFFF"/>
        </w:rPr>
        <w:t>и</w:t>
      </w:r>
      <w:r w:rsidR="00102C54" w:rsidRPr="00582F89">
        <w:rPr>
          <w:color w:val="000000"/>
          <w:shd w:val="clear" w:color="auto" w:fill="FFFFFF"/>
        </w:rPr>
        <w:t xml:space="preserve"> </w:t>
      </w:r>
      <w:r w:rsidR="002215FC" w:rsidRPr="00582F89">
        <w:rPr>
          <w:color w:val="000000"/>
          <w:shd w:val="clear" w:color="auto" w:fill="FFFFFF"/>
        </w:rPr>
        <w:t>обеспечивают в настоящее время</w:t>
      </w:r>
      <w:r w:rsidR="00102C54" w:rsidRPr="00582F89">
        <w:rPr>
          <w:color w:val="000000"/>
          <w:shd w:val="clear" w:color="auto" w:fill="FFFFFF"/>
        </w:rPr>
        <w:t xml:space="preserve"> </w:t>
      </w:r>
      <w:r w:rsidR="002215FC" w:rsidRPr="00582F89">
        <w:rPr>
          <w:color w:val="000000"/>
          <w:shd w:val="clear" w:color="auto" w:fill="FFFFFF"/>
        </w:rPr>
        <w:t>безопасн</w:t>
      </w:r>
      <w:r w:rsidR="009150BC" w:rsidRPr="00582F89">
        <w:rPr>
          <w:color w:val="000000"/>
          <w:shd w:val="clear" w:color="auto" w:fill="FFFFFF"/>
        </w:rPr>
        <w:t>ое</w:t>
      </w:r>
      <w:r w:rsidR="002215FC" w:rsidRPr="00582F89">
        <w:rPr>
          <w:color w:val="000000"/>
          <w:shd w:val="clear" w:color="auto" w:fill="FFFFFF"/>
        </w:rPr>
        <w:t xml:space="preserve"> </w:t>
      </w:r>
      <w:r w:rsidR="009150BC" w:rsidRPr="00582F89">
        <w:rPr>
          <w:color w:val="000000"/>
          <w:shd w:val="clear" w:color="auto" w:fill="FFFFFF"/>
        </w:rPr>
        <w:t>использование воздушного пространства</w:t>
      </w:r>
      <w:r w:rsidR="002215FC" w:rsidRPr="00582F89">
        <w:rPr>
          <w:color w:val="000000"/>
          <w:shd w:val="clear" w:color="auto" w:fill="FFFFFF"/>
        </w:rPr>
        <w:t>,</w:t>
      </w:r>
      <w:r w:rsidR="00102C54" w:rsidRPr="00582F89">
        <w:rPr>
          <w:color w:val="000000"/>
          <w:shd w:val="clear" w:color="auto" w:fill="FFFFFF"/>
        </w:rPr>
        <w:t xml:space="preserve"> </w:t>
      </w:r>
      <w:r w:rsidR="002215FC" w:rsidRPr="00582F89">
        <w:rPr>
          <w:color w:val="000000"/>
          <w:shd w:val="clear" w:color="auto" w:fill="FFFFFF"/>
        </w:rPr>
        <w:t xml:space="preserve">полностью </w:t>
      </w:r>
      <w:r w:rsidR="009150BC" w:rsidRPr="00582F89">
        <w:rPr>
          <w:color w:val="000000"/>
          <w:shd w:val="clear" w:color="auto" w:fill="FFFFFF"/>
        </w:rPr>
        <w:t>изолируя</w:t>
      </w:r>
      <w:r w:rsidR="002215FC" w:rsidRPr="00582F89">
        <w:rPr>
          <w:color w:val="000000"/>
          <w:shd w:val="clear" w:color="auto" w:fill="FFFFFF"/>
        </w:rPr>
        <w:t xml:space="preserve"> суборбитальные</w:t>
      </w:r>
      <w:r w:rsidR="00102C54" w:rsidRPr="00582F89">
        <w:rPr>
          <w:color w:val="000000"/>
          <w:shd w:val="clear" w:color="auto" w:fill="FFFFFF"/>
        </w:rPr>
        <w:t xml:space="preserve"> </w:t>
      </w:r>
      <w:r w:rsidR="00AB291E" w:rsidRPr="00582F89">
        <w:rPr>
          <w:color w:val="000000"/>
          <w:shd w:val="clear" w:color="auto" w:fill="FFFFFF"/>
        </w:rPr>
        <w:t>аппараты</w:t>
      </w:r>
      <w:r w:rsidR="00102C54" w:rsidRPr="00582F89">
        <w:rPr>
          <w:color w:val="000000"/>
          <w:shd w:val="clear" w:color="auto" w:fill="FFFFFF"/>
        </w:rPr>
        <w:t xml:space="preserve"> </w:t>
      </w:r>
      <w:r w:rsidR="002215FC" w:rsidRPr="00582F89">
        <w:rPr>
          <w:color w:val="000000"/>
          <w:shd w:val="clear" w:color="auto" w:fill="FFFFFF"/>
        </w:rPr>
        <w:t>от других воздушных судов</w:t>
      </w:r>
      <w:r w:rsidR="00102C54" w:rsidRPr="00582F89">
        <w:rPr>
          <w:color w:val="000000"/>
          <w:shd w:val="clear" w:color="auto" w:fill="FFFFFF"/>
        </w:rPr>
        <w:t xml:space="preserve"> </w:t>
      </w:r>
      <w:r w:rsidR="002215FC" w:rsidRPr="00582F89">
        <w:rPr>
          <w:color w:val="000000"/>
          <w:shd w:val="clear" w:color="auto" w:fill="FFFFFF"/>
        </w:rPr>
        <w:t>во время</w:t>
      </w:r>
      <w:r w:rsidR="00102C54" w:rsidRPr="00582F89">
        <w:rPr>
          <w:color w:val="000000"/>
          <w:shd w:val="clear" w:color="auto" w:fill="FFFFFF"/>
        </w:rPr>
        <w:t xml:space="preserve"> </w:t>
      </w:r>
      <w:r w:rsidR="002215FC" w:rsidRPr="00582F89">
        <w:rPr>
          <w:color w:val="000000"/>
          <w:shd w:val="clear" w:color="auto" w:fill="FFFFFF"/>
        </w:rPr>
        <w:t>их запуска и возврата</w:t>
      </w:r>
      <w:r w:rsidR="009150BC" w:rsidRPr="00582F89">
        <w:rPr>
          <w:color w:val="000000"/>
          <w:shd w:val="clear" w:color="auto" w:fill="FFFFFF"/>
        </w:rPr>
        <w:t>, а также</w:t>
      </w:r>
      <w:r w:rsidR="00102C54" w:rsidRPr="00582F89">
        <w:rPr>
          <w:color w:val="000000"/>
          <w:shd w:val="clear" w:color="auto" w:fill="FFFFFF"/>
        </w:rPr>
        <w:t xml:space="preserve"> </w:t>
      </w:r>
      <w:r w:rsidR="009150BC" w:rsidRPr="00582F89">
        <w:rPr>
          <w:color w:val="000000"/>
          <w:shd w:val="clear" w:color="auto" w:fill="FFFFFF"/>
        </w:rPr>
        <w:t>освобождая</w:t>
      </w:r>
      <w:r w:rsidR="00102C54" w:rsidRPr="00582F89">
        <w:rPr>
          <w:color w:val="000000"/>
          <w:shd w:val="clear" w:color="auto" w:fill="FFFFFF"/>
        </w:rPr>
        <w:t xml:space="preserve"> </w:t>
      </w:r>
      <w:r w:rsidR="009150BC" w:rsidRPr="00582F89">
        <w:rPr>
          <w:color w:val="000000"/>
          <w:shd w:val="clear" w:color="auto" w:fill="FFFFFF"/>
        </w:rPr>
        <w:t>воздушное пространство от</w:t>
      </w:r>
      <w:r w:rsidR="00102C54" w:rsidRPr="00582F89">
        <w:rPr>
          <w:color w:val="000000"/>
          <w:shd w:val="clear" w:color="auto" w:fill="FFFFFF"/>
        </w:rPr>
        <w:t xml:space="preserve"> </w:t>
      </w:r>
      <w:r w:rsidR="009150BC" w:rsidRPr="00582F89">
        <w:rPr>
          <w:color w:val="000000"/>
          <w:shd w:val="clear" w:color="auto" w:fill="FFFFFF"/>
        </w:rPr>
        <w:t>воздушных судов</w:t>
      </w:r>
      <w:r w:rsidR="00102C54" w:rsidRPr="00582F89">
        <w:rPr>
          <w:color w:val="000000"/>
          <w:shd w:val="clear" w:color="auto" w:fill="FFFFFF"/>
        </w:rPr>
        <w:t xml:space="preserve"> </w:t>
      </w:r>
      <w:r w:rsidR="009150BC" w:rsidRPr="00582F89">
        <w:rPr>
          <w:color w:val="000000"/>
          <w:shd w:val="clear" w:color="auto" w:fill="FFFFFF"/>
        </w:rPr>
        <w:t>в трехмерном пространстве</w:t>
      </w:r>
      <w:r w:rsidR="00016955" w:rsidRPr="00582F89">
        <w:rPr>
          <w:color w:val="000000"/>
          <w:shd w:val="clear" w:color="auto" w:fill="FFFFFF"/>
        </w:rPr>
        <w:t>,</w:t>
      </w:r>
      <w:r w:rsidR="00102C54" w:rsidRPr="00582F89">
        <w:rPr>
          <w:color w:val="000000"/>
          <w:shd w:val="clear" w:color="auto" w:fill="FFFFFF"/>
        </w:rPr>
        <w:t xml:space="preserve"> </w:t>
      </w:r>
      <w:r w:rsidR="00016955" w:rsidRPr="00582F89">
        <w:rPr>
          <w:color w:val="000000"/>
          <w:shd w:val="clear" w:color="auto" w:fill="FFFFFF"/>
        </w:rPr>
        <w:t>а также во времени,</w:t>
      </w:r>
      <w:r w:rsidR="00102C54" w:rsidRPr="00582F89">
        <w:rPr>
          <w:color w:val="000000"/>
          <w:shd w:val="clear" w:color="auto" w:fill="FFFFFF"/>
        </w:rPr>
        <w:t xml:space="preserve"> </w:t>
      </w:r>
      <w:r w:rsidR="00016955" w:rsidRPr="00582F89">
        <w:rPr>
          <w:color w:val="000000"/>
          <w:shd w:val="clear" w:color="auto" w:fill="FFFFFF"/>
        </w:rPr>
        <w:t>чтобы обеспечить требуемый уровень безопасности</w:t>
      </w:r>
      <w:r w:rsidR="00582F89">
        <w:rPr>
          <w:color w:val="000000"/>
          <w:shd w:val="clear" w:color="auto" w:fill="FFFFFF"/>
        </w:rPr>
        <w:t xml:space="preserve">. </w:t>
      </w:r>
      <w:r w:rsidR="00016955" w:rsidRPr="00582F89">
        <w:rPr>
          <w:color w:val="000000"/>
          <w:shd w:val="clear" w:color="auto" w:fill="FFFFFF"/>
        </w:rPr>
        <w:t>Размеры покинутого воздушного пространства зависят от возможност</w:t>
      </w:r>
      <w:r w:rsidR="00066953" w:rsidRPr="00582F89">
        <w:rPr>
          <w:color w:val="000000"/>
          <w:shd w:val="clear" w:color="auto" w:fill="FFFFFF"/>
        </w:rPr>
        <w:t>ей</w:t>
      </w:r>
      <w:r w:rsidR="00016955" w:rsidRPr="00582F89">
        <w:rPr>
          <w:color w:val="000000"/>
          <w:shd w:val="clear" w:color="auto" w:fill="FFFFFF"/>
        </w:rPr>
        <w:t xml:space="preserve"> передачи данных </w:t>
      </w:r>
      <w:r w:rsidR="00102C54" w:rsidRPr="00582F89">
        <w:rPr>
          <w:color w:val="000000"/>
          <w:shd w:val="clear" w:color="auto" w:fill="FFFFFF"/>
        </w:rPr>
        <w:t>TT&amp;C</w:t>
      </w:r>
      <w:r w:rsidR="00066953" w:rsidRPr="00582F89">
        <w:rPr>
          <w:color w:val="000000"/>
          <w:shd w:val="clear" w:color="auto" w:fill="FFFFFF"/>
        </w:rPr>
        <w:t xml:space="preserve"> существующего стартового комплекса</w:t>
      </w:r>
      <w:r w:rsidR="00102C54" w:rsidRPr="00582F89">
        <w:rPr>
          <w:color w:val="000000"/>
          <w:shd w:val="clear" w:color="auto" w:fill="FFFFFF"/>
        </w:rPr>
        <w:t>.</w:t>
      </w:r>
    </w:p>
    <w:p w14:paraId="20F8814F" w14:textId="711B9A3C" w:rsidR="00102C54" w:rsidRPr="009F067D" w:rsidRDefault="00970077" w:rsidP="00102C54">
      <w:r w:rsidRPr="009F067D">
        <w:t>Существующий подход, основанный на разделе воздушного пространства</w:t>
      </w:r>
      <w:r w:rsidR="005368B8" w:rsidRPr="009F067D">
        <w:t>,</w:t>
      </w:r>
      <w:r w:rsidRPr="009F067D">
        <w:t xml:space="preserve"> применяется</w:t>
      </w:r>
      <w:r w:rsidR="00102C54" w:rsidRPr="009F067D">
        <w:t xml:space="preserve"> </w:t>
      </w:r>
      <w:r w:rsidRPr="009F067D">
        <w:t>в ущерб</w:t>
      </w:r>
      <w:r w:rsidR="005368B8" w:rsidRPr="009F067D">
        <w:t xml:space="preserve"> возможностям запуска и</w:t>
      </w:r>
      <w:r w:rsidR="00102C54" w:rsidRPr="009F067D">
        <w:t xml:space="preserve"> </w:t>
      </w:r>
      <w:r w:rsidR="005368B8" w:rsidRPr="009F067D">
        <w:t>возврата</w:t>
      </w:r>
      <w:r w:rsidR="00102C54" w:rsidRPr="009F067D">
        <w:t xml:space="preserve">, </w:t>
      </w:r>
      <w:r w:rsidR="005368B8" w:rsidRPr="009F067D">
        <w:t xml:space="preserve">эффективности управления </w:t>
      </w:r>
      <w:r w:rsidR="005368B8" w:rsidRPr="006E08D8">
        <w:t>воздушным движением</w:t>
      </w:r>
      <w:r w:rsidR="00102C54" w:rsidRPr="009F067D">
        <w:t xml:space="preserve"> </w:t>
      </w:r>
      <w:r w:rsidR="005368B8" w:rsidRPr="009F067D">
        <w:t>и</w:t>
      </w:r>
      <w:r w:rsidR="00102C54" w:rsidRPr="009F067D">
        <w:t xml:space="preserve"> </w:t>
      </w:r>
      <w:r w:rsidR="005368B8" w:rsidRPr="009F067D">
        <w:t xml:space="preserve">требует наличия у воздушных судов </w:t>
      </w:r>
      <w:r w:rsidR="00F9744A" w:rsidRPr="009F067D">
        <w:t>дополнительных объемов топлива и времени,</w:t>
      </w:r>
      <w:r w:rsidR="00102C54" w:rsidRPr="009F067D">
        <w:t xml:space="preserve"> </w:t>
      </w:r>
      <w:r w:rsidR="00F9744A" w:rsidRPr="009F067D">
        <w:t>чтобы избегать опасные зоны</w:t>
      </w:r>
      <w:r w:rsidR="00102C54" w:rsidRPr="009F067D">
        <w:t xml:space="preserve">. </w:t>
      </w:r>
      <w:r w:rsidR="00F9744A" w:rsidRPr="009F067D">
        <w:t>Этот метод</w:t>
      </w:r>
      <w:r w:rsidR="00102C54" w:rsidRPr="009F067D">
        <w:t xml:space="preserve"> </w:t>
      </w:r>
      <w:r w:rsidR="00F9744A" w:rsidRPr="009F067D">
        <w:t>раздела воздушного пространства во время процедур запуска</w:t>
      </w:r>
      <w:r w:rsidR="00102C54" w:rsidRPr="009F067D">
        <w:t xml:space="preserve"> </w:t>
      </w:r>
      <w:r w:rsidR="00F9744A" w:rsidRPr="009F067D">
        <w:t xml:space="preserve">и возврата аппаратов </w:t>
      </w:r>
      <w:r w:rsidR="00DC4DB8" w:rsidRPr="009F067D">
        <w:t>не может быть рассчитан на длительную перспективу</w:t>
      </w:r>
      <w:r w:rsidR="00102C54" w:rsidRPr="009F067D">
        <w:t xml:space="preserve"> </w:t>
      </w:r>
      <w:r w:rsidR="00CE58D3" w:rsidRPr="009F067D">
        <w:t>ввиду</w:t>
      </w:r>
      <w:r w:rsidR="00DC4DB8" w:rsidRPr="009F067D">
        <w:t xml:space="preserve"> роста спроса на</w:t>
      </w:r>
      <w:r w:rsidR="00102C54" w:rsidRPr="009F067D">
        <w:t xml:space="preserve"> </w:t>
      </w:r>
      <w:r w:rsidR="00DC4DB8" w:rsidRPr="009F067D">
        <w:t>доступ в космос</w:t>
      </w:r>
      <w:r w:rsidR="00102C54" w:rsidRPr="009F067D">
        <w:t xml:space="preserve"> </w:t>
      </w:r>
      <w:r w:rsidR="00DC4DB8" w:rsidRPr="009F067D">
        <w:t>все большего числа суборбитальных</w:t>
      </w:r>
      <w:r w:rsidR="00102C54" w:rsidRPr="009F067D">
        <w:t xml:space="preserve"> </w:t>
      </w:r>
      <w:r w:rsidR="00AB291E" w:rsidRPr="009F067D">
        <w:t>аппарат</w:t>
      </w:r>
      <w:r w:rsidR="00DC4DB8" w:rsidRPr="009F067D">
        <w:t>ов,</w:t>
      </w:r>
      <w:r w:rsidR="00102C54" w:rsidRPr="009F067D">
        <w:t xml:space="preserve"> </w:t>
      </w:r>
      <w:r w:rsidR="00DC4DB8" w:rsidRPr="009F067D">
        <w:t>работающих</w:t>
      </w:r>
      <w:r w:rsidR="00102C54" w:rsidRPr="009F067D">
        <w:t xml:space="preserve"> </w:t>
      </w:r>
      <w:r w:rsidR="00F22664" w:rsidRPr="009F067D">
        <w:t>в пределах и за пределами традиционных диапазонов</w:t>
      </w:r>
      <w:r w:rsidR="00102C54" w:rsidRPr="009F067D">
        <w:t>.</w:t>
      </w:r>
    </w:p>
    <w:p w14:paraId="78857EA0" w14:textId="3D2CB937" w:rsidR="00102C54" w:rsidRPr="009F067D" w:rsidRDefault="008C3625" w:rsidP="00102C54">
      <w:r w:rsidRPr="009F067D">
        <w:t>Как предусмотрено в Резолюции</w:t>
      </w:r>
      <w:r w:rsidR="00102C54" w:rsidRPr="009F067D">
        <w:rPr>
          <w:b/>
        </w:rPr>
        <w:t xml:space="preserve"> 763 (</w:t>
      </w:r>
      <w:r w:rsidR="000C4145" w:rsidRPr="009F067D">
        <w:rPr>
          <w:b/>
        </w:rPr>
        <w:t>ВКР</w:t>
      </w:r>
      <w:r w:rsidR="00102C54" w:rsidRPr="009F067D">
        <w:rPr>
          <w:b/>
        </w:rPr>
        <w:t>-15)</w:t>
      </w:r>
      <w:r w:rsidR="00102C54" w:rsidRPr="009F067D">
        <w:rPr>
          <w:bCs/>
        </w:rPr>
        <w:t>,</w:t>
      </w:r>
      <w:r w:rsidR="00102C54" w:rsidRPr="009F067D">
        <w:t xml:space="preserve"> </w:t>
      </w:r>
      <w:r w:rsidR="00B058FB" w:rsidRPr="009F067D">
        <w:t>МСЭ</w:t>
      </w:r>
      <w:r w:rsidR="00102C54" w:rsidRPr="009F067D">
        <w:t xml:space="preserve">-R </w:t>
      </w:r>
      <w:r w:rsidRPr="009F067D">
        <w:t>разработал проект нового отчета</w:t>
      </w:r>
      <w:r w:rsidR="00102C54" w:rsidRPr="009F067D">
        <w:t xml:space="preserve"> </w:t>
      </w:r>
      <w:r w:rsidR="00B058FB" w:rsidRPr="009F067D">
        <w:t>МСЭ</w:t>
      </w:r>
      <w:r w:rsidR="007F3F7D" w:rsidRPr="009F067D">
        <w:noBreakHyphen/>
      </w:r>
      <w:r w:rsidR="00102C54" w:rsidRPr="009F067D">
        <w:t>R</w:t>
      </w:r>
      <w:r w:rsidR="007F3F7D" w:rsidRPr="009F067D">
        <w:t> </w:t>
      </w:r>
      <w:r w:rsidR="00102C54" w:rsidRPr="009F067D">
        <w:t>M.[</w:t>
      </w:r>
      <w:r w:rsidR="00AB291E" w:rsidRPr="009F067D">
        <w:t>СУБОРБИТАЛЬНЫХ АППАРАТОВ</w:t>
      </w:r>
      <w:r w:rsidR="00102C54" w:rsidRPr="009F067D">
        <w:t xml:space="preserve">] </w:t>
      </w:r>
      <w:r w:rsidRPr="009F067D">
        <w:t>озаглавленный</w:t>
      </w:r>
      <w:r w:rsidR="00102C54" w:rsidRPr="009F067D">
        <w:t xml:space="preserve"> </w:t>
      </w:r>
      <w:r w:rsidR="00B058FB" w:rsidRPr="009F067D">
        <w:t>"</w:t>
      </w:r>
      <w:r w:rsidRPr="009F067D">
        <w:t>Радиосвязь для</w:t>
      </w:r>
      <w:r w:rsidR="00102C54" w:rsidRPr="009F067D">
        <w:t xml:space="preserve"> </w:t>
      </w:r>
      <w:r w:rsidR="00AB291E" w:rsidRPr="009F067D">
        <w:t>суборбитальных аппаратов</w:t>
      </w:r>
      <w:r w:rsidR="00B058FB" w:rsidRPr="009F067D">
        <w:t>"</w:t>
      </w:r>
      <w:r w:rsidR="00102C54" w:rsidRPr="009F067D">
        <w:t xml:space="preserve">. </w:t>
      </w:r>
      <w:r w:rsidRPr="009F067D">
        <w:t>Эта работа была проведена на основе информации, предоставленной</w:t>
      </w:r>
      <w:r w:rsidR="00102C54" w:rsidRPr="009F067D">
        <w:t xml:space="preserve"> </w:t>
      </w:r>
      <w:r w:rsidRPr="009F067D">
        <w:rPr>
          <w:rFonts w:ascii="inherit" w:hAnsi="inherit"/>
          <w:color w:val="000000"/>
          <w:shd w:val="clear" w:color="auto" w:fill="FFFFFF"/>
        </w:rPr>
        <w:t>Международн</w:t>
      </w:r>
      <w:r w:rsidR="00CE58D3" w:rsidRPr="009F067D">
        <w:rPr>
          <w:rFonts w:ascii="inherit" w:hAnsi="inherit"/>
          <w:color w:val="000000"/>
          <w:shd w:val="clear" w:color="auto" w:fill="FFFFFF"/>
        </w:rPr>
        <w:t>ой</w:t>
      </w:r>
      <w:r w:rsidRPr="009F067D">
        <w:rPr>
          <w:rFonts w:ascii="inherit" w:hAnsi="inherit"/>
          <w:color w:val="000000"/>
          <w:shd w:val="clear" w:color="auto" w:fill="FFFFFF"/>
        </w:rPr>
        <w:t xml:space="preserve"> организаци</w:t>
      </w:r>
      <w:r w:rsidR="00CE58D3" w:rsidRPr="009F067D">
        <w:rPr>
          <w:rFonts w:ascii="inherit" w:hAnsi="inherit"/>
          <w:color w:val="000000"/>
          <w:shd w:val="clear" w:color="auto" w:fill="FFFFFF"/>
        </w:rPr>
        <w:t>ей</w:t>
      </w:r>
      <w:r w:rsidRPr="009F067D">
        <w:rPr>
          <w:rFonts w:ascii="inherit" w:hAnsi="inherit"/>
          <w:color w:val="000000"/>
          <w:shd w:val="clear" w:color="auto" w:fill="FFFFFF"/>
        </w:rPr>
        <w:t xml:space="preserve"> гражданской авиации</w:t>
      </w:r>
      <w:r w:rsidR="00102C54" w:rsidRPr="009F067D">
        <w:t xml:space="preserve"> (</w:t>
      </w:r>
      <w:r w:rsidRPr="009F067D">
        <w:t>ИКАО</w:t>
      </w:r>
      <w:r w:rsidR="00102C54" w:rsidRPr="009F067D">
        <w:t xml:space="preserve">) </w:t>
      </w:r>
      <w:r w:rsidRPr="009F067D">
        <w:t>и администрациями</w:t>
      </w:r>
      <w:r w:rsidR="00F15D1C" w:rsidRPr="009F067D">
        <w:t>,</w:t>
      </w:r>
      <w:r w:rsidR="00102C54" w:rsidRPr="009F067D">
        <w:t xml:space="preserve"> </w:t>
      </w:r>
      <w:r w:rsidRPr="009F067D">
        <w:t xml:space="preserve">и позволила </w:t>
      </w:r>
      <w:r w:rsidR="00F15D1C" w:rsidRPr="009F067D">
        <w:t>наметить</w:t>
      </w:r>
      <w:r w:rsidR="00102C54" w:rsidRPr="009F067D">
        <w:t xml:space="preserve"> </w:t>
      </w:r>
      <w:r w:rsidRPr="009F067D">
        <w:t>проекты будущих подходов</w:t>
      </w:r>
      <w:r w:rsidR="00102C54" w:rsidRPr="009F067D">
        <w:t xml:space="preserve"> </w:t>
      </w:r>
      <w:r w:rsidRPr="009F067D">
        <w:t>к</w:t>
      </w:r>
      <w:r w:rsidR="00102C54" w:rsidRPr="009F067D">
        <w:t xml:space="preserve"> </w:t>
      </w:r>
      <w:r w:rsidRPr="009F067D">
        <w:t>использованию воздушного пространства</w:t>
      </w:r>
      <w:r w:rsidR="00F15D1C" w:rsidRPr="009F067D">
        <w:t>, чтобы</w:t>
      </w:r>
      <w:r w:rsidRPr="009F067D">
        <w:t xml:space="preserve"> избежать</w:t>
      </w:r>
      <w:r w:rsidR="00102C54" w:rsidRPr="009F067D">
        <w:t xml:space="preserve"> </w:t>
      </w:r>
      <w:r w:rsidRPr="009F067D">
        <w:t>или</w:t>
      </w:r>
      <w:r w:rsidR="00102C54" w:rsidRPr="009F067D">
        <w:t xml:space="preserve"> </w:t>
      </w:r>
      <w:r w:rsidRPr="009F067D">
        <w:t>ограничить</w:t>
      </w:r>
      <w:r w:rsidR="00102C54" w:rsidRPr="009F067D">
        <w:t xml:space="preserve"> </w:t>
      </w:r>
      <w:r w:rsidRPr="009F067D">
        <w:t>раздел воздушного пространства</w:t>
      </w:r>
      <w:r w:rsidR="00F15D1C" w:rsidRPr="009F067D">
        <w:t>,</w:t>
      </w:r>
      <w:r w:rsidRPr="009F067D">
        <w:t xml:space="preserve"> </w:t>
      </w:r>
      <w:r w:rsidR="00F15D1C" w:rsidRPr="009F067D">
        <w:t>позвол</w:t>
      </w:r>
      <w:r w:rsidR="00CE58D3" w:rsidRPr="009F067D">
        <w:t>яя</w:t>
      </w:r>
      <w:r w:rsidR="00102C54" w:rsidRPr="009F067D">
        <w:t xml:space="preserve"> </w:t>
      </w:r>
      <w:r w:rsidR="00F15D1C" w:rsidRPr="009F067D">
        <w:t>радиостанциям</w:t>
      </w:r>
      <w:r w:rsidR="00102C54" w:rsidRPr="009F067D">
        <w:t xml:space="preserve"> </w:t>
      </w:r>
      <w:r w:rsidR="00F15D1C" w:rsidRPr="009F067D">
        <w:t>на борту суборбитальных</w:t>
      </w:r>
      <w:r w:rsidR="00102C54" w:rsidRPr="009F067D">
        <w:t xml:space="preserve"> </w:t>
      </w:r>
      <w:r w:rsidR="00AB291E" w:rsidRPr="009F067D">
        <w:t>аппарат</w:t>
      </w:r>
      <w:r w:rsidR="00F15D1C" w:rsidRPr="009F067D">
        <w:t>ов</w:t>
      </w:r>
      <w:r w:rsidR="00102C54" w:rsidRPr="009F067D">
        <w:t xml:space="preserve"> </w:t>
      </w:r>
      <w:r w:rsidR="00F15D1C" w:rsidRPr="009F067D">
        <w:t>использовать частоты, распределенные</w:t>
      </w:r>
      <w:r w:rsidR="00102C54" w:rsidRPr="009F067D">
        <w:t xml:space="preserve"> </w:t>
      </w:r>
      <w:r w:rsidR="00F15D1C" w:rsidRPr="009F067D">
        <w:t xml:space="preserve">наземной радиосвязи для </w:t>
      </w:r>
      <w:r w:rsidR="00900C5D" w:rsidRPr="009F067D">
        <w:t>предоставления услуг</w:t>
      </w:r>
      <w:r w:rsidR="00102C54" w:rsidRPr="009F067D">
        <w:t xml:space="preserve"> </w:t>
      </w:r>
      <w:r w:rsidR="00F15D1C" w:rsidRPr="009F067D">
        <w:rPr>
          <w:color w:val="000000"/>
          <w:shd w:val="clear" w:color="auto" w:fill="F0F0F0"/>
        </w:rPr>
        <w:t xml:space="preserve">передачи </w:t>
      </w:r>
      <w:r w:rsidR="00F15D1C" w:rsidRPr="00582F89">
        <w:lastRenderedPageBreak/>
        <w:t>голоса/данных</w:t>
      </w:r>
      <w:r w:rsidR="00F15D1C" w:rsidRPr="009F067D">
        <w:t xml:space="preserve"> </w:t>
      </w:r>
      <w:r w:rsidR="00102C54" w:rsidRPr="009F067D">
        <w:t xml:space="preserve">ATM/ATC, </w:t>
      </w:r>
      <w:r w:rsidR="00F15D1C" w:rsidRPr="009F067D">
        <w:t>наблюдения и навигации</w:t>
      </w:r>
      <w:r w:rsidR="00102C54" w:rsidRPr="009F067D">
        <w:t xml:space="preserve">. </w:t>
      </w:r>
      <w:r w:rsidR="005669E7" w:rsidRPr="009F067D">
        <w:t>Такие подходы</w:t>
      </w:r>
      <w:r w:rsidR="00102C54" w:rsidRPr="009F067D">
        <w:t xml:space="preserve">, </w:t>
      </w:r>
      <w:r w:rsidR="005669E7" w:rsidRPr="009F067D">
        <w:t>если они будут стандартизированы ИКАО</w:t>
      </w:r>
      <w:r w:rsidR="00102C54" w:rsidRPr="009F067D">
        <w:t xml:space="preserve">, </w:t>
      </w:r>
      <w:r w:rsidR="000A792D" w:rsidRPr="009F067D">
        <w:t>могли бы обеспечить функциональную совместимость</w:t>
      </w:r>
      <w:r w:rsidR="00102C54" w:rsidRPr="009F067D">
        <w:t xml:space="preserve"> </w:t>
      </w:r>
      <w:r w:rsidR="000A792D" w:rsidRPr="009F067D">
        <w:t>суборбитальных</w:t>
      </w:r>
      <w:r w:rsidR="00102C54" w:rsidRPr="009F067D">
        <w:t xml:space="preserve"> </w:t>
      </w:r>
      <w:r w:rsidR="00AB291E" w:rsidRPr="009F067D">
        <w:t>аппарат</w:t>
      </w:r>
      <w:r w:rsidR="000A792D" w:rsidRPr="009F067D">
        <w:t>ов</w:t>
      </w:r>
      <w:r w:rsidR="00102C54" w:rsidRPr="009F067D">
        <w:t xml:space="preserve"> </w:t>
      </w:r>
      <w:r w:rsidR="000A792D" w:rsidRPr="009F067D">
        <w:t>с</w:t>
      </w:r>
      <w:r w:rsidR="00102C54" w:rsidRPr="009F067D">
        <w:t xml:space="preserve"> ATM/ATC </w:t>
      </w:r>
      <w:r w:rsidR="000A792D" w:rsidRPr="009F067D">
        <w:t>и</w:t>
      </w:r>
      <w:r w:rsidR="00102C54" w:rsidRPr="009F067D">
        <w:t xml:space="preserve"> </w:t>
      </w:r>
      <w:r w:rsidR="000A792D" w:rsidRPr="009F067D">
        <w:t>бортовым авиационным оборудованием и в то же время обеспечить безопасность полетов</w:t>
      </w:r>
      <w:r w:rsidR="00102C54" w:rsidRPr="009F067D">
        <w:t xml:space="preserve"> </w:t>
      </w:r>
      <w:r w:rsidR="000A792D" w:rsidRPr="009F067D">
        <w:t>суборбитальных аппаратов и других воздушных судов,</w:t>
      </w:r>
      <w:r w:rsidR="00102C54" w:rsidRPr="009F067D">
        <w:t xml:space="preserve"> </w:t>
      </w:r>
      <w:r w:rsidR="000A792D" w:rsidRPr="009F067D">
        <w:t>занимающих воздушное пространство,</w:t>
      </w:r>
      <w:r w:rsidR="00102C54" w:rsidRPr="009F067D">
        <w:t xml:space="preserve"> </w:t>
      </w:r>
      <w:r w:rsidR="000A792D" w:rsidRPr="009F067D">
        <w:t>через которое проходит данный</w:t>
      </w:r>
      <w:r w:rsidR="00102C54" w:rsidRPr="009F067D">
        <w:t xml:space="preserve"> </w:t>
      </w:r>
      <w:r w:rsidR="000A792D" w:rsidRPr="009F067D">
        <w:t>суборбитальный аппарат</w:t>
      </w:r>
      <w:r w:rsidR="00102C54" w:rsidRPr="009F067D">
        <w:t xml:space="preserve">. </w:t>
      </w:r>
      <w:r w:rsidR="000A792D" w:rsidRPr="009F067D">
        <w:t>Это позволило бы</w:t>
      </w:r>
      <w:r w:rsidR="00102C54" w:rsidRPr="009F067D">
        <w:t xml:space="preserve"> ATC </w:t>
      </w:r>
      <w:r w:rsidR="000A792D" w:rsidRPr="009F067D">
        <w:t>восстановить утраченную эффективность</w:t>
      </w:r>
      <w:r w:rsidR="00102C54" w:rsidRPr="009F067D">
        <w:t xml:space="preserve"> </w:t>
      </w:r>
      <w:r w:rsidR="000A792D" w:rsidRPr="009F067D">
        <w:t>управления воздушным движением</w:t>
      </w:r>
      <w:r w:rsidR="00102C54" w:rsidRPr="009F067D">
        <w:t xml:space="preserve">, </w:t>
      </w:r>
      <w:r w:rsidR="00CC283D" w:rsidRPr="009F067D">
        <w:t>сделать бортовые системы предупреждения столкновений в воздух</w:t>
      </w:r>
      <w:r w:rsidR="00A7294C" w:rsidRPr="009F067D">
        <w:t>е более совершенными</w:t>
      </w:r>
      <w:r w:rsidR="00102C54" w:rsidRPr="009F067D">
        <w:t xml:space="preserve"> </w:t>
      </w:r>
      <w:r w:rsidR="00CC283D" w:rsidRPr="009F067D">
        <w:t>и</w:t>
      </w:r>
      <w:r w:rsidR="00102C54" w:rsidRPr="009F067D">
        <w:t xml:space="preserve"> </w:t>
      </w:r>
      <w:r w:rsidR="00CC283D" w:rsidRPr="009F067D">
        <w:t>уменьшить потребности в топливе</w:t>
      </w:r>
      <w:r w:rsidR="00102C54" w:rsidRPr="009F067D">
        <w:t>/</w:t>
      </w:r>
      <w:r w:rsidR="00CC283D" w:rsidRPr="009F067D">
        <w:t>выбросы</w:t>
      </w:r>
      <w:r w:rsidR="00A7294C" w:rsidRPr="009F067D">
        <w:t xml:space="preserve"> газов</w:t>
      </w:r>
      <w:r w:rsidR="00102C54" w:rsidRPr="009F067D">
        <w:t xml:space="preserve">. </w:t>
      </w:r>
      <w:r w:rsidR="00CC283D" w:rsidRPr="009F067D">
        <w:t>В исследовании</w:t>
      </w:r>
      <w:r w:rsidR="00CC283D" w:rsidRPr="009F067D">
        <w:rPr>
          <w:color w:val="000000"/>
          <w:shd w:val="clear" w:color="auto" w:fill="FFFFFF"/>
        </w:rPr>
        <w:t xml:space="preserve"> высказывается мнение о том, что с технической точки зрения </w:t>
      </w:r>
      <w:r w:rsidR="00AB291E" w:rsidRPr="006E08D8">
        <w:rPr>
          <w:color w:val="000000"/>
          <w:shd w:val="clear" w:color="auto" w:fill="FFFFFF"/>
        </w:rPr>
        <w:t>суборбитальны</w:t>
      </w:r>
      <w:r w:rsidR="00CC283D" w:rsidRPr="006E08D8">
        <w:rPr>
          <w:color w:val="000000"/>
          <w:shd w:val="clear" w:color="auto" w:fill="FFFFFF"/>
        </w:rPr>
        <w:t>е</w:t>
      </w:r>
      <w:r w:rsidR="00AB291E" w:rsidRPr="006E08D8">
        <w:rPr>
          <w:color w:val="000000"/>
          <w:shd w:val="clear" w:color="auto" w:fill="FFFFFF"/>
        </w:rPr>
        <w:t xml:space="preserve"> аппарат</w:t>
      </w:r>
      <w:r w:rsidR="00CC283D" w:rsidRPr="006E08D8">
        <w:rPr>
          <w:color w:val="000000"/>
          <w:shd w:val="clear" w:color="auto" w:fill="FFFFFF"/>
        </w:rPr>
        <w:t>ы</w:t>
      </w:r>
      <w:r w:rsidR="00102C54" w:rsidRPr="006E08D8">
        <w:rPr>
          <w:color w:val="000000"/>
          <w:shd w:val="clear" w:color="auto" w:fill="FFFFFF"/>
        </w:rPr>
        <w:t xml:space="preserve"> </w:t>
      </w:r>
      <w:r w:rsidR="00CC283D" w:rsidRPr="006E08D8">
        <w:rPr>
          <w:color w:val="000000"/>
          <w:shd w:val="clear" w:color="auto" w:fill="FFFFFF"/>
        </w:rPr>
        <w:t>могут</w:t>
      </w:r>
      <w:r w:rsidR="00102C54" w:rsidRPr="006E08D8">
        <w:rPr>
          <w:color w:val="000000"/>
          <w:shd w:val="clear" w:color="auto" w:fill="FFFFFF"/>
        </w:rPr>
        <w:t xml:space="preserve"> </w:t>
      </w:r>
      <w:r w:rsidR="00CC283D" w:rsidRPr="006E08D8">
        <w:rPr>
          <w:color w:val="000000"/>
          <w:shd w:val="clear" w:color="auto" w:fill="FFFFFF"/>
        </w:rPr>
        <w:t>эксплуатироваться</w:t>
      </w:r>
      <w:r w:rsidR="00102C54" w:rsidRPr="006E08D8">
        <w:rPr>
          <w:color w:val="000000"/>
          <w:shd w:val="clear" w:color="auto" w:fill="FFFFFF"/>
        </w:rPr>
        <w:t xml:space="preserve"> </w:t>
      </w:r>
      <w:r w:rsidR="00CC283D" w:rsidRPr="006E08D8">
        <w:rPr>
          <w:color w:val="000000"/>
          <w:shd w:val="clear" w:color="auto" w:fill="FFFFFF"/>
        </w:rPr>
        <w:t>в рамках</w:t>
      </w:r>
      <w:r w:rsidR="00102C54" w:rsidRPr="006E08D8">
        <w:rPr>
          <w:color w:val="000000"/>
          <w:shd w:val="clear" w:color="auto" w:fill="FFFFFF"/>
        </w:rPr>
        <w:t xml:space="preserve"> </w:t>
      </w:r>
      <w:r w:rsidR="00CC283D" w:rsidRPr="006E08D8">
        <w:rPr>
          <w:color w:val="000000"/>
          <w:shd w:val="clear" w:color="auto" w:fill="FFFFFF"/>
        </w:rPr>
        <w:t>существующих</w:t>
      </w:r>
      <w:r w:rsidR="00102C54" w:rsidRPr="006E08D8">
        <w:rPr>
          <w:color w:val="000000"/>
          <w:shd w:val="clear" w:color="auto" w:fill="FFFFFF"/>
        </w:rPr>
        <w:t xml:space="preserve"> </w:t>
      </w:r>
      <w:r w:rsidR="005C1F4C" w:rsidRPr="006E08D8">
        <w:rPr>
          <w:color w:val="000000"/>
          <w:shd w:val="clear" w:color="auto" w:fill="FFFFFF"/>
        </w:rPr>
        <w:t>распределений службе космической радиосвязи и наземной службе радиосвязи</w:t>
      </w:r>
      <w:r w:rsidR="00102C54" w:rsidRPr="006E08D8">
        <w:rPr>
          <w:color w:val="000000"/>
          <w:shd w:val="clear" w:color="auto" w:fill="FFFFFF"/>
        </w:rPr>
        <w:t xml:space="preserve">, </w:t>
      </w:r>
      <w:r w:rsidR="005C1F4C" w:rsidRPr="006E08D8">
        <w:rPr>
          <w:color w:val="000000"/>
          <w:shd w:val="clear" w:color="auto" w:fill="FFFFFF"/>
        </w:rPr>
        <w:t>если это разрешено Регламентом радиосвязи</w:t>
      </w:r>
      <w:r w:rsidR="00102C54" w:rsidRPr="006E08D8">
        <w:rPr>
          <w:color w:val="000000"/>
          <w:shd w:val="clear" w:color="auto" w:fill="FFFFFF"/>
        </w:rPr>
        <w:t xml:space="preserve">, </w:t>
      </w:r>
      <w:r w:rsidR="005C1F4C" w:rsidRPr="006E08D8">
        <w:rPr>
          <w:color w:val="000000"/>
          <w:shd w:val="clear" w:color="auto" w:fill="FFFFFF"/>
        </w:rPr>
        <w:t>для применений</w:t>
      </w:r>
      <w:r w:rsidR="00102C54" w:rsidRPr="006E08D8">
        <w:rPr>
          <w:color w:val="000000"/>
          <w:shd w:val="clear" w:color="auto" w:fill="FFFFFF"/>
        </w:rPr>
        <w:t xml:space="preserve"> ATM/ATC</w:t>
      </w:r>
      <w:r w:rsidR="005C1F4C" w:rsidRPr="006E08D8">
        <w:rPr>
          <w:color w:val="000000"/>
          <w:shd w:val="clear" w:color="auto" w:fill="FFFFFF"/>
        </w:rPr>
        <w:t>,</w:t>
      </w:r>
      <w:r w:rsidR="00102C54" w:rsidRPr="006E08D8">
        <w:rPr>
          <w:color w:val="000000"/>
          <w:shd w:val="clear" w:color="auto" w:fill="FFFFFF"/>
        </w:rPr>
        <w:t xml:space="preserve"> </w:t>
      </w:r>
      <w:r w:rsidR="005C1F4C" w:rsidRPr="006E08D8">
        <w:rPr>
          <w:color w:val="000000"/>
          <w:shd w:val="clear" w:color="auto" w:fill="FFFFFF"/>
        </w:rPr>
        <w:t>определенных в этом отчете</w:t>
      </w:r>
      <w:r w:rsidR="00102C54" w:rsidRPr="006E08D8">
        <w:rPr>
          <w:color w:val="000000"/>
          <w:shd w:val="clear" w:color="auto" w:fill="FFFFFF"/>
        </w:rPr>
        <w:t xml:space="preserve">. </w:t>
      </w:r>
      <w:r w:rsidR="005C1F4C" w:rsidRPr="006E08D8">
        <w:rPr>
          <w:color w:val="000000"/>
          <w:shd w:val="clear" w:color="auto" w:fill="FFFFFF"/>
        </w:rPr>
        <w:t>Использование существующих распределений</w:t>
      </w:r>
      <w:r w:rsidR="00102C54" w:rsidRPr="006E08D8">
        <w:rPr>
          <w:color w:val="000000"/>
          <w:shd w:val="clear" w:color="auto" w:fill="FFFFFF"/>
        </w:rPr>
        <w:t xml:space="preserve"> </w:t>
      </w:r>
      <w:r w:rsidR="005C1F4C" w:rsidRPr="006E08D8">
        <w:rPr>
          <w:color w:val="000000"/>
          <w:shd w:val="clear" w:color="auto" w:fill="FFFFFF"/>
        </w:rPr>
        <w:t>позволило бы обеспечить функциональную совместимость и согласов</w:t>
      </w:r>
      <w:r w:rsidR="00A7294C" w:rsidRPr="006E08D8">
        <w:rPr>
          <w:color w:val="000000"/>
          <w:shd w:val="clear" w:color="auto" w:fill="FFFFFF"/>
        </w:rPr>
        <w:t>анность</w:t>
      </w:r>
      <w:r w:rsidR="005C1F4C" w:rsidRPr="006E08D8">
        <w:rPr>
          <w:color w:val="000000"/>
          <w:shd w:val="clear" w:color="auto" w:fill="FFFFFF"/>
        </w:rPr>
        <w:t xml:space="preserve"> на международном уровне</w:t>
      </w:r>
      <w:r w:rsidR="00102C54" w:rsidRPr="006E08D8">
        <w:rPr>
          <w:color w:val="000000"/>
          <w:shd w:val="clear" w:color="auto" w:fill="FFFFFF"/>
        </w:rPr>
        <w:t xml:space="preserve"> </w:t>
      </w:r>
      <w:r w:rsidR="005C1F4C" w:rsidRPr="006E08D8">
        <w:rPr>
          <w:color w:val="000000"/>
          <w:shd w:val="clear" w:color="auto" w:fill="FFFFFF"/>
        </w:rPr>
        <w:t>с системами и применениями,</w:t>
      </w:r>
      <w:r w:rsidR="00102C54" w:rsidRPr="006E08D8">
        <w:rPr>
          <w:color w:val="000000"/>
          <w:shd w:val="clear" w:color="auto" w:fill="FFFFFF"/>
        </w:rPr>
        <w:t xml:space="preserve"> </w:t>
      </w:r>
      <w:r w:rsidR="005C1F4C" w:rsidRPr="009F067D">
        <w:rPr>
          <w:color w:val="000000"/>
          <w:shd w:val="clear" w:color="auto" w:fill="FFFFFF"/>
        </w:rPr>
        <w:t>связанны</w:t>
      </w:r>
      <w:r w:rsidR="009D7240" w:rsidRPr="009F067D">
        <w:rPr>
          <w:color w:val="000000"/>
          <w:shd w:val="clear" w:color="auto" w:fill="FFFFFF"/>
        </w:rPr>
        <w:t>ми</w:t>
      </w:r>
      <w:r w:rsidR="005C1F4C" w:rsidRPr="009F067D">
        <w:rPr>
          <w:color w:val="000000"/>
          <w:shd w:val="clear" w:color="auto" w:fill="FFFFFF"/>
        </w:rPr>
        <w:t xml:space="preserve"> с безопасностью полетов</w:t>
      </w:r>
      <w:r w:rsidR="00AB56C4" w:rsidRPr="009F067D">
        <w:rPr>
          <w:color w:val="000000"/>
          <w:shd w:val="clear" w:color="auto" w:fill="FFFFFF"/>
        </w:rPr>
        <w:t xml:space="preserve"> и</w:t>
      </w:r>
      <w:r w:rsidR="00102C54" w:rsidRPr="006E08D8">
        <w:rPr>
          <w:color w:val="000000"/>
          <w:shd w:val="clear" w:color="auto" w:fill="FFFFFF"/>
        </w:rPr>
        <w:t xml:space="preserve"> </w:t>
      </w:r>
      <w:r w:rsidR="009D7240" w:rsidRPr="006E08D8">
        <w:rPr>
          <w:color w:val="000000"/>
          <w:shd w:val="clear" w:color="auto" w:fill="FFFFFF"/>
        </w:rPr>
        <w:t xml:space="preserve">стандартизированными </w:t>
      </w:r>
      <w:r w:rsidR="00B058FB" w:rsidRPr="006E08D8">
        <w:rPr>
          <w:color w:val="000000"/>
          <w:shd w:val="clear" w:color="auto" w:fill="FFFFFF"/>
        </w:rPr>
        <w:t>ИКАО</w:t>
      </w:r>
      <w:r w:rsidR="00102C54" w:rsidRPr="006E08D8">
        <w:rPr>
          <w:color w:val="000000"/>
          <w:shd w:val="clear" w:color="auto" w:fill="FFFFFF"/>
        </w:rPr>
        <w:t xml:space="preserve">, </w:t>
      </w:r>
      <w:r w:rsidR="009D7240" w:rsidRPr="006E08D8">
        <w:rPr>
          <w:color w:val="000000"/>
          <w:shd w:val="clear" w:color="auto" w:fill="FFFFFF"/>
        </w:rPr>
        <w:t>такими как</w:t>
      </w:r>
      <w:r w:rsidR="00102C54" w:rsidRPr="006E08D8">
        <w:rPr>
          <w:color w:val="000000"/>
          <w:shd w:val="clear" w:color="auto" w:fill="FFFFFF"/>
        </w:rPr>
        <w:t xml:space="preserve"> ATM/ATC </w:t>
      </w:r>
      <w:r w:rsidR="009D7240" w:rsidRPr="006E08D8">
        <w:rPr>
          <w:color w:val="000000"/>
          <w:shd w:val="clear" w:color="auto" w:fill="FFFFFF"/>
        </w:rPr>
        <w:t>и</w:t>
      </w:r>
      <w:r w:rsidR="00102C54" w:rsidRPr="006E08D8">
        <w:rPr>
          <w:color w:val="000000"/>
          <w:shd w:val="clear" w:color="auto" w:fill="FFFFFF"/>
        </w:rPr>
        <w:t xml:space="preserve"> </w:t>
      </w:r>
      <w:r w:rsidR="009D7240" w:rsidRPr="006E08D8">
        <w:rPr>
          <w:color w:val="000000"/>
          <w:shd w:val="clear" w:color="auto" w:fill="FFFFFF"/>
        </w:rPr>
        <w:t>бортовое авиационное</w:t>
      </w:r>
      <w:r w:rsidR="009D7240" w:rsidRPr="009F067D">
        <w:t xml:space="preserve"> оборудование</w:t>
      </w:r>
      <w:r w:rsidR="00102C54" w:rsidRPr="009F067D">
        <w:t>.</w:t>
      </w:r>
    </w:p>
    <w:p w14:paraId="3457B28B" w14:textId="479920D2" w:rsidR="00102C54" w:rsidRPr="009F067D" w:rsidRDefault="005D21AB" w:rsidP="00102C54">
      <w:pPr>
        <w:rPr>
          <w:iCs/>
        </w:rPr>
      </w:pPr>
      <w:r w:rsidRPr="009F067D">
        <w:t>Были подняты вопросы относительно того, являются ли</w:t>
      </w:r>
      <w:r w:rsidR="00102C54" w:rsidRPr="009F067D">
        <w:t xml:space="preserve"> </w:t>
      </w:r>
      <w:r w:rsidRPr="009F067D">
        <w:t>регламентарные положения Регламента радиосвязи</w:t>
      </w:r>
      <w:r w:rsidR="00102C54" w:rsidRPr="009F067D">
        <w:t xml:space="preserve"> </w:t>
      </w:r>
      <w:r w:rsidR="00B058FB" w:rsidRPr="009F067D">
        <w:t>МСЭ</w:t>
      </w:r>
      <w:r w:rsidR="00102C54" w:rsidRPr="009F067D">
        <w:t xml:space="preserve">-R </w:t>
      </w:r>
      <w:r w:rsidRPr="009F067D">
        <w:t>для</w:t>
      </w:r>
      <w:r w:rsidR="00102C54" w:rsidRPr="009F067D">
        <w:t xml:space="preserve"> </w:t>
      </w:r>
      <w:r w:rsidRPr="006E08D8">
        <w:t>наземных и космических служб</w:t>
      </w:r>
      <w:r w:rsidRPr="009F067D">
        <w:t xml:space="preserve"> </w:t>
      </w:r>
      <w:r w:rsidR="00364C7A" w:rsidRPr="009F067D">
        <w:t>достаточными для того,</w:t>
      </w:r>
      <w:r w:rsidRPr="009F067D">
        <w:t xml:space="preserve"> чтобы поддержать эти типы подходов</w:t>
      </w:r>
      <w:r w:rsidR="00102C54" w:rsidRPr="009F067D">
        <w:t xml:space="preserve"> </w:t>
      </w:r>
      <w:r w:rsidRPr="009F067D">
        <w:t>к интеграции</w:t>
      </w:r>
      <w:r w:rsidR="00102C54" w:rsidRPr="009F067D">
        <w:t xml:space="preserve"> </w:t>
      </w:r>
      <w:r w:rsidR="00AB291E" w:rsidRPr="009F067D">
        <w:t>суборбитальных аппаратов</w:t>
      </w:r>
      <w:r w:rsidR="00102C54" w:rsidRPr="009F067D">
        <w:t xml:space="preserve"> </w:t>
      </w:r>
      <w:r w:rsidRPr="009F067D">
        <w:t>в</w:t>
      </w:r>
      <w:r w:rsidR="00102C54" w:rsidRPr="009F067D">
        <w:t xml:space="preserve"> ATM</w:t>
      </w:r>
      <w:r w:rsidR="00364C7A" w:rsidRPr="009F067D">
        <w:t>,</w:t>
      </w:r>
      <w:r w:rsidR="00102C54" w:rsidRPr="009F067D">
        <w:t xml:space="preserve"> </w:t>
      </w:r>
      <w:r w:rsidR="00364C7A" w:rsidRPr="009F067D">
        <w:t>и не требуется ли принять дополнительные положения, касающиеся спектра</w:t>
      </w:r>
      <w:r w:rsidR="00102C54" w:rsidRPr="009F067D">
        <w:rPr>
          <w:iCs/>
        </w:rPr>
        <w:t xml:space="preserve">. </w:t>
      </w:r>
    </w:p>
    <w:p w14:paraId="2369400F" w14:textId="2D9E9941" w:rsidR="00102C54" w:rsidRPr="009F067D" w:rsidRDefault="0056516D" w:rsidP="00102C54">
      <w:pPr>
        <w:keepNext/>
        <w:keepLines/>
      </w:pPr>
      <w:r w:rsidRPr="009F067D">
        <w:t>Рабочая группа</w:t>
      </w:r>
      <w:r w:rsidR="00102C54" w:rsidRPr="009F067D">
        <w:t xml:space="preserve"> 5B </w:t>
      </w:r>
      <w:r w:rsidR="00B058FB" w:rsidRPr="009F067D">
        <w:t xml:space="preserve">МСЭ-R </w:t>
      </w:r>
      <w:r w:rsidRPr="009F067D">
        <w:t>разработала</w:t>
      </w:r>
      <w:r w:rsidR="00102C54" w:rsidRPr="009F067D">
        <w:t xml:space="preserve"> </w:t>
      </w:r>
      <w:r w:rsidRPr="009F067D">
        <w:t>проект нового отчета,</w:t>
      </w:r>
      <w:r w:rsidR="00102C54" w:rsidRPr="009F067D">
        <w:t xml:space="preserve"> </w:t>
      </w:r>
      <w:r w:rsidRPr="009F067D">
        <w:t>содержащий несколько исследований, касающихся анализа бюджетов линий</w:t>
      </w:r>
      <w:r w:rsidR="00102C54" w:rsidRPr="009F067D">
        <w:t xml:space="preserve">, </w:t>
      </w:r>
      <w:r w:rsidRPr="00582F89">
        <w:t>допплеровского сдвига</w:t>
      </w:r>
      <w:r w:rsidR="00102C54" w:rsidRPr="009F067D">
        <w:t xml:space="preserve"> </w:t>
      </w:r>
      <w:r w:rsidRPr="009F067D">
        <w:t xml:space="preserve">во время </w:t>
      </w:r>
      <w:r w:rsidRPr="00582F89">
        <w:t>различных этапов полета</w:t>
      </w:r>
      <w:r w:rsidR="00102C54" w:rsidRPr="009F067D">
        <w:t xml:space="preserve"> </w:t>
      </w:r>
      <w:r w:rsidRPr="009F067D">
        <w:t>и возможного использования</w:t>
      </w:r>
      <w:r w:rsidR="00102C54" w:rsidRPr="009F067D">
        <w:t xml:space="preserve"> </w:t>
      </w:r>
      <w:r w:rsidRPr="009F067D">
        <w:t>существующих</w:t>
      </w:r>
      <w:r w:rsidR="00102C54" w:rsidRPr="009F067D">
        <w:t xml:space="preserve"> </w:t>
      </w:r>
      <w:r w:rsidRPr="009F067D">
        <w:t>в</w:t>
      </w:r>
      <w:r w:rsidRPr="00582F89">
        <w:t>оздушных систем</w:t>
      </w:r>
      <w:r w:rsidR="00102C54" w:rsidRPr="009F067D">
        <w:t xml:space="preserve"> </w:t>
      </w:r>
      <w:r w:rsidRPr="009F067D">
        <w:t>для суборбитальных</w:t>
      </w:r>
      <w:r w:rsidR="00102C54" w:rsidRPr="009F067D">
        <w:t xml:space="preserve"> </w:t>
      </w:r>
      <w:r w:rsidR="00AB291E" w:rsidRPr="009F067D">
        <w:t>аппарат</w:t>
      </w:r>
      <w:r w:rsidRPr="009F067D">
        <w:t>ов</w:t>
      </w:r>
      <w:r w:rsidR="00102C54" w:rsidRPr="009F067D">
        <w:t xml:space="preserve">.  </w:t>
      </w:r>
      <w:r w:rsidR="00084600" w:rsidRPr="009F067D">
        <w:t>Однако</w:t>
      </w:r>
      <w:r w:rsidR="00102C54" w:rsidRPr="009F067D">
        <w:t xml:space="preserve">, </w:t>
      </w:r>
      <w:r w:rsidR="00084600" w:rsidRPr="009F067D">
        <w:t>требуется дополнительное исследование</w:t>
      </w:r>
      <w:r w:rsidR="00102C54" w:rsidRPr="009F067D">
        <w:t xml:space="preserve">: </w:t>
      </w:r>
    </w:p>
    <w:p w14:paraId="17CB56D2" w14:textId="0E965048" w:rsidR="00102C54" w:rsidRPr="009F067D" w:rsidRDefault="00102C54" w:rsidP="00102C54">
      <w:pPr>
        <w:pStyle w:val="enumlev1"/>
      </w:pPr>
      <w:r w:rsidRPr="009F067D">
        <w:t>−</w:t>
      </w:r>
      <w:r w:rsidRPr="009F067D">
        <w:tab/>
      </w:r>
      <w:r w:rsidR="00084600" w:rsidRPr="009F067D">
        <w:t xml:space="preserve">чтобы оценить, как </w:t>
      </w:r>
      <w:r w:rsidR="00084600" w:rsidRPr="006E08D8">
        <w:t xml:space="preserve">применения, которые обычно работают в наземных службах, в частности воздушных подвижных службах, или в космических службах, могут также использоваться для </w:t>
      </w:r>
      <w:r w:rsidR="00084600" w:rsidRPr="009F067D">
        <w:t>суборбитальных аппаратов</w:t>
      </w:r>
      <w:r w:rsidRPr="009F067D">
        <w:t>;</w:t>
      </w:r>
    </w:p>
    <w:p w14:paraId="6ECE61D2" w14:textId="79E75BF9" w:rsidR="00102C54" w:rsidRPr="009F067D" w:rsidRDefault="00102C54" w:rsidP="00102C54">
      <w:pPr>
        <w:pStyle w:val="enumlev1"/>
      </w:pPr>
      <w:r w:rsidRPr="009F067D">
        <w:t>−</w:t>
      </w:r>
      <w:r w:rsidRPr="009F067D">
        <w:tab/>
      </w:r>
      <w:r w:rsidR="00084600" w:rsidRPr="009F067D">
        <w:t xml:space="preserve">чтобы оценить </w:t>
      </w:r>
      <w:r w:rsidR="00084600" w:rsidRPr="006E08D8">
        <w:t>возможность помех между службами для случаев, когда суборбитальный аппарат эксплуатируется с наземными и космическими станциями</w:t>
      </w:r>
      <w:r w:rsidRPr="009F067D">
        <w:t>;</w:t>
      </w:r>
    </w:p>
    <w:p w14:paraId="7E8BA394" w14:textId="43132FA9" w:rsidR="00102C54" w:rsidRPr="009F067D" w:rsidRDefault="00102C54" w:rsidP="00102C54">
      <w:pPr>
        <w:pStyle w:val="enumlev1"/>
      </w:pPr>
      <w:r w:rsidRPr="009F067D">
        <w:t>−</w:t>
      </w:r>
      <w:r w:rsidRPr="009F067D">
        <w:tab/>
      </w:r>
      <w:r w:rsidR="00084600" w:rsidRPr="009F067D">
        <w:t>чтобы рассмотреть вопрос о том, в каких с</w:t>
      </w:r>
      <w:r w:rsidR="00084600" w:rsidRPr="006E08D8">
        <w:t>лужбах радиосвязи</w:t>
      </w:r>
      <w:r w:rsidR="00084600" w:rsidRPr="009F067D">
        <w:t xml:space="preserve"> работают </w:t>
      </w:r>
      <w:r w:rsidR="00084600" w:rsidRPr="00582F89">
        <w:t>суборбитальные</w:t>
      </w:r>
      <w:r w:rsidRPr="009F067D">
        <w:t xml:space="preserve"> </w:t>
      </w:r>
      <w:r w:rsidR="00AB291E" w:rsidRPr="009F067D">
        <w:t>аппараты</w:t>
      </w:r>
      <w:r w:rsidRPr="009F067D">
        <w:t>.</w:t>
      </w:r>
    </w:p>
    <w:p w14:paraId="4E0F735B" w14:textId="296B9F28" w:rsidR="00102C54" w:rsidRPr="006E08D8" w:rsidRDefault="00F52D82" w:rsidP="00102C54">
      <w:r w:rsidRPr="009F067D">
        <w:t>На</w:t>
      </w:r>
      <w:r w:rsidR="00102C54" w:rsidRPr="009F067D">
        <w:t xml:space="preserve"> </w:t>
      </w:r>
      <w:r w:rsidR="00B058FB" w:rsidRPr="009F067D">
        <w:t>ПСК</w:t>
      </w:r>
      <w:r w:rsidR="00102C54" w:rsidRPr="009F067D">
        <w:t xml:space="preserve">19-2 </w:t>
      </w:r>
      <w:r w:rsidRPr="009F067D">
        <w:t>был подготовлен текст для вопроса</w:t>
      </w:r>
      <w:r w:rsidR="00102C54" w:rsidRPr="009F067D">
        <w:t xml:space="preserve"> 9.1.4 </w:t>
      </w:r>
      <w:r w:rsidRPr="009F067D">
        <w:t>в рамках пункта 9 повестки дня с единственным выводом о том,</w:t>
      </w:r>
      <w:r w:rsidR="00102C54" w:rsidRPr="009F067D">
        <w:t xml:space="preserve"> </w:t>
      </w:r>
      <w:r w:rsidRPr="009F067D">
        <w:t>что</w:t>
      </w:r>
      <w:r w:rsidR="00102C54" w:rsidRPr="009F067D">
        <w:t xml:space="preserve"> </w:t>
      </w:r>
      <w:r w:rsidRPr="009F067D">
        <w:t>в</w:t>
      </w:r>
      <w:r w:rsidRPr="006E08D8">
        <w:t>ероятно, в дальнейшем потребуется рассмотреть ряд эксплуатационных, технических и регламентарных вопросов, для чего необходимо будет продолжить исследования</w:t>
      </w:r>
      <w:r w:rsidR="00102C54" w:rsidRPr="009F067D">
        <w:t>.</w:t>
      </w:r>
    </w:p>
    <w:p w14:paraId="5F503678" w14:textId="37EA5608" w:rsidR="00102C54" w:rsidRPr="009F067D" w:rsidRDefault="00F52D82" w:rsidP="00102C54">
      <w:pPr>
        <w:pStyle w:val="Headingb"/>
        <w:rPr>
          <w:lang w:val="ru-RU"/>
        </w:rPr>
      </w:pPr>
      <w:r w:rsidRPr="009F067D">
        <w:rPr>
          <w:lang w:val="ru-RU"/>
        </w:rPr>
        <w:t>Выводы</w:t>
      </w:r>
    </w:p>
    <w:p w14:paraId="23468545" w14:textId="22711B84" w:rsidR="00102C54" w:rsidRPr="009F067D" w:rsidRDefault="00F52D82" w:rsidP="00102C54">
      <w:r w:rsidRPr="009F067D">
        <w:rPr>
          <w:iCs/>
        </w:rPr>
        <w:t xml:space="preserve">Исследования показали, что необходимо дополнительное </w:t>
      </w:r>
      <w:bookmarkStart w:id="8" w:name="_GoBack"/>
      <w:r w:rsidRPr="009F067D">
        <w:rPr>
          <w:iCs/>
        </w:rPr>
        <w:t>рассмотрение</w:t>
      </w:r>
      <w:r w:rsidR="00102C54" w:rsidRPr="009F067D">
        <w:rPr>
          <w:iCs/>
        </w:rPr>
        <w:t xml:space="preserve"> </w:t>
      </w:r>
      <w:r w:rsidRPr="009F067D">
        <w:rPr>
          <w:iCs/>
        </w:rPr>
        <w:t>вопроса об определении</w:t>
      </w:r>
      <w:r w:rsidR="00102C54" w:rsidRPr="009F067D">
        <w:rPr>
          <w:iCs/>
        </w:rPr>
        <w:t xml:space="preserve"> </w:t>
      </w:r>
      <w:r w:rsidRPr="00582F89">
        <w:rPr>
          <w:iCs/>
        </w:rPr>
        <w:t>суборбитального аппарата</w:t>
      </w:r>
      <w:r w:rsidR="00102C54" w:rsidRPr="009F067D">
        <w:rPr>
          <w:iCs/>
        </w:rPr>
        <w:t xml:space="preserve"> </w:t>
      </w:r>
      <w:r w:rsidRPr="009F067D">
        <w:rPr>
          <w:iCs/>
        </w:rPr>
        <w:t xml:space="preserve">в </w:t>
      </w:r>
      <w:r w:rsidRPr="00582F89">
        <w:rPr>
          <w:iCs/>
        </w:rPr>
        <w:t>Регламенте радиосвязи, а также о том,</w:t>
      </w:r>
      <w:r w:rsidR="00102C54" w:rsidRPr="00582F89">
        <w:rPr>
          <w:iCs/>
        </w:rPr>
        <w:t xml:space="preserve"> </w:t>
      </w:r>
      <w:r w:rsidRPr="00582F89">
        <w:rPr>
          <w:iCs/>
        </w:rPr>
        <w:t>в какой(их) службе(ах) радиосвязи они должны работать</w:t>
      </w:r>
      <w:r w:rsidR="00102C54" w:rsidRPr="00582F89">
        <w:rPr>
          <w:iCs/>
        </w:rPr>
        <w:t xml:space="preserve">. </w:t>
      </w:r>
      <w:r w:rsidRPr="00582F89">
        <w:rPr>
          <w:iCs/>
        </w:rPr>
        <w:t>Исследования также показывают, что</w:t>
      </w:r>
      <w:r w:rsidR="00102C54" w:rsidRPr="00582F89">
        <w:rPr>
          <w:iCs/>
        </w:rPr>
        <w:t xml:space="preserve"> </w:t>
      </w:r>
      <w:r w:rsidR="00114277" w:rsidRPr="00582F89">
        <w:rPr>
          <w:iCs/>
        </w:rPr>
        <w:t>на некоторых</w:t>
      </w:r>
      <w:r w:rsidR="00114277" w:rsidRPr="006E08D8">
        <w:t xml:space="preserve"> </w:t>
      </w:r>
      <w:bookmarkEnd w:id="8"/>
      <w:r w:rsidR="00114277" w:rsidRPr="006E08D8">
        <w:t>высотах</w:t>
      </w:r>
      <w:r w:rsidR="00102C54" w:rsidRPr="006E08D8">
        <w:t xml:space="preserve"> </w:t>
      </w:r>
      <w:r w:rsidR="00114277" w:rsidRPr="006E08D8">
        <w:t>может потребоваться принятие дополнительных технических и эксплуатационных мер для обеспечения безопасности полетов</w:t>
      </w:r>
      <w:r w:rsidR="00102C54" w:rsidRPr="006E08D8">
        <w:t xml:space="preserve"> </w:t>
      </w:r>
      <w:r w:rsidR="00AB291E" w:rsidRPr="006E08D8">
        <w:t>суборбитальных аппаратов</w:t>
      </w:r>
      <w:r w:rsidR="00102C54" w:rsidRPr="006E08D8">
        <w:t xml:space="preserve"> </w:t>
      </w:r>
      <w:r w:rsidR="00114277" w:rsidRPr="006E08D8">
        <w:t>и воздушных судов</w:t>
      </w:r>
      <w:r w:rsidR="00102C54" w:rsidRPr="006E08D8">
        <w:t xml:space="preserve">, </w:t>
      </w:r>
      <w:r w:rsidR="00114277" w:rsidRPr="006E08D8">
        <w:t>что является прерогативой ИКАО</w:t>
      </w:r>
      <w:r w:rsidR="00102C54" w:rsidRPr="006E08D8">
        <w:t xml:space="preserve">. </w:t>
      </w:r>
      <w:r w:rsidR="00114277" w:rsidRPr="006E08D8">
        <w:t>Так, например</w:t>
      </w:r>
      <w:r w:rsidR="00102C54" w:rsidRPr="006E08D8">
        <w:t>,</w:t>
      </w:r>
      <w:r w:rsidR="00102C54" w:rsidRPr="009F067D">
        <w:t xml:space="preserve"> </w:t>
      </w:r>
      <w:r w:rsidR="00114277" w:rsidRPr="009F067D">
        <w:t xml:space="preserve">применения </w:t>
      </w:r>
      <w:r w:rsidR="00102C54" w:rsidRPr="009F067D">
        <w:t xml:space="preserve">ATM </w:t>
      </w:r>
      <w:r w:rsidR="00114277" w:rsidRPr="009F067D">
        <w:t>требуют, чтобы оборудование радиосвязи было функционально совместимо со стандартизированными системами</w:t>
      </w:r>
      <w:r w:rsidR="00102C54" w:rsidRPr="009F067D">
        <w:t xml:space="preserve"> </w:t>
      </w:r>
      <w:r w:rsidR="00B058FB" w:rsidRPr="009F067D">
        <w:t>ИКАО</w:t>
      </w:r>
      <w:r w:rsidR="00102C54" w:rsidRPr="009F067D">
        <w:t xml:space="preserve"> </w:t>
      </w:r>
      <w:r w:rsidR="000B7CED" w:rsidRPr="009F067D">
        <w:t>на всех</w:t>
      </w:r>
      <w:r w:rsidR="00102C54" w:rsidRPr="009F067D">
        <w:t xml:space="preserve"> </w:t>
      </w:r>
      <w:r w:rsidR="000B7CED" w:rsidRPr="009F067D">
        <w:t>этапах полета</w:t>
      </w:r>
      <w:r w:rsidR="00102C54" w:rsidRPr="009F067D">
        <w:t xml:space="preserve">, </w:t>
      </w:r>
      <w:r w:rsidR="000B7CED" w:rsidRPr="009F067D">
        <w:t>чтобы</w:t>
      </w:r>
      <w:r w:rsidR="00102C54" w:rsidRPr="009F067D">
        <w:t xml:space="preserve"> </w:t>
      </w:r>
      <w:r w:rsidR="000B7CED" w:rsidRPr="009F067D">
        <w:t>избежать столкновений с обычными воздушными судами</w:t>
      </w:r>
      <w:r w:rsidR="009F067D">
        <w:t xml:space="preserve">. </w:t>
      </w:r>
      <w:r w:rsidR="000B7CED" w:rsidRPr="009F067D">
        <w:t>Поэтому, необходимы дополнительные</w:t>
      </w:r>
      <w:r w:rsidR="00102C54" w:rsidRPr="009F067D">
        <w:t xml:space="preserve"> </w:t>
      </w:r>
      <w:r w:rsidR="000B7CED" w:rsidRPr="009F067D">
        <w:t>технические исследования</w:t>
      </w:r>
      <w:r w:rsidR="00102C54" w:rsidRPr="009F067D">
        <w:t xml:space="preserve"> </w:t>
      </w:r>
      <w:r w:rsidR="000B7CED" w:rsidRPr="009F067D">
        <w:t>и регламентарные положения, чтобы улучшить интегрирование</w:t>
      </w:r>
      <w:r w:rsidR="00102C54" w:rsidRPr="009F067D">
        <w:t xml:space="preserve"> </w:t>
      </w:r>
      <w:r w:rsidR="000B7CED" w:rsidRPr="009F067D">
        <w:t>суборбитальных</w:t>
      </w:r>
      <w:r w:rsidR="00102C54" w:rsidRPr="009F067D">
        <w:t xml:space="preserve"> </w:t>
      </w:r>
      <w:r w:rsidR="00AB291E" w:rsidRPr="009F067D">
        <w:t>аппарат</w:t>
      </w:r>
      <w:r w:rsidR="000B7CED" w:rsidRPr="009F067D">
        <w:t>ов</w:t>
      </w:r>
      <w:r w:rsidR="00102C54" w:rsidRPr="009F067D">
        <w:t xml:space="preserve"> </w:t>
      </w:r>
      <w:r w:rsidR="000B7CED" w:rsidRPr="009F067D">
        <w:t>в системы</w:t>
      </w:r>
      <w:r w:rsidR="00102C54" w:rsidRPr="009F067D">
        <w:t xml:space="preserve"> ATM. </w:t>
      </w:r>
    </w:p>
    <w:p w14:paraId="35E653E1" w14:textId="77777777" w:rsidR="00DE7680" w:rsidRPr="009F067D" w:rsidRDefault="007F2BE4">
      <w:pPr>
        <w:pStyle w:val="Proposal"/>
      </w:pPr>
      <w:r w:rsidRPr="009F067D">
        <w:lastRenderedPageBreak/>
        <w:t>SUP</w:t>
      </w:r>
      <w:r w:rsidRPr="009F067D">
        <w:tab/>
        <w:t>IAP/11A21A4/1</w:t>
      </w:r>
    </w:p>
    <w:p w14:paraId="602CA29F" w14:textId="77777777" w:rsidR="008C3625" w:rsidRPr="009F067D" w:rsidRDefault="007F2BE4" w:rsidP="008C3625">
      <w:pPr>
        <w:pStyle w:val="ResNo"/>
      </w:pPr>
      <w:bookmarkStart w:id="9" w:name="_Toc450292786"/>
      <w:r w:rsidRPr="009F067D">
        <w:rPr>
          <w:caps w:val="0"/>
        </w:rPr>
        <w:t xml:space="preserve">РЕЗОЛЮЦИЯ  </w:t>
      </w:r>
      <w:r w:rsidRPr="009F067D">
        <w:rPr>
          <w:rStyle w:val="href"/>
          <w:caps w:val="0"/>
        </w:rPr>
        <w:t>763</w:t>
      </w:r>
      <w:r w:rsidRPr="009F067D">
        <w:rPr>
          <w:caps w:val="0"/>
        </w:rPr>
        <w:t xml:space="preserve">  (ВКР-15)</w:t>
      </w:r>
      <w:bookmarkEnd w:id="9"/>
    </w:p>
    <w:p w14:paraId="2B679D55" w14:textId="77777777" w:rsidR="008C3625" w:rsidRPr="009F067D" w:rsidRDefault="007F2BE4" w:rsidP="008C3625">
      <w:pPr>
        <w:pStyle w:val="Restitle"/>
      </w:pPr>
      <w:bookmarkStart w:id="10" w:name="_Toc450292787"/>
      <w:r w:rsidRPr="009F067D">
        <w:t>Станции на борту суборбитальных аппаратов</w:t>
      </w:r>
      <w:bookmarkEnd w:id="10"/>
    </w:p>
    <w:p w14:paraId="72E4AB14" w14:textId="1A2465F6" w:rsidR="00DE7680" w:rsidRPr="009F067D" w:rsidRDefault="007F2BE4">
      <w:pPr>
        <w:pStyle w:val="Reasons"/>
      </w:pPr>
      <w:r w:rsidRPr="009F067D">
        <w:rPr>
          <w:b/>
        </w:rPr>
        <w:t>Основания</w:t>
      </w:r>
      <w:r w:rsidRPr="009F067D">
        <w:rPr>
          <w:bCs/>
        </w:rPr>
        <w:t>:</w:t>
      </w:r>
      <w:r w:rsidRPr="009F067D">
        <w:rPr>
          <w:bCs/>
        </w:rPr>
        <w:tab/>
      </w:r>
      <w:r w:rsidR="000B7CED" w:rsidRPr="009F067D">
        <w:t>Исследования, проведенные исследовательскими комиссиями МСЭ</w:t>
      </w:r>
      <w:r w:rsidR="000C4145" w:rsidRPr="009F067D">
        <w:t xml:space="preserve">-R </w:t>
      </w:r>
      <w:r w:rsidR="000B7CED" w:rsidRPr="009F067D">
        <w:t>по этому вопросу, завершены</w:t>
      </w:r>
      <w:r w:rsidR="000C4145" w:rsidRPr="009F067D">
        <w:t xml:space="preserve">; </w:t>
      </w:r>
      <w:r w:rsidR="000B7CED" w:rsidRPr="009F067D">
        <w:t>поэтому</w:t>
      </w:r>
      <w:r w:rsidR="000C4145" w:rsidRPr="009F067D">
        <w:t xml:space="preserve">, </w:t>
      </w:r>
      <w:r w:rsidR="000B7CED" w:rsidRPr="009F067D">
        <w:t>Резолюция</w:t>
      </w:r>
      <w:r w:rsidR="000C4145" w:rsidRPr="009F067D">
        <w:t xml:space="preserve"> </w:t>
      </w:r>
      <w:r w:rsidR="000C4145" w:rsidRPr="009F067D">
        <w:rPr>
          <w:b/>
          <w:bCs/>
        </w:rPr>
        <w:t>763 (ВКР-15)</w:t>
      </w:r>
      <w:r w:rsidR="000C4145" w:rsidRPr="009F067D">
        <w:t xml:space="preserve"> </w:t>
      </w:r>
      <w:r w:rsidR="000B7CED" w:rsidRPr="009F067D">
        <w:rPr>
          <w:color w:val="000000"/>
          <w:shd w:val="clear" w:color="auto" w:fill="FFFFFF"/>
        </w:rPr>
        <w:t>больше не требуется</w:t>
      </w:r>
      <w:r w:rsidR="000C4145" w:rsidRPr="009F067D">
        <w:t>.</w:t>
      </w:r>
    </w:p>
    <w:p w14:paraId="1E5CCE18" w14:textId="77777777" w:rsidR="000C4145" w:rsidRPr="009F067D" w:rsidRDefault="000C4145" w:rsidP="000C4145">
      <w:pPr>
        <w:spacing w:before="720"/>
        <w:jc w:val="center"/>
      </w:pPr>
      <w:r w:rsidRPr="009F067D">
        <w:t>______________</w:t>
      </w:r>
    </w:p>
    <w:sectPr w:rsidR="000C4145" w:rsidRPr="009F067D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56B17" w14:textId="77777777" w:rsidR="008C3625" w:rsidRDefault="008C3625">
      <w:r>
        <w:separator/>
      </w:r>
    </w:p>
  </w:endnote>
  <w:endnote w:type="continuationSeparator" w:id="0">
    <w:p w14:paraId="55AEC24A" w14:textId="77777777" w:rsidR="008C3625" w:rsidRDefault="008C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0AF30" w14:textId="77777777" w:rsidR="008C3625" w:rsidRDefault="008C362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FFD8BEC" w14:textId="5C8FEB28" w:rsidR="008C3625" w:rsidRDefault="008C3625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82F89">
      <w:rPr>
        <w:noProof/>
        <w:lang w:val="fr-FR"/>
      </w:rPr>
      <w:t>P:\RUS\ITU-R\CONF-R\CMR19\000\011ADD21ADD04R.docx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82F89">
      <w:rPr>
        <w:noProof/>
      </w:rPr>
      <w:t>18.10.19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82F89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5E669" w14:textId="7F232D73" w:rsidR="008C3625" w:rsidRPr="0046537D" w:rsidRDefault="008C3625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82F89">
      <w:rPr>
        <w:lang w:val="fr-FR"/>
      </w:rPr>
      <w:t>P:\RUS\ITU-R\CONF-R\CMR19\000\011ADD21ADD04R.docx</w:t>
    </w:r>
    <w:r>
      <w:fldChar w:fldCharType="end"/>
    </w:r>
    <w:r w:rsidRPr="0046537D">
      <w:t xml:space="preserve"> (460831)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2FA41" w14:textId="4D1831C4" w:rsidR="008C3625" w:rsidRPr="0046537D" w:rsidRDefault="008C3625" w:rsidP="00FB67E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82F89">
      <w:rPr>
        <w:lang w:val="fr-FR"/>
      </w:rPr>
      <w:t>P:\RUS\ITU-R\CONF-R\CMR19\000\011ADD21ADD04R.docx</w:t>
    </w:r>
    <w:r>
      <w:fldChar w:fldCharType="end"/>
    </w:r>
    <w:r w:rsidRPr="0046537D">
      <w:t xml:space="preserve"> (460831)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CE6DB" w14:textId="77777777" w:rsidR="008C3625" w:rsidRDefault="008C3625">
      <w:r>
        <w:rPr>
          <w:b/>
        </w:rPr>
        <w:t>_______________</w:t>
      </w:r>
    </w:p>
  </w:footnote>
  <w:footnote w:type="continuationSeparator" w:id="0">
    <w:p w14:paraId="0598FC63" w14:textId="77777777" w:rsidR="008C3625" w:rsidRDefault="008C3625">
      <w:r>
        <w:continuationSeparator/>
      </w:r>
    </w:p>
  </w:footnote>
  <w:footnote w:id="1">
    <w:p w14:paraId="63735C37" w14:textId="0BAABA51" w:rsidR="008C3625" w:rsidRPr="00900C5D" w:rsidRDefault="008C3625" w:rsidP="00B058FB">
      <w:pPr>
        <w:pStyle w:val="FootnoteText"/>
        <w:rPr>
          <w:color w:val="222222"/>
          <w:shd w:val="clear" w:color="auto" w:fill="FFFFFF"/>
          <w:lang w:val="ru-RU"/>
        </w:rPr>
      </w:pPr>
      <w:r w:rsidRPr="00B058FB">
        <w:rPr>
          <w:rStyle w:val="FootnoteReference"/>
        </w:rPr>
        <w:footnoteRef/>
      </w:r>
      <w:r w:rsidRPr="00900C5D">
        <w:rPr>
          <w:rStyle w:val="FootnoteReference"/>
          <w:lang w:val="ru-RU"/>
        </w:rPr>
        <w:t xml:space="preserve"> </w:t>
      </w:r>
      <w:r w:rsidRPr="00900C5D">
        <w:rPr>
          <w:lang w:val="ru-RU"/>
        </w:rPr>
        <w:tab/>
      </w:r>
      <w:r w:rsidR="00900C5D" w:rsidRPr="00900C5D">
        <w:rPr>
          <w:lang w:val="ru-RU"/>
        </w:rPr>
        <w:t>Суборбитальный аппарат</w:t>
      </w:r>
      <w:r w:rsidRPr="00900C5D">
        <w:rPr>
          <w:lang w:val="ru-RU"/>
        </w:rPr>
        <w:t xml:space="preserve">: </w:t>
      </w:r>
      <w:r w:rsidR="00900C5D" w:rsidRPr="00900C5D">
        <w:rPr>
          <w:lang w:val="ru-RU"/>
        </w:rPr>
        <w:t>аппарат, предназначенный для с</w:t>
      </w:r>
      <w:r w:rsidR="00900C5D" w:rsidRPr="00582F89">
        <w:rPr>
          <w:lang w:val="ru-RU"/>
        </w:rPr>
        <w:t>уборбитальных полетов</w:t>
      </w:r>
      <w:r w:rsidRPr="00900C5D">
        <w:rPr>
          <w:lang w:val="ru-RU"/>
        </w:rPr>
        <w:t xml:space="preserve">, </w:t>
      </w:r>
      <w:r w:rsidR="00CE58D3">
        <w:rPr>
          <w:lang w:val="ru-RU"/>
        </w:rPr>
        <w:t xml:space="preserve">причем </w:t>
      </w:r>
      <w:r w:rsidR="00900C5D" w:rsidRPr="00900C5D">
        <w:rPr>
          <w:lang w:val="ru-RU"/>
        </w:rPr>
        <w:t>все или некоторые</w:t>
      </w:r>
      <w:r w:rsidRPr="00900C5D">
        <w:rPr>
          <w:lang w:val="ru-RU"/>
        </w:rPr>
        <w:t xml:space="preserve"> </w:t>
      </w:r>
      <w:r w:rsidR="00900C5D" w:rsidRPr="00900C5D">
        <w:rPr>
          <w:lang w:val="ru-RU"/>
        </w:rPr>
        <w:t xml:space="preserve">стадии или компоненты </w:t>
      </w:r>
      <w:r w:rsidR="00A7294C">
        <w:rPr>
          <w:lang w:val="ru-RU"/>
        </w:rPr>
        <w:t>этого аппарата</w:t>
      </w:r>
      <w:r w:rsidR="00900C5D" w:rsidRPr="00900C5D">
        <w:rPr>
          <w:lang w:val="ru-RU"/>
        </w:rPr>
        <w:t xml:space="preserve"> могут</w:t>
      </w:r>
      <w:r w:rsidRPr="00900C5D">
        <w:rPr>
          <w:lang w:val="ru-RU"/>
        </w:rPr>
        <w:t xml:space="preserve"> </w:t>
      </w:r>
      <w:r w:rsidR="00900C5D" w:rsidRPr="00900C5D">
        <w:rPr>
          <w:lang w:val="ru-RU"/>
        </w:rPr>
        <w:t>быть использованы</w:t>
      </w:r>
      <w:r w:rsidR="00900C5D">
        <w:rPr>
          <w:lang w:val="ru-RU"/>
        </w:rPr>
        <w:t xml:space="preserve"> многократно </w:t>
      </w:r>
      <w:r w:rsidR="00900C5D" w:rsidRPr="00900C5D">
        <w:rPr>
          <w:lang w:val="ru-RU"/>
        </w:rPr>
        <w:t xml:space="preserve">или </w:t>
      </w:r>
      <w:r w:rsidR="00900C5D">
        <w:rPr>
          <w:lang w:val="ru-RU"/>
        </w:rPr>
        <w:t>однократно</w:t>
      </w:r>
      <w:r w:rsidRPr="00900C5D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F8740" w14:textId="6531F89C" w:rsidR="008C3625" w:rsidRPr="00434A7C" w:rsidRDefault="008C3625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2F89">
      <w:rPr>
        <w:noProof/>
      </w:rPr>
      <w:t>4</w:t>
    </w:r>
    <w:r>
      <w:fldChar w:fldCharType="end"/>
    </w:r>
  </w:p>
  <w:p w14:paraId="73644B4F" w14:textId="77777777" w:rsidR="008C3625" w:rsidRDefault="008C3625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/11(Add.21)(Add.4)-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7E2E7BE5"/>
    <w:multiLevelType w:val="hybridMultilevel"/>
    <w:tmpl w:val="3034A9CC"/>
    <w:lvl w:ilvl="0" w:tplc="A3F8D0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ED74A04"/>
    <w:multiLevelType w:val="hybridMultilevel"/>
    <w:tmpl w:val="486A7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16955"/>
    <w:rsid w:val="000260F1"/>
    <w:rsid w:val="0003535B"/>
    <w:rsid w:val="00066953"/>
    <w:rsid w:val="0007291E"/>
    <w:rsid w:val="00084600"/>
    <w:rsid w:val="000A0EF3"/>
    <w:rsid w:val="000A792D"/>
    <w:rsid w:val="000B7CED"/>
    <w:rsid w:val="000C3F55"/>
    <w:rsid w:val="000C4145"/>
    <w:rsid w:val="000F33D8"/>
    <w:rsid w:val="000F39B4"/>
    <w:rsid w:val="00102C54"/>
    <w:rsid w:val="00113D0B"/>
    <w:rsid w:val="00114277"/>
    <w:rsid w:val="001226EC"/>
    <w:rsid w:val="00123B68"/>
    <w:rsid w:val="00124C09"/>
    <w:rsid w:val="00126F2E"/>
    <w:rsid w:val="001521AE"/>
    <w:rsid w:val="00195553"/>
    <w:rsid w:val="001A5585"/>
    <w:rsid w:val="001C24FA"/>
    <w:rsid w:val="001E5FB4"/>
    <w:rsid w:val="00202CA0"/>
    <w:rsid w:val="002215FC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64C7A"/>
    <w:rsid w:val="00371E4B"/>
    <w:rsid w:val="003A4410"/>
    <w:rsid w:val="003C583C"/>
    <w:rsid w:val="003F0078"/>
    <w:rsid w:val="00434A7C"/>
    <w:rsid w:val="0045143A"/>
    <w:rsid w:val="0046537D"/>
    <w:rsid w:val="004A58F4"/>
    <w:rsid w:val="004B716F"/>
    <w:rsid w:val="004C1369"/>
    <w:rsid w:val="004C47ED"/>
    <w:rsid w:val="004F00E3"/>
    <w:rsid w:val="004F3B0D"/>
    <w:rsid w:val="0051315E"/>
    <w:rsid w:val="005144A9"/>
    <w:rsid w:val="00514E1F"/>
    <w:rsid w:val="00521B1D"/>
    <w:rsid w:val="0053003D"/>
    <w:rsid w:val="005305D5"/>
    <w:rsid w:val="005368B8"/>
    <w:rsid w:val="00540D1E"/>
    <w:rsid w:val="0056516D"/>
    <w:rsid w:val="005651C9"/>
    <w:rsid w:val="005669E7"/>
    <w:rsid w:val="00567276"/>
    <w:rsid w:val="005755E2"/>
    <w:rsid w:val="00582F89"/>
    <w:rsid w:val="00597005"/>
    <w:rsid w:val="005A295E"/>
    <w:rsid w:val="005C1F4C"/>
    <w:rsid w:val="005D1879"/>
    <w:rsid w:val="005D21AB"/>
    <w:rsid w:val="005D79A3"/>
    <w:rsid w:val="005E61DD"/>
    <w:rsid w:val="006023DF"/>
    <w:rsid w:val="006104EE"/>
    <w:rsid w:val="006115BE"/>
    <w:rsid w:val="00614771"/>
    <w:rsid w:val="00620DD7"/>
    <w:rsid w:val="00657DE0"/>
    <w:rsid w:val="00662F28"/>
    <w:rsid w:val="00692C06"/>
    <w:rsid w:val="006A6E9B"/>
    <w:rsid w:val="006E08D8"/>
    <w:rsid w:val="00763F4F"/>
    <w:rsid w:val="00775720"/>
    <w:rsid w:val="00777F2B"/>
    <w:rsid w:val="007917AE"/>
    <w:rsid w:val="007A08B5"/>
    <w:rsid w:val="007F2BE4"/>
    <w:rsid w:val="007F3F7D"/>
    <w:rsid w:val="007F6BB7"/>
    <w:rsid w:val="00811633"/>
    <w:rsid w:val="00812452"/>
    <w:rsid w:val="00815749"/>
    <w:rsid w:val="00872FC8"/>
    <w:rsid w:val="008A1EDC"/>
    <w:rsid w:val="008B43F2"/>
    <w:rsid w:val="008C3257"/>
    <w:rsid w:val="008C3625"/>
    <w:rsid w:val="008C401C"/>
    <w:rsid w:val="00900C5D"/>
    <w:rsid w:val="00907052"/>
    <w:rsid w:val="009119CC"/>
    <w:rsid w:val="009150BC"/>
    <w:rsid w:val="00917C0A"/>
    <w:rsid w:val="00941A02"/>
    <w:rsid w:val="00951A9F"/>
    <w:rsid w:val="00966C93"/>
    <w:rsid w:val="00970077"/>
    <w:rsid w:val="00987FA4"/>
    <w:rsid w:val="009B5CC2"/>
    <w:rsid w:val="009C022E"/>
    <w:rsid w:val="009C33D5"/>
    <w:rsid w:val="009D3D63"/>
    <w:rsid w:val="009D7240"/>
    <w:rsid w:val="009E5FC8"/>
    <w:rsid w:val="009F067D"/>
    <w:rsid w:val="00A117A3"/>
    <w:rsid w:val="00A138D0"/>
    <w:rsid w:val="00A141AF"/>
    <w:rsid w:val="00A2044F"/>
    <w:rsid w:val="00A4600A"/>
    <w:rsid w:val="00A57C04"/>
    <w:rsid w:val="00A61057"/>
    <w:rsid w:val="00A710E7"/>
    <w:rsid w:val="00A7294C"/>
    <w:rsid w:val="00A81026"/>
    <w:rsid w:val="00A97EC0"/>
    <w:rsid w:val="00AB291E"/>
    <w:rsid w:val="00AB3E57"/>
    <w:rsid w:val="00AB56C4"/>
    <w:rsid w:val="00AC66E6"/>
    <w:rsid w:val="00AD0F84"/>
    <w:rsid w:val="00B058FB"/>
    <w:rsid w:val="00B24E60"/>
    <w:rsid w:val="00B3683F"/>
    <w:rsid w:val="00B468A6"/>
    <w:rsid w:val="00B7013D"/>
    <w:rsid w:val="00B75113"/>
    <w:rsid w:val="00BA13A4"/>
    <w:rsid w:val="00BA1AA1"/>
    <w:rsid w:val="00BA2668"/>
    <w:rsid w:val="00BA35DC"/>
    <w:rsid w:val="00BC2711"/>
    <w:rsid w:val="00BC5313"/>
    <w:rsid w:val="00BD0D2F"/>
    <w:rsid w:val="00BD1129"/>
    <w:rsid w:val="00C0572C"/>
    <w:rsid w:val="00C20466"/>
    <w:rsid w:val="00C266F4"/>
    <w:rsid w:val="00C27901"/>
    <w:rsid w:val="00C324A8"/>
    <w:rsid w:val="00C56E7A"/>
    <w:rsid w:val="00C779CE"/>
    <w:rsid w:val="00C916AF"/>
    <w:rsid w:val="00CC283D"/>
    <w:rsid w:val="00CC47C6"/>
    <w:rsid w:val="00CC4DE6"/>
    <w:rsid w:val="00CE58D3"/>
    <w:rsid w:val="00CE5E47"/>
    <w:rsid w:val="00CF020F"/>
    <w:rsid w:val="00D53715"/>
    <w:rsid w:val="00D9390A"/>
    <w:rsid w:val="00DC4DB8"/>
    <w:rsid w:val="00DE2EBA"/>
    <w:rsid w:val="00DE7680"/>
    <w:rsid w:val="00E2253F"/>
    <w:rsid w:val="00E2728E"/>
    <w:rsid w:val="00E43E99"/>
    <w:rsid w:val="00E5155F"/>
    <w:rsid w:val="00E65919"/>
    <w:rsid w:val="00E976C1"/>
    <w:rsid w:val="00EA0C0C"/>
    <w:rsid w:val="00EB66F7"/>
    <w:rsid w:val="00F1578A"/>
    <w:rsid w:val="00F15D1C"/>
    <w:rsid w:val="00F21A03"/>
    <w:rsid w:val="00F22664"/>
    <w:rsid w:val="00F33B22"/>
    <w:rsid w:val="00F52D82"/>
    <w:rsid w:val="00F570CD"/>
    <w:rsid w:val="00F65316"/>
    <w:rsid w:val="00F65C19"/>
    <w:rsid w:val="00F761D2"/>
    <w:rsid w:val="00F97203"/>
    <w:rsid w:val="00F9744A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24B480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styleId="NormalWeb">
    <w:name w:val="Normal (Web)"/>
    <w:basedOn w:val="Normal"/>
    <w:semiHidden/>
    <w:unhideWhenUsed/>
    <w:rsid w:val="00102C54"/>
    <w:rPr>
      <w:sz w:val="24"/>
      <w:szCs w:val="24"/>
      <w:lang w:val="en-GB"/>
    </w:rPr>
  </w:style>
  <w:style w:type="character" w:styleId="Hyperlink">
    <w:name w:val="Hyperlink"/>
    <w:basedOn w:val="DefaultParagraphFont"/>
    <w:unhideWhenUsed/>
    <w:rsid w:val="00102C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R16-WRC19-C-0011!A21-A4!MSW-R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E06C1-44A2-433D-AD2E-F020C796CA9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48608EB-1002-4B99-B838-9FBFA1582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F2F1F8-267F-4F63-941A-A983D269522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28C0B9C-E1A2-4D69-A11E-F6CC8777C9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17EB30-EE5D-44D5-A055-5C57B3A0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1165</Words>
  <Characters>8574</Characters>
  <Application>Microsoft Office Word</Application>
  <DocSecurity>0</DocSecurity>
  <Lines>145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R16-WRC19-C-0011!A21-A4!MSW-R</vt:lpstr>
    </vt:vector>
  </TitlesOfParts>
  <Manager>General Secretariat - Pool</Manager>
  <Company>International Telecommunication Union (ITU)</Company>
  <LinksUpToDate>false</LinksUpToDate>
  <CharactersWithSpaces>9696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R16-WRC19-C-0011!A21-A4!MSW-R</dc:title>
  <dc:subject>World Radiocommunication Conference - 2019</dc:subject>
  <dc:creator>Documents Proposals Manager (DPM)</dc:creator>
  <cp:keywords>DPM_v2019.9.18.2_prod</cp:keywords>
  <dc:description/>
  <cp:lastModifiedBy>Berdyeva, Elena</cp:lastModifiedBy>
  <cp:revision>9</cp:revision>
  <cp:lastPrinted>2019-10-18T08:27:00Z</cp:lastPrinted>
  <dcterms:created xsi:type="dcterms:W3CDTF">2019-10-10T11:44:00Z</dcterms:created>
  <dcterms:modified xsi:type="dcterms:W3CDTF">2019-10-18T08:28:00Z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