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14:paraId="38B78743" w14:textId="77777777" w:rsidTr="0050008E">
        <w:trPr>
          <w:cantSplit/>
        </w:trPr>
        <w:tc>
          <w:tcPr>
            <w:tcW w:w="6911" w:type="dxa"/>
          </w:tcPr>
          <w:p w14:paraId="5F54377D" w14:textId="77777777" w:rsidR="0090121B" w:rsidRPr="00EA77F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3CE1AD06" w14:textId="77777777" w:rsidR="0090121B" w:rsidRPr="0002785D" w:rsidRDefault="00DA71A3" w:rsidP="00CE7431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6B5D5E21" wp14:editId="77F0F858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2EC7E0A5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3CCE523" w14:textId="77777777"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67F5AB7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6B782520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501DC54" w14:textId="77777777"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36E59CE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241C9764" w14:textId="77777777" w:rsidTr="0090121B">
        <w:trPr>
          <w:cantSplit/>
        </w:trPr>
        <w:tc>
          <w:tcPr>
            <w:tcW w:w="6911" w:type="dxa"/>
          </w:tcPr>
          <w:p w14:paraId="7B352F0A" w14:textId="77777777" w:rsidR="0090121B" w:rsidRPr="00B239FA" w:rsidRDefault="001E7D42" w:rsidP="00EA77F0">
            <w:pPr>
              <w:pStyle w:val="Committee"/>
              <w:framePr w:hSpace="0" w:wrap="auto" w:hAnchor="text" w:yAlign="inline"/>
            </w:pPr>
            <w:r w:rsidRPr="001E7D42">
              <w:t>SESIÓN PLENARIA</w:t>
            </w:r>
          </w:p>
        </w:tc>
        <w:tc>
          <w:tcPr>
            <w:tcW w:w="3120" w:type="dxa"/>
          </w:tcPr>
          <w:p w14:paraId="425A7A8F" w14:textId="77777777" w:rsidR="0090121B" w:rsidRPr="00493655" w:rsidRDefault="00AE658F" w:rsidP="0045384C">
            <w:pPr>
              <w:spacing w:before="0"/>
              <w:rPr>
                <w:rFonts w:ascii="Verdana" w:hAnsi="Verdana"/>
                <w:sz w:val="20"/>
                <w:lang w:val="es-ES"/>
              </w:rPr>
            </w:pPr>
            <w:r w:rsidRPr="00493655">
              <w:rPr>
                <w:rFonts w:ascii="Verdana" w:hAnsi="Verdana"/>
                <w:b/>
                <w:sz w:val="20"/>
                <w:lang w:val="es-ES"/>
              </w:rPr>
              <w:t>Addéndum 4 al</w:t>
            </w:r>
            <w:r w:rsidRPr="00493655">
              <w:rPr>
                <w:rFonts w:ascii="Verdana" w:hAnsi="Verdana"/>
                <w:b/>
                <w:sz w:val="20"/>
                <w:lang w:val="es-ES"/>
              </w:rPr>
              <w:br/>
              <w:t>Documento 11(Add.21)</w:t>
            </w:r>
            <w:r w:rsidR="0090121B" w:rsidRPr="00493655">
              <w:rPr>
                <w:rFonts w:ascii="Verdana" w:hAnsi="Verdana"/>
                <w:b/>
                <w:sz w:val="20"/>
                <w:lang w:val="es-ES"/>
              </w:rPr>
              <w:t>-</w:t>
            </w:r>
            <w:r w:rsidRPr="00493655">
              <w:rPr>
                <w:rFonts w:ascii="Verdana" w:hAnsi="Verdana"/>
                <w:b/>
                <w:sz w:val="20"/>
                <w:lang w:val="es-ES"/>
              </w:rPr>
              <w:t>S</w:t>
            </w:r>
          </w:p>
        </w:tc>
      </w:tr>
      <w:bookmarkEnd w:id="1"/>
      <w:tr w:rsidR="000A5B9A" w:rsidRPr="0002785D" w14:paraId="32D60622" w14:textId="77777777" w:rsidTr="0090121B">
        <w:trPr>
          <w:cantSplit/>
        </w:trPr>
        <w:tc>
          <w:tcPr>
            <w:tcW w:w="6911" w:type="dxa"/>
          </w:tcPr>
          <w:p w14:paraId="77E8B031" w14:textId="77777777" w:rsidR="000A5B9A" w:rsidRPr="00493655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20" w:type="dxa"/>
          </w:tcPr>
          <w:p w14:paraId="34BC31FA" w14:textId="77777777"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13 de septiembre de 2019</w:t>
            </w:r>
          </w:p>
        </w:tc>
      </w:tr>
      <w:tr w:rsidR="000A5B9A" w:rsidRPr="0002785D" w14:paraId="6E38783B" w14:textId="77777777" w:rsidTr="0090121B">
        <w:trPr>
          <w:cantSplit/>
        </w:trPr>
        <w:tc>
          <w:tcPr>
            <w:tcW w:w="6911" w:type="dxa"/>
          </w:tcPr>
          <w:p w14:paraId="57B616AC" w14:textId="77777777"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7F90B9E5" w14:textId="77777777"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Original: inglés</w:t>
            </w:r>
            <w:r w:rsidR="00493655">
              <w:rPr>
                <w:rFonts w:ascii="Verdana" w:hAnsi="Verdana"/>
                <w:b/>
                <w:sz w:val="20"/>
                <w:lang w:val="en-US"/>
              </w:rPr>
              <w:t>/español</w:t>
            </w:r>
          </w:p>
        </w:tc>
      </w:tr>
      <w:tr w:rsidR="000A5B9A" w:rsidRPr="0002785D" w14:paraId="6FD335A7" w14:textId="77777777" w:rsidTr="006744FC">
        <w:trPr>
          <w:cantSplit/>
        </w:trPr>
        <w:tc>
          <w:tcPr>
            <w:tcW w:w="10031" w:type="dxa"/>
            <w:gridSpan w:val="2"/>
          </w:tcPr>
          <w:p w14:paraId="07695AF6" w14:textId="77777777"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14:paraId="61CCB3DC" w14:textId="77777777" w:rsidTr="0050008E">
        <w:trPr>
          <w:cantSplit/>
        </w:trPr>
        <w:tc>
          <w:tcPr>
            <w:tcW w:w="10031" w:type="dxa"/>
            <w:gridSpan w:val="2"/>
          </w:tcPr>
          <w:p w14:paraId="14BE40E8" w14:textId="77777777" w:rsidR="000A5B9A" w:rsidRPr="00493655" w:rsidRDefault="000A5B9A" w:rsidP="000A5B9A">
            <w:pPr>
              <w:pStyle w:val="Source"/>
              <w:rPr>
                <w:lang w:val="es-ES"/>
              </w:rPr>
            </w:pPr>
            <w:bookmarkStart w:id="2" w:name="dsource" w:colFirst="0" w:colLast="0"/>
            <w:r w:rsidRPr="00493655">
              <w:rPr>
                <w:lang w:val="es-ES"/>
              </w:rPr>
              <w:t>Estados Miembros de la Comisión Interamericana de Telecomunicaciones (CITEL)</w:t>
            </w:r>
          </w:p>
        </w:tc>
      </w:tr>
      <w:tr w:rsidR="000A5B9A" w:rsidRPr="00121AD9" w14:paraId="40AB8BE1" w14:textId="77777777" w:rsidTr="0050008E">
        <w:trPr>
          <w:cantSplit/>
        </w:trPr>
        <w:tc>
          <w:tcPr>
            <w:tcW w:w="10031" w:type="dxa"/>
            <w:gridSpan w:val="2"/>
          </w:tcPr>
          <w:p w14:paraId="051CE5E1" w14:textId="77777777" w:rsidR="000A5B9A" w:rsidRPr="00121AD9" w:rsidRDefault="00121AD9" w:rsidP="000A5B9A">
            <w:pPr>
              <w:pStyle w:val="Title1"/>
              <w:rPr>
                <w:lang w:val="es-ES"/>
              </w:rPr>
            </w:pPr>
            <w:bookmarkStart w:id="3" w:name="dtitle1" w:colFirst="0" w:colLast="0"/>
            <w:bookmarkEnd w:id="2"/>
            <w:r w:rsidRPr="00A760A4">
              <w:rPr>
                <w:lang w:val="es-ES"/>
              </w:rPr>
              <w:t>Propuestas para los trabajos de la Conferencia</w:t>
            </w:r>
          </w:p>
        </w:tc>
      </w:tr>
      <w:tr w:rsidR="000A5B9A" w:rsidRPr="00121AD9" w14:paraId="06F9A2E6" w14:textId="77777777" w:rsidTr="0050008E">
        <w:trPr>
          <w:cantSplit/>
        </w:trPr>
        <w:tc>
          <w:tcPr>
            <w:tcW w:w="10031" w:type="dxa"/>
            <w:gridSpan w:val="2"/>
          </w:tcPr>
          <w:p w14:paraId="102217D9" w14:textId="77777777" w:rsidR="000A5B9A" w:rsidRPr="00121AD9" w:rsidRDefault="000A5B9A" w:rsidP="000A5B9A">
            <w:pPr>
              <w:pStyle w:val="Title2"/>
              <w:rPr>
                <w:lang w:val="es-ES"/>
              </w:rPr>
            </w:pPr>
            <w:bookmarkStart w:id="4" w:name="dtitle2" w:colFirst="0" w:colLast="0"/>
            <w:bookmarkEnd w:id="3"/>
          </w:p>
        </w:tc>
      </w:tr>
      <w:tr w:rsidR="000A5B9A" w14:paraId="1DB19229" w14:textId="77777777" w:rsidTr="0050008E">
        <w:trPr>
          <w:cantSplit/>
        </w:trPr>
        <w:tc>
          <w:tcPr>
            <w:tcW w:w="10031" w:type="dxa"/>
            <w:gridSpan w:val="2"/>
          </w:tcPr>
          <w:p w14:paraId="31EAF479" w14:textId="77777777"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 9.1(9.1.4) del orden del día</w:t>
            </w:r>
          </w:p>
        </w:tc>
      </w:tr>
    </w:tbl>
    <w:bookmarkEnd w:id="5"/>
    <w:p w14:paraId="4040FE52" w14:textId="77777777" w:rsidR="001C0E40" w:rsidRPr="00E9771B" w:rsidRDefault="000A6689" w:rsidP="003A37B0">
      <w:r w:rsidRPr="00E8457B">
        <w:t>9</w:t>
      </w:r>
      <w:r w:rsidRPr="00E8457B">
        <w:tab/>
        <w:t>examinar y aprobar el Informe del Director de la Oficina de Radiocomunicaciones, de conformidad con el Artículo 7 del Convenio:</w:t>
      </w:r>
    </w:p>
    <w:p w14:paraId="186957F3" w14:textId="77777777" w:rsidR="001C0E40" w:rsidRPr="00E9771B" w:rsidRDefault="000A6689" w:rsidP="003A37B0">
      <w:r w:rsidRPr="00E8457B">
        <w:t>9.1</w:t>
      </w:r>
      <w:r w:rsidRPr="00E8457B">
        <w:tab/>
        <w:t>sobre las actividades del Sector de Radiocomunicaciones desde la CMR</w:t>
      </w:r>
      <w:r w:rsidRPr="00E8457B">
        <w:noBreakHyphen/>
        <w:t>15;</w:t>
      </w:r>
    </w:p>
    <w:p w14:paraId="1C5FB5AF" w14:textId="77777777" w:rsidR="001C0E40" w:rsidRPr="00E9771B" w:rsidRDefault="000A6689" w:rsidP="003A37B0"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eastAsia="zh-CN"/>
        </w:rPr>
        <w:t>9.1.</w:t>
      </w:r>
      <w:r>
        <w:rPr>
          <w:lang w:eastAsia="zh-CN"/>
        </w:rPr>
        <w:t>4</w:t>
      </w:r>
      <w:r w:rsidRPr="00E73B8E">
        <w:rPr>
          <w:lang w:eastAsia="zh-CN"/>
        </w:rPr>
        <w:t>)</w:t>
      </w:r>
      <w:r w:rsidRPr="00294A8A">
        <w:tab/>
      </w:r>
      <w:hyperlink w:anchor="RES_763" w:history="1">
        <w:r w:rsidRPr="00D778DD">
          <w:t xml:space="preserve">Resolución </w:t>
        </w:r>
        <w:r w:rsidRPr="00D778DD">
          <w:rPr>
            <w:b/>
            <w:bCs/>
          </w:rPr>
          <w:t>763 (CMR-15)</w:t>
        </w:r>
      </w:hyperlink>
      <w:r w:rsidRPr="0058417F">
        <w:t xml:space="preserve"> </w:t>
      </w:r>
      <w:r>
        <w:t xml:space="preserve">– </w:t>
      </w:r>
      <w:r w:rsidRPr="0076485C">
        <w:t>Estaciones a bordo de vehículos suborbitales</w:t>
      </w:r>
    </w:p>
    <w:p w14:paraId="1EC9BB17" w14:textId="77777777" w:rsidR="00493655" w:rsidRPr="007A7615" w:rsidRDefault="00493655" w:rsidP="00BA1303">
      <w:pPr>
        <w:pStyle w:val="Headingb"/>
        <w:rPr>
          <w:lang w:val="es-419"/>
        </w:rPr>
      </w:pPr>
      <w:r w:rsidRPr="007A7615">
        <w:rPr>
          <w:lang w:val="es-419"/>
        </w:rPr>
        <w:t>I</w:t>
      </w:r>
      <w:r w:rsidR="00BA1303">
        <w:rPr>
          <w:lang w:val="es-419"/>
        </w:rPr>
        <w:t>ntroducción</w:t>
      </w:r>
    </w:p>
    <w:p w14:paraId="3C1B23E4" w14:textId="77777777" w:rsidR="00493655" w:rsidRPr="007A7615" w:rsidRDefault="00493655" w:rsidP="00493655">
      <w:pPr>
        <w:rPr>
          <w:lang w:val="es-419"/>
        </w:rPr>
      </w:pPr>
      <w:r w:rsidRPr="007A7615">
        <w:rPr>
          <w:lang w:val="es-419"/>
        </w:rPr>
        <w:t>Actualmente existen vehículos que realizan vuelos suborbitales, es decir, que pueden alcanzar altitudes de más de 100 km, sin alcanzar la órbita o el espacio lejano, y posteriormente regresar a la tierra. A estos vehículos se les denomina vehículos suborbitales o aviones espaciales.</w:t>
      </w:r>
    </w:p>
    <w:p w14:paraId="783CC70E" w14:textId="77777777" w:rsidR="00493655" w:rsidRPr="00BA1303" w:rsidRDefault="00493655" w:rsidP="00493655">
      <w:pPr>
        <w:rPr>
          <w:lang w:val="es-419"/>
        </w:rPr>
      </w:pPr>
      <w:r w:rsidRPr="007A7615">
        <w:rPr>
          <w:lang w:val="es-419"/>
        </w:rPr>
        <w:t>En este sentido, con el objeto de garantizar un desarrollo y transición hacia el uso operacional de dichos vehículos, es necesario abordar todas las cuestiones reglamentarias en el Reglamento de Radiocomunicaciones (RR) y establecer si los servicios de telecomunicaciones empleados por vehículos suborbitales se pueden considerar como parte de los servicios de radiocomunicaciones existentes, o si es necesario que en una futura Conferencia Mundial de Radiocomunicaciones (CMR) se definan nuevos servicios de radiocomunicaciones e inclusive poder atribuir bandas de frecuencias a dichos servicios para dar cabida a las operaciones de estos vehículos.</w:t>
      </w:r>
    </w:p>
    <w:p w14:paraId="4EAD4D23" w14:textId="77777777" w:rsidR="00493655" w:rsidRPr="007A7615" w:rsidRDefault="00493655" w:rsidP="00BA1303">
      <w:pPr>
        <w:pStyle w:val="Headingb"/>
        <w:rPr>
          <w:lang w:val="es-419"/>
        </w:rPr>
      </w:pPr>
      <w:r w:rsidRPr="007A7615">
        <w:rPr>
          <w:lang w:val="es-419"/>
        </w:rPr>
        <w:t>A</w:t>
      </w:r>
      <w:r w:rsidR="00BA1303">
        <w:rPr>
          <w:lang w:val="es-419"/>
        </w:rPr>
        <w:t>ntecedentes</w:t>
      </w:r>
    </w:p>
    <w:p w14:paraId="697504AA" w14:textId="77777777" w:rsidR="00493655" w:rsidRPr="007A7615" w:rsidRDefault="00493655" w:rsidP="00493655">
      <w:pPr>
        <w:rPr>
          <w:lang w:val="es-419"/>
        </w:rPr>
      </w:pPr>
      <w:r w:rsidRPr="007A7615">
        <w:rPr>
          <w:lang w:val="es-419"/>
        </w:rPr>
        <w:t xml:space="preserve">Los avances en la tecnología de propulsión y la potencia de cohetes han facilitado el diseño de vehículos que pueden alcanzar altitudes de más de 100 km y regresar posteriormente a la tierra sin alcanzar la órbita o el espacio lejano, lo que se conoce </w:t>
      </w:r>
      <w:r w:rsidR="003757BD">
        <w:rPr>
          <w:lang w:val="es-419"/>
        </w:rPr>
        <w:t xml:space="preserve">también como vuelo suborbital. </w:t>
      </w:r>
      <w:r w:rsidRPr="007A7615">
        <w:rPr>
          <w:lang w:val="es-419"/>
        </w:rPr>
        <w:t>Un vehículo suborbital puede ser usado para fines tales como vuelos espaciales comerciales, investigación científica, rutas punto a punto, transporte de carga o la observación de la Tierra.</w:t>
      </w:r>
    </w:p>
    <w:p w14:paraId="4940DC80" w14:textId="77777777" w:rsidR="00493655" w:rsidRPr="007A7615" w:rsidRDefault="00493655" w:rsidP="00493655">
      <w:pPr>
        <w:rPr>
          <w:lang w:val="es-419"/>
        </w:rPr>
      </w:pPr>
      <w:r w:rsidRPr="007A7615">
        <w:rPr>
          <w:lang w:val="es-419"/>
        </w:rPr>
        <w:t>Los vuelos espaciales comerciales se han convertido en una realidad y existen varias empresas que prometen la oportunidad de p</w:t>
      </w:r>
      <w:r w:rsidR="003757BD">
        <w:rPr>
          <w:lang w:val="es-419"/>
        </w:rPr>
        <w:t>articipar en un vuelo espacial.</w:t>
      </w:r>
      <w:r w:rsidRPr="007A7615">
        <w:rPr>
          <w:lang w:val="es-419"/>
        </w:rPr>
        <w:t xml:space="preserve"> En la Conferencia Mundial de Radiocomunicaciones de 2015 (CMR-15), se aprobó la Resolución </w:t>
      </w:r>
      <w:r w:rsidRPr="0076485C">
        <w:rPr>
          <w:b/>
          <w:lang w:val="es-419"/>
        </w:rPr>
        <w:t>763 (CMR 15)</w:t>
      </w:r>
      <w:r w:rsidRPr="0076485C">
        <w:rPr>
          <w:lang w:val="es-419"/>
        </w:rPr>
        <w:t>,</w:t>
      </w:r>
      <w:r w:rsidRPr="007A7615">
        <w:rPr>
          <w:lang w:val="es-419"/>
        </w:rPr>
        <w:t xml:space="preserve"> la cual trata de </w:t>
      </w:r>
      <w:r w:rsidRPr="007A7615">
        <w:rPr>
          <w:lang w:val="es-419"/>
        </w:rPr>
        <w:lastRenderedPageBreak/>
        <w:t>las estaciones a bordo de vehículos suborbitales</w:t>
      </w:r>
      <w:r w:rsidRPr="007A7615">
        <w:rPr>
          <w:vertAlign w:val="superscript"/>
          <w:lang w:val="es-419"/>
        </w:rPr>
        <w:footnoteReference w:id="1"/>
      </w:r>
      <w:r w:rsidRPr="007A7615">
        <w:rPr>
          <w:lang w:val="es-419"/>
        </w:rPr>
        <w:t>. Se resolvió realizar estudios durante el ciclo de estudio de la CMR-19:</w:t>
      </w:r>
    </w:p>
    <w:p w14:paraId="5858062C" w14:textId="77777777" w:rsidR="00493655" w:rsidRPr="007A7615" w:rsidRDefault="00CA37C3" w:rsidP="00CA37C3">
      <w:pPr>
        <w:pStyle w:val="enumlev1"/>
        <w:rPr>
          <w:lang w:val="es-419"/>
        </w:rPr>
      </w:pPr>
      <w:r w:rsidRPr="00CA37C3">
        <w:rPr>
          <w:lang w:val="es-419"/>
        </w:rPr>
        <w:t>–</w:t>
      </w:r>
      <w:r>
        <w:rPr>
          <w:lang w:val="es-419"/>
        </w:rPr>
        <w:tab/>
      </w:r>
      <w:r w:rsidR="00493655" w:rsidRPr="007A7615">
        <w:rPr>
          <w:lang w:val="es-419"/>
        </w:rPr>
        <w:t>identificar las medidas técnicas y operativas requeridas, en relación con las estaciones de vehículos suborbitales a bordo, que podrían ayudar a prevenir las interferencias perjudiciales entre los servicios de radiocomunicaciones.</w:t>
      </w:r>
    </w:p>
    <w:p w14:paraId="43F1A07F" w14:textId="77777777" w:rsidR="00CA37C3" w:rsidRPr="007A7615" w:rsidRDefault="00CA37C3" w:rsidP="00CA37C3">
      <w:pPr>
        <w:pStyle w:val="enumlev1"/>
        <w:rPr>
          <w:lang w:val="es-419"/>
        </w:rPr>
      </w:pPr>
      <w:r w:rsidRPr="00CA37C3">
        <w:rPr>
          <w:lang w:val="es-419"/>
        </w:rPr>
        <w:t>–</w:t>
      </w:r>
      <w:r>
        <w:rPr>
          <w:lang w:val="es-419"/>
        </w:rPr>
        <w:tab/>
      </w:r>
      <w:r w:rsidR="00493655" w:rsidRPr="007A7615">
        <w:rPr>
          <w:lang w:val="es-419"/>
        </w:rPr>
        <w:t>determinar los requisitos de espectro y, en función del resultado de dichos estudios, considerar un posible tema futuro para la CMR-23.</w:t>
      </w:r>
    </w:p>
    <w:p w14:paraId="27A71229" w14:textId="77777777" w:rsidR="00493655" w:rsidRPr="007A7615" w:rsidRDefault="00493655" w:rsidP="00493655">
      <w:pPr>
        <w:rPr>
          <w:lang w:val="es-419"/>
        </w:rPr>
      </w:pPr>
      <w:r w:rsidRPr="007A7615">
        <w:rPr>
          <w:lang w:val="es-419"/>
        </w:rPr>
        <w:t xml:space="preserve">Se observa además que, en el año 2015, el UIT-R formuló la Cuestión UIT-R No. </w:t>
      </w:r>
      <w:hyperlink r:id="rId13" w:history="1">
        <w:r w:rsidRPr="00401A19">
          <w:rPr>
            <w:rStyle w:val="Hyperlink"/>
            <w:lang w:val="es-ES"/>
          </w:rPr>
          <w:t>259/5</w:t>
        </w:r>
      </w:hyperlink>
      <w:r w:rsidRPr="007A7615">
        <w:rPr>
          <w:lang w:val="es-419"/>
        </w:rPr>
        <w:t xml:space="preserve">, </w:t>
      </w:r>
      <w:r w:rsidR="00CA37C3">
        <w:rPr>
          <w:lang w:val="es-419"/>
        </w:rPr>
        <w:t>«</w:t>
      </w:r>
      <w:r w:rsidRPr="007A7615">
        <w:rPr>
          <w:lang w:val="es-419"/>
        </w:rPr>
        <w:t xml:space="preserve">Aspectos operativos y de reglamentación </w:t>
      </w:r>
      <w:r>
        <w:rPr>
          <w:lang w:val="es-419"/>
        </w:rPr>
        <w:t>de las radiocomunicaciones</w:t>
      </w:r>
      <w:r w:rsidRPr="007A7615">
        <w:rPr>
          <w:lang w:val="es-419"/>
        </w:rPr>
        <w:t xml:space="preserve"> para aviones que </w:t>
      </w:r>
      <w:r>
        <w:rPr>
          <w:lang w:val="es-419"/>
        </w:rPr>
        <w:t xml:space="preserve">vuelan </w:t>
      </w:r>
      <w:r w:rsidRPr="007A7615">
        <w:rPr>
          <w:lang w:val="es-419"/>
        </w:rPr>
        <w:t xml:space="preserve">en </w:t>
      </w:r>
      <w:r>
        <w:rPr>
          <w:lang w:val="es-419"/>
        </w:rPr>
        <w:t xml:space="preserve">la capa </w:t>
      </w:r>
      <w:r w:rsidRPr="007A7615">
        <w:rPr>
          <w:lang w:val="es-419"/>
        </w:rPr>
        <w:t>superior de la atmósfera</w:t>
      </w:r>
      <w:r w:rsidR="00CA37C3">
        <w:rPr>
          <w:lang w:val="es-419"/>
        </w:rPr>
        <w:t>»</w:t>
      </w:r>
      <w:r w:rsidRPr="007A7615">
        <w:rPr>
          <w:lang w:val="es-419"/>
        </w:rPr>
        <w:t xml:space="preserve">, y que los estudios en el marco de dicha Cuestión se relacionan con la Resolución </w:t>
      </w:r>
      <w:r w:rsidRPr="007A7615">
        <w:rPr>
          <w:b/>
          <w:lang w:val="es-419"/>
        </w:rPr>
        <w:t>763 (CMR-15)</w:t>
      </w:r>
      <w:r w:rsidRPr="007A7615">
        <w:rPr>
          <w:lang w:val="es-419"/>
        </w:rPr>
        <w:t xml:space="preserve">. En particular, el </w:t>
      </w:r>
      <w:r w:rsidRPr="007A7615">
        <w:rPr>
          <w:i/>
          <w:lang w:val="es-419"/>
        </w:rPr>
        <w:t>decide</w:t>
      </w:r>
      <w:r w:rsidRPr="007A7615">
        <w:rPr>
          <w:lang w:val="es-419"/>
        </w:rPr>
        <w:t xml:space="preserve"> 3 de esa Cuestión se pregunta: </w:t>
      </w:r>
      <w:r w:rsidR="00CA37C3">
        <w:rPr>
          <w:lang w:val="es-419"/>
        </w:rPr>
        <w:t>«</w:t>
      </w:r>
      <w:r w:rsidRPr="007A7615">
        <w:rPr>
          <w:lang w:val="es-419"/>
        </w:rPr>
        <w:t>qué enlaces radioeléctricas se necesitarán para respaldar las operaciones de los aviones espaciales y bajo qué definición de servicio de radiocomunicación caerán?</w:t>
      </w:r>
      <w:r w:rsidR="00CA37C3">
        <w:rPr>
          <w:lang w:val="es-419"/>
        </w:rPr>
        <w:t>»</w:t>
      </w:r>
    </w:p>
    <w:p w14:paraId="4F70898F" w14:textId="3AB79290" w:rsidR="00493655" w:rsidRPr="007A7615" w:rsidRDefault="00493655" w:rsidP="00493655">
      <w:pPr>
        <w:rPr>
          <w:lang w:val="es-419"/>
        </w:rPr>
      </w:pPr>
      <w:r w:rsidRPr="007A7615">
        <w:rPr>
          <w:lang w:val="es-419"/>
        </w:rPr>
        <w:t>Los vehículos suborbitales, incluidos los aviones espaciales, se han desarrollado para ir más allá de la mayor parte de la atmósfera de la Tierra durante breves per</w:t>
      </w:r>
      <w:r w:rsidR="00CB7494">
        <w:rPr>
          <w:lang w:val="es-419"/>
        </w:rPr>
        <w:t>i</w:t>
      </w:r>
      <w:r w:rsidRPr="007A7615">
        <w:rPr>
          <w:lang w:val="es-419"/>
        </w:rPr>
        <w:t>odos. Sin embargo, también deben compartir el espacio aéreo con las aeronaves convencionales durante ciertas fases de vuelo. Estos vehículos pueden alcanzar el espacio y realizar una misión, como desplegar un vehículo espacial, realizar investigaciones científicas o permitir que los turistas participen en vuelos espaciales, y luego regresar a la superficie de la Tierra.</w:t>
      </w:r>
    </w:p>
    <w:p w14:paraId="2B5A048C" w14:textId="77777777" w:rsidR="00493655" w:rsidRPr="007A7615" w:rsidRDefault="00493655" w:rsidP="00493655">
      <w:pPr>
        <w:rPr>
          <w:lang w:val="es-419"/>
        </w:rPr>
      </w:pPr>
      <w:r w:rsidRPr="007A7615">
        <w:rPr>
          <w:lang w:val="es-419"/>
        </w:rPr>
        <w:t>Las comunicaciones con esos vehículos suborbitales consisten actualmente en telemetría, telemando y control (TT&amp;C), que a veces operan bajo el Servicio de Operaciones Espaciales (SOS), para posibilitar el control del vehículo y las comunicaciones relacionadas con la misión. Actualmente no hay radiocomunicaciones entre las funciones de gestión del tráfico aéreo (ATM) o control del tráfico aéreo (ATC) y los vehículos suborbitales.</w:t>
      </w:r>
    </w:p>
    <w:p w14:paraId="376D4148" w14:textId="77777777" w:rsidR="00493655" w:rsidRPr="007A7615" w:rsidRDefault="00493655" w:rsidP="00493655">
      <w:pPr>
        <w:rPr>
          <w:lang w:val="es-419"/>
        </w:rPr>
      </w:pPr>
      <w:r w:rsidRPr="007A7615">
        <w:rPr>
          <w:lang w:val="es-419"/>
        </w:rPr>
        <w:t>Sin embargo, los vehículos suborbitales deben integrarse de manera segura en el mismo espacio aéreo que las aeronaves convencionales durante su transición hacia y desde el espacio. A fin de abordar este asunto, actualmente la mayoría de los proveedores de servicios de navegación aérea garantizan una integración segura mediante la total segregación entre los vehículos suborbitales y otras aeronaves durante las operaciones de lanzamiento y recuperación; el despejo del espacio aéreo de las aeronaves no participantes en tres dimensiones espaciales y en el tiempo para precautelar el nivel de seguridad requerido. Las dimensiones del espacio aéreo despejado dependen de la capacidad de datos en materia de TT&amp;C de la instalación de lanzamiento existente.</w:t>
      </w:r>
    </w:p>
    <w:p w14:paraId="756E3980" w14:textId="77777777" w:rsidR="00493655" w:rsidRPr="007A7615" w:rsidRDefault="00493655" w:rsidP="00493655">
      <w:pPr>
        <w:rPr>
          <w:lang w:val="es-419"/>
        </w:rPr>
      </w:pPr>
      <w:r w:rsidRPr="007A7615">
        <w:rPr>
          <w:lang w:val="es-419"/>
        </w:rPr>
        <w:t>El enfoque actual de la segregación del espacio aéreo se produce a expensas de las posibilidades de lanzamiento espacial y recuperación, la eficiencia del tráfico aéreo, así como los requisitos adicionales en materia de combustible y tiempo para que las aeronaves eviten las áreas peligrosas. Este método de separar las operaciones de lanzamiento espacial y recuperación del tráfico aéreo no será sostenible con el aumento de la demanda de acceso al espacio por parte de vehículos suborbitales adicionales que operen dentro y fuera de los rangos tradicionales.</w:t>
      </w:r>
    </w:p>
    <w:p w14:paraId="20A0D53E" w14:textId="77777777" w:rsidR="00493655" w:rsidRPr="007A7615" w:rsidRDefault="00493655" w:rsidP="00493655">
      <w:pPr>
        <w:rPr>
          <w:lang w:val="es-419"/>
        </w:rPr>
      </w:pPr>
      <w:r w:rsidRPr="007A7615">
        <w:rPr>
          <w:lang w:val="es-419"/>
        </w:rPr>
        <w:t xml:space="preserve">Como lo exige la Resolución </w:t>
      </w:r>
      <w:r w:rsidRPr="007A7615">
        <w:rPr>
          <w:b/>
          <w:lang w:val="es-419"/>
        </w:rPr>
        <w:t>763 (CMR-15)</w:t>
      </w:r>
      <w:r w:rsidRPr="007A7615">
        <w:rPr>
          <w:lang w:val="es-419"/>
        </w:rPr>
        <w:t xml:space="preserve">, el UIT-R ha elaborado un documento de trabajo para un anteproyecto de nuevo informe del UIT-R </w:t>
      </w:r>
      <w:proofErr w:type="gramStart"/>
      <w:r w:rsidRPr="007A7615">
        <w:rPr>
          <w:lang w:val="es-419"/>
        </w:rPr>
        <w:t>M.[</w:t>
      </w:r>
      <w:proofErr w:type="gramEnd"/>
      <w:r w:rsidRPr="007A7615">
        <w:rPr>
          <w:lang w:val="es-419"/>
        </w:rPr>
        <w:t xml:space="preserve">VEHÍCULOS SUBORBITALES], titulado </w:t>
      </w:r>
      <w:r w:rsidR="00CA37C3">
        <w:rPr>
          <w:lang w:val="es-419"/>
        </w:rPr>
        <w:t>«</w:t>
      </w:r>
      <w:r w:rsidRPr="007A7615">
        <w:rPr>
          <w:lang w:val="es-419"/>
        </w:rPr>
        <w:t>Radiocomunicaciones para vehículos suborbitales.</w:t>
      </w:r>
      <w:r w:rsidR="00CA37C3">
        <w:rPr>
          <w:lang w:val="es-419"/>
        </w:rPr>
        <w:t>»</w:t>
      </w:r>
      <w:r w:rsidRPr="007A7615">
        <w:rPr>
          <w:lang w:val="es-419"/>
        </w:rPr>
        <w:t xml:space="preserve"> El trabajo, basado en información de la Organización de Aviación Civil Internacional (OACI) y de las Administraciones, ha identificado enfoques futuros proyectados para la integración del espacio aéreo, con los cuales se evitaría o </w:t>
      </w:r>
      <w:r w:rsidRPr="007A7615">
        <w:rPr>
          <w:lang w:val="es-419"/>
        </w:rPr>
        <w:lastRenderedPageBreak/>
        <w:t>reduciría la segregación del espacio aéreo al permitir que las estaciones de radio a bordo de vehículos suborbitales utilicen las frecuencias asignadas a las radiocomunicaciones terrestres para los servicios de comunicaciones de voz/datos de ATM/ATC, la vigilancia y la navegación. Dichos enfoques, de ser estandarizados por la OACI, garantizarían la interoperabilidad de los vehículos suborbitales con la ATM/ATC y la aviónica aeronáutica, al tiempo que mantendrían la seguridad de vuelo del vehículo suborbitario y de otras aeronaves que ocupan el espacio aéreo por el cual atraviesa el vehículo suborbitario. Con esto se posibilitaría a la ATC recuperar la eficiencia perdida del tráfico aéreo, se mejoraría la prevención de colisiones en el aire y se reduciría la demanda de combustible y las emisiones. En el estudio se sugiere que es técnicamente factible que los vehículos suborbitales operen según las atribuciones existentes al servicio de radiocomunicaciones terrenales y espaciales, si lo permite el Reglamento de Radiocomunicaciones, para las aplicaciones identificadas en el informe en materia de ATM/ATC. La utilización de las asignaciones existentes posibilitaría la armonización e interoperabilidad internacionales con los sistemas y aplicaciones relacionados con la seguridad de la aviación, según lo estandarizado por la OACI, como la ATM/ATC y la aviónica de aeronaves.</w:t>
      </w:r>
    </w:p>
    <w:p w14:paraId="55217B2C" w14:textId="77777777" w:rsidR="00493655" w:rsidRPr="007A7615" w:rsidRDefault="00493655" w:rsidP="00493655">
      <w:pPr>
        <w:rPr>
          <w:lang w:val="es-419"/>
        </w:rPr>
      </w:pPr>
      <w:r w:rsidRPr="007A7615">
        <w:rPr>
          <w:lang w:val="es-419"/>
        </w:rPr>
        <w:t>Se han preguntado si las disposiciones del Reglamento de Radiocomunicaciones (RR) del UIT-R en materia de servicios terrenas y espaciales son adecuadas para respaldar este tipo de enfoque para la integración de los vehículos suborbitales en la ATM, y si se requiere establecer disposiciones de espectro adicionales.</w:t>
      </w:r>
    </w:p>
    <w:p w14:paraId="007F240D" w14:textId="77777777" w:rsidR="00493655" w:rsidRPr="007A7615" w:rsidRDefault="00493655" w:rsidP="00493655">
      <w:pPr>
        <w:rPr>
          <w:lang w:val="es-419"/>
        </w:rPr>
      </w:pPr>
      <w:r w:rsidRPr="007A7615">
        <w:rPr>
          <w:lang w:val="es-419"/>
        </w:rPr>
        <w:t>El Grupo de Trabajo 5B del UIT-R ha elaborado un proyecto de nuevo informe que contiene varios estudios relacionados con los análisis del presupuesto de enlace, el cambio Doppler durante diversas fases del vuelo y la posibilidad de utilizar de los sistemas aeronáuticos existentes para los vehículos suborbitales. Sin embargo, se requiere de mayores estudios:</w:t>
      </w:r>
    </w:p>
    <w:p w14:paraId="2896AAC4" w14:textId="5E3ADAB5" w:rsidR="00493655" w:rsidRPr="007A7615" w:rsidRDefault="000A30F0" w:rsidP="000A30F0">
      <w:pPr>
        <w:pStyle w:val="enumlev1"/>
        <w:rPr>
          <w:lang w:val="es-419"/>
        </w:rPr>
      </w:pPr>
      <w:r w:rsidRPr="000A30F0">
        <w:rPr>
          <w:lang w:val="es-419"/>
        </w:rPr>
        <w:t>–</w:t>
      </w:r>
      <w:r>
        <w:rPr>
          <w:lang w:val="es-419"/>
        </w:rPr>
        <w:tab/>
      </w:r>
      <w:r w:rsidR="00493655" w:rsidRPr="007A7615">
        <w:rPr>
          <w:lang w:val="es-419"/>
        </w:rPr>
        <w:t>para evaluar cómo podrían utilizarse para los vehículos suborbitales las aplicaciones operadas comúnmente en los servicios terrenales, en particular los móviles aeronáuticos o los espaciales;</w:t>
      </w:r>
    </w:p>
    <w:p w14:paraId="3721E2D8" w14:textId="69E136E5" w:rsidR="00493655" w:rsidRPr="007A7615" w:rsidRDefault="000A30F0" w:rsidP="000A30F0">
      <w:pPr>
        <w:pStyle w:val="enumlev1"/>
        <w:rPr>
          <w:lang w:val="es-419"/>
        </w:rPr>
      </w:pPr>
      <w:r w:rsidRPr="000A30F0">
        <w:rPr>
          <w:lang w:val="es-419"/>
        </w:rPr>
        <w:t>–</w:t>
      </w:r>
      <w:r>
        <w:rPr>
          <w:lang w:val="es-419"/>
        </w:rPr>
        <w:tab/>
      </w:r>
      <w:r w:rsidR="00493655" w:rsidRPr="007A7615">
        <w:rPr>
          <w:lang w:val="es-419"/>
        </w:rPr>
        <w:t>para evaluar la posibilidad de interferencia entre servicios en el caso de un vehículo suborbitario operado con estaciones terrestres y espaciales;</w:t>
      </w:r>
    </w:p>
    <w:p w14:paraId="2A083BF1" w14:textId="0003E62F" w:rsidR="00493655" w:rsidRPr="007A7615" w:rsidRDefault="000A30F0" w:rsidP="000A30F0">
      <w:pPr>
        <w:pStyle w:val="enumlev1"/>
        <w:rPr>
          <w:lang w:val="es-419"/>
        </w:rPr>
      </w:pPr>
      <w:r w:rsidRPr="000A30F0">
        <w:rPr>
          <w:lang w:val="es-419"/>
        </w:rPr>
        <w:t>–</w:t>
      </w:r>
      <w:r>
        <w:rPr>
          <w:lang w:val="es-419"/>
        </w:rPr>
        <w:tab/>
      </w:r>
      <w:r w:rsidR="00493655" w:rsidRPr="007A7615">
        <w:rPr>
          <w:lang w:val="es-419"/>
        </w:rPr>
        <w:t>para considerar bajo qué servicios de radiocomunicación operan los vehículos suborbitales.</w:t>
      </w:r>
    </w:p>
    <w:p w14:paraId="18F06904" w14:textId="77777777" w:rsidR="00493655" w:rsidRPr="007A7615" w:rsidRDefault="00493655" w:rsidP="00493655">
      <w:pPr>
        <w:rPr>
          <w:lang w:val="es-419"/>
        </w:rPr>
      </w:pPr>
      <w:r w:rsidRPr="007A7615">
        <w:rPr>
          <w:lang w:val="es-419"/>
        </w:rPr>
        <w:t>En la RPC 19-2, se finalizó la redacción de la cuestión 9.1.4 del punto 9 del orden del día, cuya única conclusión fue que posiblemente sea necesario abordar otros problemas operativos, técnicos y regulatorios, lo que requiere estudios continuos.</w:t>
      </w:r>
    </w:p>
    <w:p w14:paraId="59F97779" w14:textId="77777777" w:rsidR="00493655" w:rsidRPr="007A7615" w:rsidRDefault="00493655" w:rsidP="00164EEE">
      <w:pPr>
        <w:pStyle w:val="Headingb"/>
        <w:rPr>
          <w:lang w:val="es-419"/>
        </w:rPr>
      </w:pPr>
      <w:r w:rsidRPr="007A7615">
        <w:rPr>
          <w:lang w:val="es-419"/>
        </w:rPr>
        <w:t>C</w:t>
      </w:r>
      <w:r w:rsidR="00164EEE">
        <w:rPr>
          <w:lang w:val="es-419"/>
        </w:rPr>
        <w:t>onclusiones</w:t>
      </w:r>
    </w:p>
    <w:p w14:paraId="52693F90" w14:textId="77777777" w:rsidR="00363A65" w:rsidRPr="00493655" w:rsidRDefault="00493655" w:rsidP="002C1A52">
      <w:pPr>
        <w:rPr>
          <w:lang w:val="es-419"/>
        </w:rPr>
      </w:pPr>
      <w:r w:rsidRPr="007A7615">
        <w:rPr>
          <w:lang w:val="es-419"/>
        </w:rPr>
        <w:t>En varios estudios se ha demostrado la necesidad mayor consideración de la definición de un vehículo suborbitario en el Reglamento de Radiocomunicaciones y bajo qué servicio(s) de radiocomunicaciones debería operar. Además, en varios estudios se indica que, a determinadas alturas, puede resultar necesario tomar medidas técnicas y operativas adicionales a fin de garantizar la seguridad de vuelo en la operación de vehículos y aeronaves suborbitales, lo cual corresponde a la OACI. Por ejemplo, para las aplicaciones de ATM se requieren equipos de radio interoperables con los sistemas estandarizados de la OACI, en todas las fases del vuelo, a fin de prevenir las colisiones con aeronaves convencionales. Por lo tanto, serán necesarios estudios técnicos y disposiciones reglamentarias adicionales para mejorar la integración de los vehículos suborbitales en los sistemas ATM.</w:t>
      </w:r>
    </w:p>
    <w:p w14:paraId="2AB852A7" w14:textId="77777777" w:rsidR="008750A8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7C479440" w14:textId="77777777" w:rsidR="00932A77" w:rsidRDefault="000A6689">
      <w:pPr>
        <w:pStyle w:val="Proposal"/>
      </w:pPr>
      <w:r>
        <w:lastRenderedPageBreak/>
        <w:t>SUP</w:t>
      </w:r>
      <w:r>
        <w:tab/>
        <w:t>IAP/11A21A4/1</w:t>
      </w:r>
    </w:p>
    <w:p w14:paraId="610F554E" w14:textId="77777777" w:rsidR="007B7DBC" w:rsidRPr="0066363B" w:rsidRDefault="000A6689" w:rsidP="002948FA">
      <w:pPr>
        <w:pStyle w:val="ResNo"/>
      </w:pPr>
      <w:r w:rsidRPr="002948FA">
        <w:t>RESOLUCIÓN</w:t>
      </w:r>
      <w:r w:rsidRPr="0066363B">
        <w:t xml:space="preserve"> </w:t>
      </w:r>
      <w:r w:rsidRPr="0066363B">
        <w:rPr>
          <w:rStyle w:val="href"/>
        </w:rPr>
        <w:t>763</w:t>
      </w:r>
      <w:r w:rsidRPr="0066363B">
        <w:t xml:space="preserve"> (CMR</w:t>
      </w:r>
      <w:r w:rsidRPr="0066363B">
        <w:noBreakHyphen/>
        <w:t>15)</w:t>
      </w:r>
    </w:p>
    <w:p w14:paraId="24488D7E" w14:textId="77777777" w:rsidR="007B7DBC" w:rsidRPr="0066363B" w:rsidRDefault="000A6689" w:rsidP="007B7DBC">
      <w:pPr>
        <w:pStyle w:val="Restitle"/>
      </w:pPr>
      <w:r w:rsidRPr="0066363B">
        <w:t>Estaciones a bordo de vehículos suborbitales</w:t>
      </w:r>
    </w:p>
    <w:p w14:paraId="4734143C" w14:textId="78131D76" w:rsidR="00F11B62" w:rsidRDefault="00493655" w:rsidP="00411C49">
      <w:pPr>
        <w:pStyle w:val="Reasons"/>
        <w:rPr>
          <w:lang w:val="es-419"/>
        </w:rPr>
      </w:pPr>
      <w:r>
        <w:rPr>
          <w:b/>
        </w:rPr>
        <w:t>Motivos:</w:t>
      </w:r>
      <w:r>
        <w:tab/>
      </w:r>
      <w:r w:rsidRPr="007A7615">
        <w:rPr>
          <w:lang w:val="es-419"/>
        </w:rPr>
        <w:t>S</w:t>
      </w:r>
      <w:bookmarkStart w:id="6" w:name="_GoBack"/>
      <w:bookmarkEnd w:id="6"/>
      <w:r w:rsidRPr="007A7615">
        <w:rPr>
          <w:lang w:val="es-419"/>
        </w:rPr>
        <w:t>e han concluido los estudios realizados en los grupos de estudio del UIT-R sobre esta cuestión, por lo que la Resolución 763 ya no es necesaria.</w:t>
      </w:r>
    </w:p>
    <w:p w14:paraId="105E1EF9" w14:textId="77777777" w:rsidR="00F11B62" w:rsidRDefault="00F11B62" w:rsidP="00F11B62"/>
    <w:p w14:paraId="33F92527" w14:textId="77777777" w:rsidR="00F11B62" w:rsidRDefault="00F11B62">
      <w:pPr>
        <w:jc w:val="center"/>
      </w:pPr>
      <w:r>
        <w:t>______________</w:t>
      </w:r>
    </w:p>
    <w:p w14:paraId="0E68F3CB" w14:textId="77777777" w:rsidR="00932A77" w:rsidRDefault="00932A77" w:rsidP="00F11B62"/>
    <w:sectPr w:rsidR="00932A77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38BD6" w14:textId="77777777" w:rsidR="00FD03C4" w:rsidRDefault="00FD03C4">
      <w:r>
        <w:separator/>
      </w:r>
    </w:p>
  </w:endnote>
  <w:endnote w:type="continuationSeparator" w:id="0">
    <w:p w14:paraId="34251EE5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FBF00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EF2564" w14:textId="41150BD8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A30F0">
      <w:rPr>
        <w:noProof/>
      </w:rPr>
      <w:t>26.09.19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94E7" w14:textId="77777777" w:rsidR="0077084A" w:rsidRDefault="002948FA" w:rsidP="002948FA">
    <w:pPr>
      <w:pStyle w:val="Footer"/>
      <w:rPr>
        <w:lang w:val="en-US"/>
      </w:rPr>
    </w:pPr>
    <w:r>
      <w:fldChar w:fldCharType="begin"/>
    </w:r>
    <w:r w:rsidRPr="002948FA">
      <w:rPr>
        <w:lang w:val="en-US"/>
      </w:rPr>
      <w:instrText xml:space="preserve"> FILENAME \p  \* MERGEFORMAT </w:instrText>
    </w:r>
    <w:r>
      <w:fldChar w:fldCharType="separate"/>
    </w:r>
    <w:r w:rsidRPr="002948FA">
      <w:rPr>
        <w:lang w:val="en-US"/>
      </w:rPr>
      <w:t>P:\ESP\ITU-R\CONF-R\CMR19\000\011ADD21ADD04S.docx</w:t>
    </w:r>
    <w:r>
      <w:fldChar w:fldCharType="end"/>
    </w:r>
    <w:r>
      <w:rPr>
        <w:lang w:val="en-US"/>
      </w:rPr>
      <w:t xml:space="preserve"> (460831)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828CE" w14:textId="77777777" w:rsidR="0077084A" w:rsidRDefault="002948FA" w:rsidP="002948FA">
    <w:pPr>
      <w:pStyle w:val="Footer"/>
      <w:rPr>
        <w:lang w:val="en-US"/>
      </w:rPr>
    </w:pPr>
    <w:r>
      <w:fldChar w:fldCharType="begin"/>
    </w:r>
    <w:r w:rsidRPr="002948FA">
      <w:rPr>
        <w:lang w:val="en-US"/>
      </w:rPr>
      <w:instrText xml:space="preserve"> FILENAME \p  \* MERGEFORMAT </w:instrText>
    </w:r>
    <w:r>
      <w:fldChar w:fldCharType="separate"/>
    </w:r>
    <w:r w:rsidRPr="002948FA">
      <w:rPr>
        <w:lang w:val="en-US"/>
      </w:rPr>
      <w:t>P:\ESP\ITU-R\CONF-R\CMR19\000\011ADD21ADD04S.docx</w:t>
    </w:r>
    <w:r>
      <w:fldChar w:fldCharType="end"/>
    </w:r>
    <w:r w:rsidRPr="002948FA">
      <w:rPr>
        <w:lang w:val="en-US"/>
      </w:rPr>
      <w:t xml:space="preserve"> </w:t>
    </w:r>
    <w:r>
      <w:rPr>
        <w:lang w:val="en-US"/>
      </w:rPr>
      <w:t>(460831)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43895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280A8A1C" w14:textId="77777777" w:rsidR="00FD03C4" w:rsidRDefault="00FD03C4">
      <w:r>
        <w:continuationSeparator/>
      </w:r>
    </w:p>
  </w:footnote>
  <w:footnote w:id="1">
    <w:p w14:paraId="11F86751" w14:textId="77777777" w:rsidR="00493655" w:rsidRPr="007C3E8F" w:rsidRDefault="00493655" w:rsidP="00E8240D">
      <w:pPr>
        <w:pStyle w:val="FootnoteText"/>
        <w:rPr>
          <w:color w:val="222222"/>
          <w:shd w:val="clear" w:color="auto" w:fill="FFFFFF"/>
          <w:lang w:val="es-MX"/>
        </w:rPr>
      </w:pPr>
      <w:r w:rsidRPr="00242ACD">
        <w:rPr>
          <w:rStyle w:val="FootnoteReference"/>
          <w:sz w:val="20"/>
        </w:rPr>
        <w:footnoteRef/>
      </w:r>
      <w:r w:rsidRPr="00242ACD">
        <w:rPr>
          <w:lang w:val="es-MX"/>
        </w:rPr>
        <w:t xml:space="preserve"> </w:t>
      </w:r>
      <w:r w:rsidRPr="00242ACD">
        <w:rPr>
          <w:lang w:val="es-MX"/>
        </w:rPr>
        <w:tab/>
      </w:r>
      <w:r w:rsidRPr="00242ACD">
        <w:t>Vehículo suborbital: un vehículo destinado a un vuelo suborbital, del cual todas o algunas de sus etapas o componentes pueden ser reutilizables o fungibles.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4222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8EE226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11(Add.</w:t>
    </w:r>
    <w:proofErr w:type="gramStart"/>
    <w:r w:rsidR="00702F3D">
      <w:t>21)(</w:t>
    </w:r>
    <w:proofErr w:type="gramEnd"/>
    <w:r w:rsidR="00702F3D">
      <w:t>Add.4)-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20102F5F"/>
    <w:multiLevelType w:val="hybridMultilevel"/>
    <w:tmpl w:val="9A8EBD0C"/>
    <w:lvl w:ilvl="0" w:tplc="FE02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F5180"/>
    <w:multiLevelType w:val="hybridMultilevel"/>
    <w:tmpl w:val="7F58E1DA"/>
    <w:lvl w:ilvl="0" w:tplc="5CD0EE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30F0"/>
    <w:rsid w:val="000A5B9A"/>
    <w:rsid w:val="000A6689"/>
    <w:rsid w:val="000B5B9D"/>
    <w:rsid w:val="000E5BF9"/>
    <w:rsid w:val="000F0E6D"/>
    <w:rsid w:val="00121170"/>
    <w:rsid w:val="00121AD9"/>
    <w:rsid w:val="00123CC5"/>
    <w:rsid w:val="0015142D"/>
    <w:rsid w:val="001616DC"/>
    <w:rsid w:val="00163962"/>
    <w:rsid w:val="00164EEE"/>
    <w:rsid w:val="00191A97"/>
    <w:rsid w:val="0019729C"/>
    <w:rsid w:val="001A083F"/>
    <w:rsid w:val="001C41FA"/>
    <w:rsid w:val="001E05B5"/>
    <w:rsid w:val="001E2B52"/>
    <w:rsid w:val="001E3F27"/>
    <w:rsid w:val="001E7D42"/>
    <w:rsid w:val="00236D2A"/>
    <w:rsid w:val="0024569E"/>
    <w:rsid w:val="00255F12"/>
    <w:rsid w:val="00262C09"/>
    <w:rsid w:val="002948FA"/>
    <w:rsid w:val="002A2F56"/>
    <w:rsid w:val="002A791F"/>
    <w:rsid w:val="002C1A52"/>
    <w:rsid w:val="002C1B26"/>
    <w:rsid w:val="002C5D6C"/>
    <w:rsid w:val="002E701F"/>
    <w:rsid w:val="003248A9"/>
    <w:rsid w:val="00324FFA"/>
    <w:rsid w:val="0032680B"/>
    <w:rsid w:val="00334179"/>
    <w:rsid w:val="003376B4"/>
    <w:rsid w:val="003530B5"/>
    <w:rsid w:val="00363A65"/>
    <w:rsid w:val="003757BD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93655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579D"/>
    <w:rsid w:val="0076485C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32A77"/>
    <w:rsid w:val="0094091F"/>
    <w:rsid w:val="00962171"/>
    <w:rsid w:val="00973754"/>
    <w:rsid w:val="009C0BED"/>
    <w:rsid w:val="009C58F6"/>
    <w:rsid w:val="009E11EC"/>
    <w:rsid w:val="00A021CC"/>
    <w:rsid w:val="00A118DB"/>
    <w:rsid w:val="00A4450C"/>
    <w:rsid w:val="00AA5E6C"/>
    <w:rsid w:val="00AE5677"/>
    <w:rsid w:val="00AE658F"/>
    <w:rsid w:val="00AF2F78"/>
    <w:rsid w:val="00AF45BD"/>
    <w:rsid w:val="00B239FA"/>
    <w:rsid w:val="00B47331"/>
    <w:rsid w:val="00B52D55"/>
    <w:rsid w:val="00B55866"/>
    <w:rsid w:val="00B8288C"/>
    <w:rsid w:val="00B86034"/>
    <w:rsid w:val="00BA1303"/>
    <w:rsid w:val="00BE2E80"/>
    <w:rsid w:val="00BE5EDD"/>
    <w:rsid w:val="00BE6A1F"/>
    <w:rsid w:val="00C126C4"/>
    <w:rsid w:val="00C44E9E"/>
    <w:rsid w:val="00C63EB5"/>
    <w:rsid w:val="00C87DA7"/>
    <w:rsid w:val="00CA37C3"/>
    <w:rsid w:val="00CB7494"/>
    <w:rsid w:val="00CB7633"/>
    <w:rsid w:val="00CC01E0"/>
    <w:rsid w:val="00CD5FEE"/>
    <w:rsid w:val="00CE60D2"/>
    <w:rsid w:val="00CE7431"/>
    <w:rsid w:val="00D0288A"/>
    <w:rsid w:val="00D72A5D"/>
    <w:rsid w:val="00DA71A3"/>
    <w:rsid w:val="00DC629B"/>
    <w:rsid w:val="00DE1C31"/>
    <w:rsid w:val="00E05BFF"/>
    <w:rsid w:val="00E262F1"/>
    <w:rsid w:val="00E3176A"/>
    <w:rsid w:val="00E54754"/>
    <w:rsid w:val="00E56BD3"/>
    <w:rsid w:val="00E71D14"/>
    <w:rsid w:val="00E8240D"/>
    <w:rsid w:val="00EA77F0"/>
    <w:rsid w:val="00F11B62"/>
    <w:rsid w:val="00F32316"/>
    <w:rsid w:val="00F60339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784141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B9039E"/>
  </w:style>
  <w:style w:type="paragraph" w:styleId="NormalWeb">
    <w:name w:val="Normal (Web)"/>
    <w:basedOn w:val="Normal"/>
    <w:semiHidden/>
    <w:unhideWhenUsed/>
    <w:rsid w:val="00493655"/>
    <w:rPr>
      <w:szCs w:val="24"/>
    </w:rPr>
  </w:style>
  <w:style w:type="character" w:styleId="Hyperlink">
    <w:name w:val="Hyperlink"/>
    <w:basedOn w:val="DefaultParagraphFont"/>
    <w:unhideWhenUsed/>
    <w:rsid w:val="0049365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B7494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tu.int/pub/R-QUE-SG05.25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R16-WRC19-C-0011!A21-A4!MSW-S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5E5B-02BA-47F9-BA24-846796372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E31A1-675F-46B9-8090-81A41B955F77}">
  <ds:schemaRefs>
    <ds:schemaRef ds:uri="http://www.w3.org/XML/1998/namespace"/>
    <ds:schemaRef ds:uri="http://schemas.microsoft.com/office/2006/metadata/properties"/>
    <ds:schemaRef ds:uri="32a1a8c5-2265-4ebc-b7a0-2071e2c5c9bb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0D7706-2B6A-44C6-A771-E091A9B7865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396BC6-D643-4A1B-ADF5-FAC25A53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1483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R16-WRC19-C-0011!A21-A4!MSW-S</vt:lpstr>
    </vt:vector>
  </TitlesOfParts>
  <Manager>Secretaría General - Pool</Manager>
  <Company>Unión Internacional de Telecomunicaciones (UIT)</Company>
  <LinksUpToDate>false</LinksUpToDate>
  <CharactersWithSpaces>10136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R16-WRC19-C-0011!A21-A4!MSW-S</dc:title>
  <dc:subject>Conferencia Mundial de Radiocomunicaciones - 2019</dc:subject>
  <dc:creator>Documents Proposals Manager (DPM)</dc:creator>
  <cp:keywords>DPM_v2019.9.25.1_prod</cp:keywords>
  <dc:description/>
  <cp:lastModifiedBy>Spanish</cp:lastModifiedBy>
  <cp:revision>22</cp:revision>
  <cp:lastPrinted>2003-02-19T20:20:00Z</cp:lastPrinted>
  <dcterms:created xsi:type="dcterms:W3CDTF">2019-09-26T13:22:00Z</dcterms:created>
  <dcterms:modified xsi:type="dcterms:W3CDTF">2019-10-02T09:28:00Z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