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4406A2" w:rsidTr="00457145">
        <w:trPr>
          <w:cantSplit/>
        </w:trPr>
        <w:tc>
          <w:tcPr>
            <w:tcW w:w="6804" w:type="dxa"/>
          </w:tcPr>
          <w:p w:rsidR="00BB1D82" w:rsidRPr="004406A2" w:rsidRDefault="00851625" w:rsidP="0015130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4406A2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4406A2">
              <w:rPr>
                <w:rFonts w:ascii="Verdana" w:hAnsi="Verdana"/>
                <w:b/>
                <w:bCs/>
                <w:sz w:val="20"/>
              </w:rPr>
              <w:t>9</w:t>
            </w:r>
            <w:r w:rsidRPr="004406A2">
              <w:rPr>
                <w:rFonts w:ascii="Verdana" w:hAnsi="Verdana"/>
                <w:b/>
                <w:bCs/>
                <w:sz w:val="20"/>
              </w:rPr>
              <w:t>)</w:t>
            </w:r>
            <w:r w:rsidRPr="004406A2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4406A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4406A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4406A2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4406A2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4406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406A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406A2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3B6DC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4406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406A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406A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4406A2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4406A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:rsidR="00BB1D82" w:rsidRPr="004406A2" w:rsidRDefault="000A55AE" w:rsidP="0015130F">
            <w:pPr>
              <w:spacing w:before="0"/>
              <w:jc w:val="right"/>
            </w:pPr>
            <w:bookmarkStart w:id="1" w:name="ditulogo"/>
            <w:bookmarkEnd w:id="1"/>
            <w:r w:rsidRPr="004406A2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406A2" w:rsidTr="0045714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4406A2" w:rsidRDefault="00BB1D82" w:rsidP="0015130F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4406A2" w:rsidRDefault="00BB1D82" w:rsidP="0015130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4406A2" w:rsidTr="0045714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4406A2" w:rsidRDefault="00BB1D82" w:rsidP="001513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4406A2" w:rsidRDefault="00BB1D82" w:rsidP="0015130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4406A2" w:rsidTr="00457145">
        <w:trPr>
          <w:cantSplit/>
        </w:trPr>
        <w:tc>
          <w:tcPr>
            <w:tcW w:w="6804" w:type="dxa"/>
          </w:tcPr>
          <w:p w:rsidR="00BB1D82" w:rsidRPr="004406A2" w:rsidRDefault="006D4724" w:rsidP="001513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06A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:rsidR="00BB1D82" w:rsidRPr="004406A2" w:rsidRDefault="006D4724" w:rsidP="0015130F">
            <w:pPr>
              <w:spacing w:before="0"/>
              <w:rPr>
                <w:rFonts w:ascii="Verdana" w:hAnsi="Verdana"/>
                <w:sz w:val="20"/>
              </w:rPr>
            </w:pPr>
            <w:r w:rsidRPr="004406A2">
              <w:rPr>
                <w:rFonts w:ascii="Verdana" w:hAnsi="Verdana"/>
                <w:b/>
                <w:sz w:val="20"/>
              </w:rPr>
              <w:t>Addendum 8 au</w:t>
            </w:r>
            <w:r w:rsidRPr="004406A2">
              <w:rPr>
                <w:rFonts w:ascii="Verdana" w:hAnsi="Verdana"/>
                <w:b/>
                <w:sz w:val="20"/>
              </w:rPr>
              <w:br/>
              <w:t>Document 11(Add.21)</w:t>
            </w:r>
            <w:r w:rsidR="00BB1D82" w:rsidRPr="004406A2">
              <w:rPr>
                <w:rFonts w:ascii="Verdana" w:hAnsi="Verdana"/>
                <w:b/>
                <w:sz w:val="20"/>
              </w:rPr>
              <w:t>-</w:t>
            </w:r>
            <w:r w:rsidRPr="004406A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2"/>
      <w:tr w:rsidR="00690C7B" w:rsidRPr="004406A2" w:rsidTr="00457145">
        <w:trPr>
          <w:cantSplit/>
        </w:trPr>
        <w:tc>
          <w:tcPr>
            <w:tcW w:w="6804" w:type="dxa"/>
          </w:tcPr>
          <w:p w:rsidR="00690C7B" w:rsidRPr="004406A2" w:rsidRDefault="00690C7B" w:rsidP="001513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:rsidR="00690C7B" w:rsidRPr="004406A2" w:rsidRDefault="00690C7B" w:rsidP="001513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06A2">
              <w:rPr>
                <w:rFonts w:ascii="Verdana" w:hAnsi="Verdana"/>
                <w:b/>
                <w:sz w:val="20"/>
              </w:rPr>
              <w:t>24 juin 2019</w:t>
            </w:r>
          </w:p>
        </w:tc>
      </w:tr>
      <w:tr w:rsidR="00690C7B" w:rsidRPr="004406A2" w:rsidTr="00457145">
        <w:trPr>
          <w:cantSplit/>
        </w:trPr>
        <w:tc>
          <w:tcPr>
            <w:tcW w:w="6804" w:type="dxa"/>
          </w:tcPr>
          <w:p w:rsidR="00690C7B" w:rsidRPr="004406A2" w:rsidRDefault="00690C7B" w:rsidP="001513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690C7B" w:rsidRPr="004406A2" w:rsidRDefault="00690C7B" w:rsidP="001513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06A2">
              <w:rPr>
                <w:rFonts w:ascii="Verdana" w:hAnsi="Verdana"/>
                <w:b/>
                <w:sz w:val="20"/>
              </w:rPr>
              <w:t>Original: anglais</w:t>
            </w:r>
            <w:r w:rsidR="00457145" w:rsidRPr="004406A2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4406A2" w:rsidTr="00C11970">
        <w:trPr>
          <w:cantSplit/>
        </w:trPr>
        <w:tc>
          <w:tcPr>
            <w:tcW w:w="10031" w:type="dxa"/>
            <w:gridSpan w:val="2"/>
          </w:tcPr>
          <w:p w:rsidR="00690C7B" w:rsidRPr="004406A2" w:rsidRDefault="00690C7B" w:rsidP="001513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406A2" w:rsidTr="0050008E">
        <w:trPr>
          <w:cantSplit/>
        </w:trPr>
        <w:tc>
          <w:tcPr>
            <w:tcW w:w="10031" w:type="dxa"/>
            <w:gridSpan w:val="2"/>
          </w:tcPr>
          <w:p w:rsidR="00690C7B" w:rsidRPr="004406A2" w:rsidRDefault="00A56E52" w:rsidP="0015130F">
            <w:pPr>
              <w:pStyle w:val="Source"/>
            </w:pPr>
            <w:bookmarkStart w:id="3" w:name="dsource" w:colFirst="0" w:colLast="0"/>
            <w:r w:rsidRPr="004406A2">
              <w:t>États</w:t>
            </w:r>
            <w:r w:rsidR="00690C7B" w:rsidRPr="004406A2">
              <w:t xml:space="preserve"> Membres de la Commission interaméricaine des télécommunications (CITEL)</w:t>
            </w:r>
          </w:p>
        </w:tc>
      </w:tr>
      <w:tr w:rsidR="00690C7B" w:rsidRPr="004406A2" w:rsidTr="0050008E">
        <w:trPr>
          <w:cantSplit/>
        </w:trPr>
        <w:tc>
          <w:tcPr>
            <w:tcW w:w="10031" w:type="dxa"/>
            <w:gridSpan w:val="2"/>
          </w:tcPr>
          <w:p w:rsidR="00690C7B" w:rsidRPr="004406A2" w:rsidRDefault="00A56E52" w:rsidP="0015130F">
            <w:pPr>
              <w:pStyle w:val="Title1"/>
            </w:pPr>
            <w:bookmarkStart w:id="4" w:name="dtitle1" w:colFirst="0" w:colLast="0"/>
            <w:bookmarkEnd w:id="3"/>
            <w:r w:rsidRPr="004406A2">
              <w:t>proposition</w:t>
            </w:r>
            <w:r w:rsidR="00E2258B" w:rsidRPr="004406A2">
              <w:t>s</w:t>
            </w:r>
            <w:r w:rsidRPr="004406A2">
              <w:t xml:space="preserve"> pour les travaux de la conférence</w:t>
            </w:r>
          </w:p>
        </w:tc>
      </w:tr>
      <w:tr w:rsidR="00690C7B" w:rsidRPr="004406A2" w:rsidTr="0050008E">
        <w:trPr>
          <w:cantSplit/>
        </w:trPr>
        <w:tc>
          <w:tcPr>
            <w:tcW w:w="10031" w:type="dxa"/>
            <w:gridSpan w:val="2"/>
          </w:tcPr>
          <w:p w:rsidR="00690C7B" w:rsidRPr="004406A2" w:rsidRDefault="00690C7B" w:rsidP="0015130F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RPr="004406A2" w:rsidTr="0050008E">
        <w:trPr>
          <w:cantSplit/>
        </w:trPr>
        <w:tc>
          <w:tcPr>
            <w:tcW w:w="10031" w:type="dxa"/>
            <w:gridSpan w:val="2"/>
          </w:tcPr>
          <w:p w:rsidR="00690C7B" w:rsidRPr="004406A2" w:rsidRDefault="00690C7B" w:rsidP="0015130F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4406A2">
              <w:rPr>
                <w:lang w:val="fr-FR"/>
              </w:rPr>
              <w:t>Point 9.1(9.1.8) de l'ordre du jour</w:t>
            </w:r>
          </w:p>
        </w:tc>
      </w:tr>
    </w:tbl>
    <w:bookmarkEnd w:id="6"/>
    <w:p w:rsidR="001C0E40" w:rsidRPr="004406A2" w:rsidRDefault="00053435" w:rsidP="00CF128C">
      <w:pPr>
        <w:pStyle w:val="Normalaftertitle"/>
      </w:pPr>
      <w:r w:rsidRPr="004406A2">
        <w:t>9</w:t>
      </w:r>
      <w:r w:rsidRPr="004406A2">
        <w:tab/>
        <w:t>examiner et approuver le rapport du Directeur du Bureau des radiocommunications, conformément à l'article 7 de la Convention:</w:t>
      </w:r>
    </w:p>
    <w:p w:rsidR="001C0E40" w:rsidRPr="004406A2" w:rsidRDefault="00053435" w:rsidP="0015130F">
      <w:r w:rsidRPr="004406A2">
        <w:t>9.1</w:t>
      </w:r>
      <w:r w:rsidRPr="004406A2">
        <w:tab/>
        <w:t>sur les activités du Secteur des radiocommunications depuis la CMR</w:t>
      </w:r>
      <w:r w:rsidRPr="004406A2">
        <w:noBreakHyphen/>
        <w:t>15;</w:t>
      </w:r>
    </w:p>
    <w:p w:rsidR="001C0E40" w:rsidRPr="004406A2" w:rsidRDefault="00053435" w:rsidP="00CF128C">
      <w:r w:rsidRPr="004406A2">
        <w:rPr>
          <w:rFonts w:cstheme="majorBidi"/>
          <w:color w:val="000000"/>
          <w:szCs w:val="24"/>
          <w:lang w:eastAsia="zh-CN"/>
        </w:rPr>
        <w:t>9.1 (</w:t>
      </w:r>
      <w:r w:rsidRPr="004406A2">
        <w:rPr>
          <w:lang w:eastAsia="zh-CN"/>
        </w:rPr>
        <w:t>9.1.8)</w:t>
      </w:r>
      <w:r w:rsidRPr="004406A2">
        <w:tab/>
      </w:r>
      <w:hyperlink w:anchor="RES_958" w:history="1">
        <w:r w:rsidRPr="004406A2">
          <w:t xml:space="preserve">Résolution </w:t>
        </w:r>
        <w:r w:rsidRPr="004406A2">
          <w:rPr>
            <w:b/>
            <w:bCs/>
          </w:rPr>
          <w:t>958 (CMR</w:t>
        </w:r>
        <w:r w:rsidRPr="004406A2">
          <w:rPr>
            <w:b/>
            <w:bCs/>
          </w:rPr>
          <w:noBreakHyphen/>
          <w:t>15)</w:t>
        </w:r>
      </w:hyperlink>
      <w:r w:rsidRPr="004406A2">
        <w:t xml:space="preserve"> – Annexe, point 3) </w:t>
      </w:r>
      <w:r w:rsidR="0015130F" w:rsidRPr="004406A2">
        <w:rPr>
          <w:lang w:eastAsia="zh-CN"/>
        </w:rPr>
        <w:t>Études</w:t>
      </w:r>
      <w:r w:rsidRPr="004406A2">
        <w:rPr>
          <w:lang w:eastAsia="zh-CN"/>
        </w:rPr>
        <w:t xml:space="preserve">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 bande étroite et large bande, en vue de l'élaboration de Recommandations, de Rapports et/ou de Manuels, selon le cas, et adoption de mesures appropriées dans le cadre des travaux relevant du domaine de compétence du Secteur d</w:t>
      </w:r>
      <w:r w:rsidR="00CF128C">
        <w:rPr>
          <w:lang w:eastAsia="zh-CN"/>
        </w:rPr>
        <w:t>es radiocommunications de l'UIT.</w:t>
      </w:r>
    </w:p>
    <w:p w:rsidR="001F7880" w:rsidRPr="004406A2" w:rsidRDefault="001F7880" w:rsidP="0015130F">
      <w:pPr>
        <w:pStyle w:val="Headingb"/>
        <w:rPr>
          <w:lang w:eastAsia="zh-CN"/>
        </w:rPr>
      </w:pPr>
      <w:r w:rsidRPr="004406A2">
        <w:rPr>
          <w:lang w:eastAsia="zh-CN"/>
        </w:rPr>
        <w:t>Considérations générales</w:t>
      </w:r>
    </w:p>
    <w:p w:rsidR="003A583E" w:rsidRPr="004406A2" w:rsidRDefault="00A06C02" w:rsidP="0015130F">
      <w:r w:rsidRPr="004406A2">
        <w:t>Au titre du point 9.1 (question 9.1.8) de l'ordre du jour de la CMR-19, il est demandé d'</w:t>
      </w:r>
      <w:r w:rsidR="008C29DF" w:rsidRPr="004406A2">
        <w:t>e</w:t>
      </w:r>
      <w:r w:rsidR="00893271">
        <w:t>ntreprendre</w:t>
      </w:r>
      <w:r w:rsidRPr="004406A2">
        <w:t xml:space="preserve"> des </w:t>
      </w:r>
      <w:r w:rsidRPr="004406A2">
        <w:rPr>
          <w:lang w:eastAsia="zh-CN"/>
        </w:rPr>
        <w:t>é</w:t>
      </w:r>
      <w:r w:rsidR="001F7880" w:rsidRPr="004406A2">
        <w:rPr>
          <w:lang w:eastAsia="zh-CN"/>
        </w:rPr>
        <w:t xml:space="preserve">tudes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 bande étroite et large bande, en vue de l'élaboration de Recommandations, de Rapports et/ou de Manuels, selon le cas, </w:t>
      </w:r>
      <w:r w:rsidR="001F7880" w:rsidRPr="00FE2139">
        <w:rPr>
          <w:lang w:eastAsia="zh-CN"/>
        </w:rPr>
        <w:t xml:space="preserve">et </w:t>
      </w:r>
      <w:r w:rsidR="00FE2139">
        <w:rPr>
          <w:lang w:eastAsia="zh-CN"/>
        </w:rPr>
        <w:t>en vue de l'</w:t>
      </w:r>
      <w:r w:rsidR="001F7880" w:rsidRPr="00FE2139">
        <w:rPr>
          <w:lang w:eastAsia="zh-CN"/>
        </w:rPr>
        <w:t>adoption</w:t>
      </w:r>
      <w:r w:rsidR="001F7880" w:rsidRPr="004406A2">
        <w:rPr>
          <w:lang w:eastAsia="zh-CN"/>
        </w:rPr>
        <w:t xml:space="preserve"> de mesures appropriées dans le cadre des travaux relevant du domaine de compétence du Secteur des radiocommunications de l'UIT.</w:t>
      </w:r>
    </w:p>
    <w:p w:rsidR="00BD0514" w:rsidRPr="004406A2" w:rsidRDefault="005721EF" w:rsidP="0015130F">
      <w:r w:rsidRPr="004406A2">
        <w:t>Les communications de type machine (MTC)</w:t>
      </w:r>
      <w:r w:rsidR="004406A2" w:rsidRPr="004406A2">
        <w:t xml:space="preserve">, les communications de machine à machine (M2M) </w:t>
      </w:r>
      <w:r w:rsidR="00635751">
        <w:t>et</w:t>
      </w:r>
      <w:r w:rsidR="004406A2" w:rsidRPr="004406A2">
        <w:t xml:space="preserve"> l'Internet des objets (IoT) sont </w:t>
      </w:r>
      <w:r w:rsidR="004406A2">
        <w:t>autant de termes</w:t>
      </w:r>
      <w:r w:rsidR="004406A2" w:rsidRPr="004406A2">
        <w:t xml:space="preserve"> différents qui désignent le même type d'application </w:t>
      </w:r>
      <w:r w:rsidR="004406A2">
        <w:t>permettant aux machines de communiquer entre elles.</w:t>
      </w:r>
      <w:r w:rsidRPr="004406A2">
        <w:t xml:space="preserve"> </w:t>
      </w:r>
      <w:r w:rsidR="004406A2">
        <w:t>Dans la p</w:t>
      </w:r>
      <w:r w:rsidR="00C80311">
        <w:t xml:space="preserve">résente </w:t>
      </w:r>
      <w:r w:rsidR="003B6DCC">
        <w:t>proposition, «MTC»</w:t>
      </w:r>
      <w:r w:rsidR="004406A2">
        <w:t xml:space="preserve"> </w:t>
      </w:r>
      <w:r w:rsidR="00C90705">
        <w:t>est</w:t>
      </w:r>
      <w:r w:rsidR="00755920">
        <w:t xml:space="preserve"> employé comme</w:t>
      </w:r>
      <w:r w:rsidR="004406A2">
        <w:t xml:space="preserve"> terme de référence pour désigner ces </w:t>
      </w:r>
      <w:r w:rsidR="00222B52">
        <w:t>types</w:t>
      </w:r>
      <w:r w:rsidR="004406A2">
        <w:t xml:space="preserve"> de communication.</w:t>
      </w:r>
      <w:r w:rsidR="00BD0514" w:rsidRPr="004406A2">
        <w:t xml:space="preserve"> </w:t>
      </w:r>
      <w:r w:rsidR="00BD0D8A">
        <w:t>Dans le cadre</w:t>
      </w:r>
      <w:r w:rsidR="004406A2">
        <w:t xml:space="preserve"> de l'UIT-R, </w:t>
      </w:r>
      <w:r w:rsidR="00E905F1">
        <w:t>l</w:t>
      </w:r>
      <w:r w:rsidR="004406A2">
        <w:t>es applications de ce type bénéficient déjà de fréquences attribuées au service mobile, y compris de gammes de fréquences identifiées pour les télécommunications mobiles internationales (IMT).</w:t>
      </w:r>
      <w:r w:rsidR="00BD0514" w:rsidRPr="004406A2">
        <w:t xml:space="preserve"> </w:t>
      </w:r>
      <w:r w:rsidR="00C80311">
        <w:t xml:space="preserve">Il ressort de la grande majorité des contributions </w:t>
      </w:r>
      <w:r w:rsidR="00E905F1">
        <w:t xml:space="preserve">élaborées </w:t>
      </w:r>
      <w:r w:rsidR="00C80311">
        <w:t xml:space="preserve">par les entreprises et d'autres </w:t>
      </w:r>
      <w:r w:rsidR="00C80311">
        <w:lastRenderedPageBreak/>
        <w:t xml:space="preserve">groupes s'occupant </w:t>
      </w:r>
      <w:r w:rsidR="008523F0">
        <w:t>du développement</w:t>
      </w:r>
      <w:r w:rsidR="00C80311">
        <w:t xml:space="preserve"> de technologies MTC, notamment des exposés </w:t>
      </w:r>
      <w:r w:rsidR="00F41641">
        <w:t>présentés</w:t>
      </w:r>
      <w:r w:rsidR="00C80311">
        <w:t xml:space="preserve"> lors de l'atelier de l'UIT sur la gestion du spectre en vue de déploiement de l'Internet des objets qui s'est déroulé en novembre 2016 à Genève (Suisse), que l'identification de bandes de fréquences spécifiques pour les applications MTC</w:t>
      </w:r>
      <w:r w:rsidR="00367D8B">
        <w:t xml:space="preserve"> risque de retarder ou de brider inutilement l'innovation et, partant, de conduire à une utilisation inefficace du spectre.</w:t>
      </w:r>
    </w:p>
    <w:p w:rsidR="00BD0514" w:rsidRPr="004406A2" w:rsidRDefault="00782F83" w:rsidP="003B6DCC">
      <w:r>
        <w:t xml:space="preserve">Les administrations </w:t>
      </w:r>
      <w:r w:rsidR="003B6DCC">
        <w:t xml:space="preserve">des États membres </w:t>
      </w:r>
      <w:r>
        <w:t xml:space="preserve">de la CITEL ont analysé l'utilisation actuelle et future des fréquences pour les communications MTC à bande étroite et à large bande, </w:t>
      </w:r>
      <w:r w:rsidR="003B6DCC">
        <w:t xml:space="preserve">comme indiqué </w:t>
      </w:r>
      <w:r>
        <w:t xml:space="preserve">dans la Résolution </w:t>
      </w:r>
      <w:r w:rsidR="00BD0514" w:rsidRPr="004406A2">
        <w:rPr>
          <w:b/>
          <w:bCs/>
        </w:rPr>
        <w:t>958 (</w:t>
      </w:r>
      <w:r>
        <w:rPr>
          <w:b/>
          <w:bCs/>
        </w:rPr>
        <w:t>CMR</w:t>
      </w:r>
      <w:r w:rsidR="00BD0514" w:rsidRPr="004406A2">
        <w:rPr>
          <w:b/>
          <w:bCs/>
        </w:rPr>
        <w:t>-15)</w:t>
      </w:r>
      <w:r w:rsidR="00BD0514" w:rsidRPr="004406A2">
        <w:t xml:space="preserve">, </w:t>
      </w:r>
      <w:r>
        <w:t xml:space="preserve">et ont conclu qu'il n'y avait pas lieu d'identifier des fréquences spécifiques pour </w:t>
      </w:r>
      <w:r w:rsidR="00D30B28">
        <w:t>c</w:t>
      </w:r>
      <w:r>
        <w:t>es applications.</w:t>
      </w:r>
    </w:p>
    <w:p w:rsidR="00BD0514" w:rsidRPr="003B6DCC" w:rsidRDefault="00A5426B" w:rsidP="003B6DCC">
      <w:pPr>
        <w:rPr>
          <w:spacing w:val="-2"/>
        </w:rPr>
      </w:pPr>
      <w:r>
        <w:t xml:space="preserve">Les systèmes </w:t>
      </w:r>
      <w:r w:rsidR="00BD0514" w:rsidRPr="004406A2">
        <w:t xml:space="preserve">IMT </w:t>
      </w:r>
      <w:r>
        <w:t xml:space="preserve">ont évolué au fil des années afin de satisfaire des besoins et </w:t>
      </w:r>
      <w:r w:rsidR="00D30B28">
        <w:t xml:space="preserve">de répondre à </w:t>
      </w:r>
      <w:r>
        <w:t xml:space="preserve">des cas d'utilisation différents en matière de bande étroite et de large bande. L'un des scénarios d'utilisation des IMT-2020 </w:t>
      </w:r>
      <w:r w:rsidR="00ED64A4">
        <w:t>prévoit la prise</w:t>
      </w:r>
      <w:r>
        <w:t xml:space="preserve"> en charge </w:t>
      </w:r>
      <w:r w:rsidR="00371FCF">
        <w:t>d</w:t>
      </w:r>
      <w:r>
        <w:t>es communications massives de type MTC</w:t>
      </w:r>
      <w:r w:rsidR="00BD0514" w:rsidRPr="004406A2">
        <w:t xml:space="preserve">. </w:t>
      </w:r>
      <w:r w:rsidR="003B6DCC" w:rsidRPr="003B6DCC">
        <w:rPr>
          <w:spacing w:val="-2"/>
        </w:rPr>
        <w:t>Dans l</w:t>
      </w:r>
      <w:r w:rsidRPr="003B6DCC">
        <w:rPr>
          <w:spacing w:val="-2"/>
        </w:rPr>
        <w:t xml:space="preserve">es études relatives aux nouveaux besoins de fréquences pour les communications mobiles, telles que les IMT-2020, </w:t>
      </w:r>
      <w:r w:rsidR="003B6DCC" w:rsidRPr="003B6DCC">
        <w:rPr>
          <w:spacing w:val="-2"/>
        </w:rPr>
        <w:t xml:space="preserve">on a </w:t>
      </w:r>
      <w:r w:rsidRPr="003B6DCC">
        <w:rPr>
          <w:spacing w:val="-2"/>
        </w:rPr>
        <w:t xml:space="preserve">déjà </w:t>
      </w:r>
      <w:r w:rsidR="003B6DCC" w:rsidRPr="003B6DCC">
        <w:rPr>
          <w:spacing w:val="-2"/>
        </w:rPr>
        <w:t xml:space="preserve">pris en considération </w:t>
      </w:r>
      <w:r w:rsidRPr="003B6DCC">
        <w:rPr>
          <w:spacing w:val="-2"/>
        </w:rPr>
        <w:t xml:space="preserve">les applications </w:t>
      </w:r>
      <w:r w:rsidR="00ED1854" w:rsidRPr="003B6DCC">
        <w:rPr>
          <w:spacing w:val="-2"/>
        </w:rPr>
        <w:t xml:space="preserve">pour les communications </w:t>
      </w:r>
      <w:r w:rsidRPr="003B6DCC">
        <w:rPr>
          <w:spacing w:val="-2"/>
        </w:rPr>
        <w:t xml:space="preserve">massives de type MTC </w:t>
      </w:r>
      <w:r w:rsidR="003B6DCC" w:rsidRPr="003B6DCC">
        <w:rPr>
          <w:spacing w:val="-2"/>
        </w:rPr>
        <w:t xml:space="preserve">parmi les </w:t>
      </w:r>
      <w:r w:rsidRPr="003B6DCC">
        <w:rPr>
          <w:spacing w:val="-2"/>
        </w:rPr>
        <w:t>raisons</w:t>
      </w:r>
      <w:r w:rsidR="008C29DF" w:rsidRPr="003B6DCC">
        <w:rPr>
          <w:spacing w:val="-2"/>
        </w:rPr>
        <w:t xml:space="preserve"> </w:t>
      </w:r>
      <w:r w:rsidR="003B6DCC" w:rsidRPr="003B6DCC">
        <w:rPr>
          <w:spacing w:val="-2"/>
        </w:rPr>
        <w:t xml:space="preserve">à l'origine de </w:t>
      </w:r>
      <w:r w:rsidRPr="003B6DCC">
        <w:rPr>
          <w:spacing w:val="-2"/>
        </w:rPr>
        <w:t>l'augmentation de la capacité des réseaux IMT.</w:t>
      </w:r>
    </w:p>
    <w:p w:rsidR="00BD0514" w:rsidRPr="004406A2" w:rsidRDefault="008C29DF" w:rsidP="003B6DCC">
      <w:r>
        <w:t>Le Groupe de travail 5D de l'UIT-R (GT</w:t>
      </w:r>
      <w:r w:rsidR="00BD0514" w:rsidRPr="004406A2">
        <w:t xml:space="preserve"> 5D) </w:t>
      </w:r>
      <w:r>
        <w:t xml:space="preserve">est le groupe chargé de procéder à des études pertinentes sur la question 9.1.8 </w:t>
      </w:r>
      <w:r w:rsidR="003B6DCC">
        <w:t xml:space="preserve">en vue </w:t>
      </w:r>
      <w:r>
        <w:t xml:space="preserve">de la CMR-19. À </w:t>
      </w:r>
      <w:r w:rsidR="00D459A1">
        <w:t>cette fin</w:t>
      </w:r>
      <w:r>
        <w:t xml:space="preserve">, le GT 5D a entamé des travaux sur ce sujet, en élaborant des rapports techniques. Le contenu qui est intégré dans ces rapports permet de </w:t>
      </w:r>
      <w:r w:rsidR="003B6DCC">
        <w:t xml:space="preserve">répondre aux </w:t>
      </w:r>
      <w:r>
        <w:t>études</w:t>
      </w:r>
      <w:r w:rsidR="003B6DCC">
        <w:t xml:space="preserve"> demandées </w:t>
      </w:r>
      <w:r>
        <w:t xml:space="preserve">dans la </w:t>
      </w:r>
      <w:r w:rsidR="00BD0514" w:rsidRPr="004406A2">
        <w:t>R</w:t>
      </w:r>
      <w:r w:rsidR="008C6D97" w:rsidRPr="004406A2">
        <w:t>é</w:t>
      </w:r>
      <w:r w:rsidR="00BD0514" w:rsidRPr="004406A2">
        <w:t xml:space="preserve">solution </w:t>
      </w:r>
      <w:r w:rsidR="00BD0514" w:rsidRPr="004406A2">
        <w:rPr>
          <w:b/>
          <w:bCs/>
        </w:rPr>
        <w:t>958 (</w:t>
      </w:r>
      <w:r w:rsidR="008C6D97" w:rsidRPr="004406A2">
        <w:rPr>
          <w:b/>
          <w:bCs/>
        </w:rPr>
        <w:t>CMR</w:t>
      </w:r>
      <w:r w:rsidR="008C6D97" w:rsidRPr="004406A2">
        <w:rPr>
          <w:b/>
          <w:bCs/>
        </w:rPr>
        <w:noBreakHyphen/>
      </w:r>
      <w:r w:rsidR="00BD0514" w:rsidRPr="004406A2">
        <w:rPr>
          <w:b/>
          <w:bCs/>
        </w:rPr>
        <w:t>15)</w:t>
      </w:r>
      <w:r w:rsidR="0015130F">
        <w:t>.</w:t>
      </w:r>
    </w:p>
    <w:p w:rsidR="00BD0514" w:rsidRPr="004406A2" w:rsidRDefault="00173FE8" w:rsidP="003B6DCC">
      <w:r>
        <w:t xml:space="preserve">Les applications et les dispositifs MTC peuvent être utilisés de manière efficace à la faveur des bandes de fréquences existantes pour les services mobiles large bande et </w:t>
      </w:r>
      <w:r w:rsidR="00485CF3">
        <w:t>d</w:t>
      </w:r>
      <w:r>
        <w:t>es nouvelles bandes de fréquences qui sont actu</w:t>
      </w:r>
      <w:r w:rsidR="0015130F">
        <w:t>ellement étudiées pour les IMT.</w:t>
      </w:r>
    </w:p>
    <w:p w:rsidR="00BD0514" w:rsidRPr="004406A2" w:rsidRDefault="00173FE8" w:rsidP="003B6DCC">
      <w:r>
        <w:t>Par conséquent, il n'est ni souhaitable ni nécessaire d'identifier des fréquences expressément pour les communications MTC</w:t>
      </w:r>
      <w:r w:rsidR="00283D4A">
        <w:t xml:space="preserve">, et </w:t>
      </w:r>
      <w:r>
        <w:t xml:space="preserve">aucune modification du Règlement des radiocommunications (RR) n'est </w:t>
      </w:r>
      <w:r w:rsidR="003B6DCC">
        <w:t xml:space="preserve">donc </w:t>
      </w:r>
      <w:r>
        <w:t>nécessaire.</w:t>
      </w:r>
    </w:p>
    <w:p w:rsidR="0015203F" w:rsidRPr="004406A2" w:rsidRDefault="008B7A25" w:rsidP="0015130F">
      <w:pPr>
        <w:pStyle w:val="Headingb"/>
      </w:pPr>
      <w:r>
        <w:t>PROPOSITION</w:t>
      </w:r>
      <w:r w:rsidR="00B60431">
        <w:t>S</w:t>
      </w:r>
      <w:r>
        <w:t xml:space="preserve"> INTERAMÉRICAINE</w:t>
      </w:r>
      <w:r w:rsidR="00B60431">
        <w:t>S</w:t>
      </w:r>
    </w:p>
    <w:p w:rsidR="0004677E" w:rsidRPr="004406A2" w:rsidRDefault="00053435" w:rsidP="0015130F">
      <w:pPr>
        <w:pStyle w:val="Proposal"/>
      </w:pPr>
      <w:r w:rsidRPr="004406A2">
        <w:rPr>
          <w:u w:val="single"/>
        </w:rPr>
        <w:t>NOC</w:t>
      </w:r>
      <w:r w:rsidRPr="004406A2">
        <w:tab/>
        <w:t>IAP/11A21A8/1</w:t>
      </w:r>
    </w:p>
    <w:p w:rsidR="00DC48DB" w:rsidRPr="004406A2" w:rsidRDefault="00053435" w:rsidP="0015130F">
      <w:pPr>
        <w:pStyle w:val="Volumetitle"/>
        <w:rPr>
          <w:b/>
          <w:bCs/>
          <w:lang w:val="fr-FR"/>
        </w:rPr>
      </w:pPr>
      <w:bookmarkStart w:id="7" w:name="_Toc455752901"/>
      <w:bookmarkStart w:id="8" w:name="_Toc455756140"/>
      <w:r w:rsidRPr="004406A2">
        <w:rPr>
          <w:b/>
          <w:bCs/>
          <w:lang w:val="fr-FR"/>
        </w:rPr>
        <w:t>ARTICLES</w:t>
      </w:r>
      <w:bookmarkEnd w:id="7"/>
      <w:bookmarkEnd w:id="8"/>
    </w:p>
    <w:p w:rsidR="0004677E" w:rsidRPr="004406A2" w:rsidRDefault="00053435" w:rsidP="003B6DCC">
      <w:pPr>
        <w:pStyle w:val="Reasons"/>
      </w:pPr>
      <w:r w:rsidRPr="004406A2">
        <w:rPr>
          <w:b/>
        </w:rPr>
        <w:t>Motifs:</w:t>
      </w:r>
      <w:r w:rsidRPr="004406A2">
        <w:tab/>
      </w:r>
      <w:r w:rsidR="00C5783B">
        <w:t>Il ressort des analyses relatives à l'utilisation actuelle et future</w:t>
      </w:r>
      <w:r w:rsidR="00C5783B" w:rsidRPr="00C5783B">
        <w:t xml:space="preserve"> </w:t>
      </w:r>
      <w:r w:rsidR="00C5783B">
        <w:t xml:space="preserve">des fréquences pour les communications de type machine (MTC) à bande étroite et à large bande, aussi appelées communications de machine à machine (M2M) ou Internet des objets (IoT), qu'il n'est pas nécessaire d'identifier des fréquences spécifiques pour des applications de ce type. Par conséquent, aucune modification du Règlement des radiocommunications (RR) </w:t>
      </w:r>
      <w:r w:rsidR="003B6DCC">
        <w:t xml:space="preserve">ou </w:t>
      </w:r>
      <w:r w:rsidR="00485CF3">
        <w:t xml:space="preserve">mesure réglementaire </w:t>
      </w:r>
      <w:r w:rsidR="00C5783B" w:rsidRPr="004020A6">
        <w:t>n'est nécessaire</w:t>
      </w:r>
      <w:r w:rsidR="00C5783B">
        <w:t>.</w:t>
      </w:r>
    </w:p>
    <w:p w:rsidR="0004677E" w:rsidRPr="004406A2" w:rsidRDefault="00053435" w:rsidP="0015130F">
      <w:pPr>
        <w:pStyle w:val="Proposal"/>
      </w:pPr>
      <w:r w:rsidRPr="004406A2">
        <w:rPr>
          <w:u w:val="single"/>
        </w:rPr>
        <w:t>NOC</w:t>
      </w:r>
      <w:r w:rsidRPr="004406A2">
        <w:tab/>
        <w:t>IAP/11A21A8/2</w:t>
      </w:r>
    </w:p>
    <w:p w:rsidR="00D5115B" w:rsidRPr="00C5783B" w:rsidRDefault="00053435" w:rsidP="0015130F">
      <w:pPr>
        <w:pStyle w:val="Volumetitle"/>
        <w:rPr>
          <w:b/>
          <w:bCs/>
          <w:lang w:val="fr-FR"/>
        </w:rPr>
      </w:pPr>
      <w:bookmarkStart w:id="9" w:name="_Toc327956568"/>
      <w:r w:rsidRPr="00C5783B">
        <w:rPr>
          <w:b/>
          <w:bCs/>
          <w:lang w:val="fr-FR"/>
        </w:rPr>
        <w:t>APPENDICES</w:t>
      </w:r>
      <w:bookmarkEnd w:id="9"/>
    </w:p>
    <w:p w:rsidR="0004677E" w:rsidRPr="004406A2" w:rsidRDefault="00053435" w:rsidP="003B6DCC">
      <w:pPr>
        <w:pStyle w:val="Reasons"/>
      </w:pPr>
      <w:r w:rsidRPr="004406A2">
        <w:rPr>
          <w:b/>
        </w:rPr>
        <w:t>Motifs:</w:t>
      </w:r>
      <w:r w:rsidRPr="004406A2">
        <w:tab/>
      </w:r>
      <w:r w:rsidR="00C5783B">
        <w:t>Il ressort des analyses relatives à l'utilisation actuelle et future</w:t>
      </w:r>
      <w:r w:rsidR="00C5783B" w:rsidRPr="00C5783B">
        <w:t xml:space="preserve"> </w:t>
      </w:r>
      <w:r w:rsidR="00C5783B">
        <w:t xml:space="preserve">des fréquences pour les communications de type machine (MTC) à bande étroite et à large bande, aussi appelées communications de machine à machine (M2M) ou Internet des objets (IoT), qu'il n'est pas nécessaire d'identifier des fréquences spécifiques pour des applications de ce type. Par conséquent, </w:t>
      </w:r>
      <w:r w:rsidR="00C5783B">
        <w:lastRenderedPageBreak/>
        <w:t xml:space="preserve">aucune modification du Règlement des radiocommunications (RR) </w:t>
      </w:r>
      <w:r w:rsidR="003B6DCC">
        <w:t xml:space="preserve">ou </w:t>
      </w:r>
      <w:r w:rsidR="00090577">
        <w:t xml:space="preserve">mesure réglementaire </w:t>
      </w:r>
      <w:r w:rsidR="00C5783B">
        <w:t>n'est nécessaire.</w:t>
      </w:r>
    </w:p>
    <w:p w:rsidR="004A4B52" w:rsidRPr="004406A2" w:rsidRDefault="00053435" w:rsidP="0015130F">
      <w:pPr>
        <w:pStyle w:val="ResNo"/>
      </w:pPr>
      <w:r w:rsidRPr="004406A2">
        <w:rPr>
          <w:caps w:val="0"/>
        </w:rPr>
        <w:t xml:space="preserve">RÉSOLUTION </w:t>
      </w:r>
      <w:r w:rsidRPr="004406A2">
        <w:rPr>
          <w:rStyle w:val="href"/>
          <w:caps w:val="0"/>
        </w:rPr>
        <w:t>958</w:t>
      </w:r>
      <w:r w:rsidRPr="004406A2">
        <w:rPr>
          <w:caps w:val="0"/>
        </w:rPr>
        <w:t xml:space="preserve"> (CMR-15)</w:t>
      </w:r>
    </w:p>
    <w:p w:rsidR="004A4B52" w:rsidRPr="004406A2" w:rsidRDefault="0015130F" w:rsidP="0015130F">
      <w:pPr>
        <w:pStyle w:val="Restitle"/>
      </w:pPr>
      <w:bookmarkStart w:id="10" w:name="_Toc450208845"/>
      <w:r w:rsidRPr="004406A2">
        <w:t>Études</w:t>
      </w:r>
      <w:r w:rsidR="00053435" w:rsidRPr="004406A2">
        <w:t xml:space="preserve"> à entreprendre d'urgence en vue de la Conférence mondiale </w:t>
      </w:r>
      <w:r w:rsidR="00053435" w:rsidRPr="004406A2">
        <w:br/>
        <w:t>des radiocommunications de 2019</w:t>
      </w:r>
      <w:bookmarkEnd w:id="10"/>
    </w:p>
    <w:p w:rsidR="0004677E" w:rsidRPr="004406A2" w:rsidRDefault="00053435" w:rsidP="0015130F">
      <w:pPr>
        <w:pStyle w:val="Proposal"/>
      </w:pPr>
      <w:r w:rsidRPr="004406A2">
        <w:t>SUP</w:t>
      </w:r>
      <w:r w:rsidRPr="004406A2">
        <w:tab/>
        <w:t>IAP/11A21A8/3</w:t>
      </w:r>
    </w:p>
    <w:p w:rsidR="004A4B52" w:rsidRPr="004406A2" w:rsidRDefault="00053435" w:rsidP="0015130F">
      <w:pPr>
        <w:pStyle w:val="AnnexNo"/>
      </w:pPr>
      <w:r w:rsidRPr="004406A2">
        <w:t>ANNEXe de la RéSOLUTION 958 (CMR-15)</w:t>
      </w:r>
    </w:p>
    <w:p w:rsidR="004A4B52" w:rsidRPr="004406A2" w:rsidRDefault="0015130F" w:rsidP="0015130F">
      <w:pPr>
        <w:pStyle w:val="Annextitle"/>
      </w:pPr>
      <w:r w:rsidRPr="004406A2">
        <w:t>Études</w:t>
      </w:r>
      <w:r w:rsidR="00053435" w:rsidRPr="004406A2">
        <w:t xml:space="preserve"> à entreprendre d'urgence en vue de la Conférence mondiale </w:t>
      </w:r>
      <w:r w:rsidR="00053435" w:rsidRPr="004406A2">
        <w:br/>
        <w:t>des radiocommunications de 2019</w:t>
      </w:r>
    </w:p>
    <w:p w:rsidR="004A4B52" w:rsidRPr="004406A2" w:rsidRDefault="00DA404B" w:rsidP="0015130F">
      <w:pPr>
        <w:pStyle w:val="enumlev1"/>
        <w:rPr>
          <w:lang w:eastAsia="zh-CN"/>
        </w:rPr>
      </w:pPr>
      <w:r w:rsidRPr="004406A2">
        <w:rPr>
          <w:lang w:eastAsia="zh-CN"/>
        </w:rPr>
        <w:t>...</w:t>
      </w:r>
    </w:p>
    <w:p w:rsidR="004A4B52" w:rsidRPr="004406A2" w:rsidRDefault="00053435" w:rsidP="0015130F">
      <w:pPr>
        <w:rPr>
          <w:lang w:eastAsia="zh-CN"/>
        </w:rPr>
      </w:pPr>
      <w:r w:rsidRPr="004406A2">
        <w:rPr>
          <w:lang w:eastAsia="zh-CN"/>
        </w:rPr>
        <w:t>3)</w:t>
      </w:r>
      <w:r w:rsidRPr="004406A2">
        <w:rPr>
          <w:lang w:eastAsia="zh-CN"/>
        </w:rPr>
        <w:tab/>
      </w:r>
      <w:r w:rsidR="0015130F" w:rsidRPr="004406A2">
        <w:rPr>
          <w:lang w:eastAsia="zh-CN"/>
        </w:rPr>
        <w:t>Études</w:t>
      </w:r>
      <w:r w:rsidRPr="004406A2">
        <w:rPr>
          <w:lang w:eastAsia="zh-CN"/>
        </w:rPr>
        <w:t xml:space="preserve">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 bande étroite et large bande, en vue de l'élaboration de Recommandations, de Rapports et/ou de Manuels, selon le cas, et adoption de mesures appropriées dans le cadre des travaux relevant du domaine de compétence du Secteur des radiocommunications de l'UIT.</w:t>
      </w:r>
    </w:p>
    <w:p w:rsidR="0004677E" w:rsidRPr="004406A2" w:rsidRDefault="00053435" w:rsidP="003B6DCC">
      <w:pPr>
        <w:pStyle w:val="Reasons"/>
      </w:pPr>
      <w:r w:rsidRPr="004406A2">
        <w:rPr>
          <w:b/>
        </w:rPr>
        <w:t>Motifs:</w:t>
      </w:r>
      <w:r w:rsidRPr="004406A2">
        <w:tab/>
      </w:r>
      <w:r w:rsidR="00C5783B">
        <w:t>Il ressort des analyses relatives à l'utilisation actuelle et future</w:t>
      </w:r>
      <w:r w:rsidR="00C5783B" w:rsidRPr="00C5783B">
        <w:t xml:space="preserve"> </w:t>
      </w:r>
      <w:r w:rsidR="00C5783B">
        <w:t xml:space="preserve">des fréquences pour les communications de type machine (MTC) à bande étroite et à large bande, aussi appelées communications de machine à machine (M2M) ou Internet des objets (IoT), qu'il n'est pas nécessaire d'identifier des fréquences spécifiques pour des applications de ce type. Par conséquent, </w:t>
      </w:r>
      <w:r w:rsidR="00C5783B" w:rsidRPr="004406A2">
        <w:t xml:space="preserve"> </w:t>
      </w:r>
      <w:r w:rsidR="00C5783B">
        <w:t xml:space="preserve">aucune modification du Règlement des radiocommunications (RR) </w:t>
      </w:r>
      <w:r w:rsidR="003B6DCC">
        <w:t xml:space="preserve">ou </w:t>
      </w:r>
      <w:r w:rsidR="00966720">
        <w:t xml:space="preserve">mesure réglementaire </w:t>
      </w:r>
      <w:r w:rsidR="00966720" w:rsidRPr="004020A6">
        <w:t>n</w:t>
      </w:r>
      <w:r w:rsidR="00C5783B" w:rsidRPr="004020A6">
        <w:t>'est nécessaire</w:t>
      </w:r>
      <w:r w:rsidR="00C5783B">
        <w:t>.</w:t>
      </w:r>
      <w:r w:rsidR="00DA404B" w:rsidRPr="004406A2">
        <w:t xml:space="preserve"> </w:t>
      </w:r>
      <w:r w:rsidR="00C5783B">
        <w:t>De plus, aucune modification n'est apportée au Volume 3 du RR, sauf la suppression proposée de certaines parties de la Résolution 958 (CMR-15).</w:t>
      </w:r>
    </w:p>
    <w:p w:rsidR="00DA404B" w:rsidRPr="004406A2" w:rsidRDefault="00DA404B" w:rsidP="0015130F"/>
    <w:p w:rsidR="00DA404B" w:rsidRPr="004406A2" w:rsidRDefault="00DA404B" w:rsidP="0015130F">
      <w:pPr>
        <w:jc w:val="center"/>
      </w:pPr>
      <w:r w:rsidRPr="004406A2">
        <w:t>______________</w:t>
      </w:r>
    </w:p>
    <w:sectPr w:rsidR="00DA404B" w:rsidRPr="004406A2" w:rsidSect="0005343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DA" w:rsidRDefault="005343DA">
      <w:r>
        <w:separator/>
      </w:r>
    </w:p>
  </w:endnote>
  <w:endnote w:type="continuationSeparator" w:id="0">
    <w:p w:rsidR="005343DA" w:rsidRDefault="0053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2E5">
      <w:rPr>
        <w:noProof/>
        <w:lang w:val="en-US"/>
      </w:rPr>
      <w:t>P:\FRA\ITU-R\CONF-R\CMR19\000\011ADD21ADD08F.docx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2E5">
      <w:rPr>
        <w:noProof/>
      </w:rPr>
      <w:t>04.07.19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42E5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A404B" w:rsidRDefault="00DA404B" w:rsidP="00DA404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2E5">
      <w:rPr>
        <w:lang w:val="en-US"/>
      </w:rPr>
      <w:t>P:\FRA\ITU-R\CONF-R\CMR19\000\011ADD21ADD08F.docx</w:t>
    </w:r>
    <w:r>
      <w:fldChar w:fldCharType="end"/>
    </w:r>
    <w:r w:rsidRPr="00A75C37">
      <w:rPr>
        <w:lang w:val="en-US"/>
      </w:rPr>
      <w:t xml:space="preserve"> (457764)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A404B" w:rsidRDefault="00DA404B" w:rsidP="00DA404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2E5">
      <w:rPr>
        <w:lang w:val="en-US"/>
      </w:rPr>
      <w:t>P:\FRA\ITU-R\CONF-R\CMR19\000\011ADD21ADD08F.docx</w:t>
    </w:r>
    <w:r>
      <w:fldChar w:fldCharType="end"/>
    </w:r>
    <w:r w:rsidRPr="00A75C37">
      <w:rPr>
        <w:lang w:val="en-US"/>
      </w:rPr>
      <w:t xml:space="preserve"> (457764)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DA" w:rsidRDefault="005343DA">
      <w:r>
        <w:rPr>
          <w:b/>
        </w:rPr>
        <w:t>_______________</w:t>
      </w:r>
    </w:p>
  </w:footnote>
  <w:footnote w:type="continuationSeparator" w:id="0">
    <w:p w:rsidR="005343DA" w:rsidRDefault="0053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42E5">
      <w:rPr>
        <w:noProof/>
      </w:rPr>
      <w:t>3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023"/>
    <w:rsid w:val="00010B43"/>
    <w:rsid w:val="00016648"/>
    <w:rsid w:val="0003522F"/>
    <w:rsid w:val="0004677E"/>
    <w:rsid w:val="00053435"/>
    <w:rsid w:val="00063A1F"/>
    <w:rsid w:val="00080E2C"/>
    <w:rsid w:val="00081366"/>
    <w:rsid w:val="000863B3"/>
    <w:rsid w:val="00090577"/>
    <w:rsid w:val="000A4755"/>
    <w:rsid w:val="000A55AE"/>
    <w:rsid w:val="000B2E0C"/>
    <w:rsid w:val="000B3D0C"/>
    <w:rsid w:val="001167B9"/>
    <w:rsid w:val="001267A0"/>
    <w:rsid w:val="0015130F"/>
    <w:rsid w:val="0015203F"/>
    <w:rsid w:val="00160C64"/>
    <w:rsid w:val="00173FE8"/>
    <w:rsid w:val="0018169B"/>
    <w:rsid w:val="0019352B"/>
    <w:rsid w:val="001960D0"/>
    <w:rsid w:val="001F17E8"/>
    <w:rsid w:val="001F7880"/>
    <w:rsid w:val="00204306"/>
    <w:rsid w:val="00214501"/>
    <w:rsid w:val="00222B52"/>
    <w:rsid w:val="00231072"/>
    <w:rsid w:val="00232FD2"/>
    <w:rsid w:val="0026554E"/>
    <w:rsid w:val="00283D4A"/>
    <w:rsid w:val="00287ED4"/>
    <w:rsid w:val="002A4622"/>
    <w:rsid w:val="002A6F8F"/>
    <w:rsid w:val="002B17E5"/>
    <w:rsid w:val="002C0EBF"/>
    <w:rsid w:val="002C28A4"/>
    <w:rsid w:val="002D7E0A"/>
    <w:rsid w:val="002F35E6"/>
    <w:rsid w:val="00315AFE"/>
    <w:rsid w:val="003168F0"/>
    <w:rsid w:val="003606A6"/>
    <w:rsid w:val="0036650C"/>
    <w:rsid w:val="00367D8B"/>
    <w:rsid w:val="00371FCF"/>
    <w:rsid w:val="00393ACD"/>
    <w:rsid w:val="003A583E"/>
    <w:rsid w:val="003B6DCC"/>
    <w:rsid w:val="003E112B"/>
    <w:rsid w:val="003E1D1C"/>
    <w:rsid w:val="003E7B05"/>
    <w:rsid w:val="003F6F2D"/>
    <w:rsid w:val="004020A6"/>
    <w:rsid w:val="004406A2"/>
    <w:rsid w:val="00457145"/>
    <w:rsid w:val="00466211"/>
    <w:rsid w:val="004834A9"/>
    <w:rsid w:val="00485CF3"/>
    <w:rsid w:val="004D01FC"/>
    <w:rsid w:val="004E28C3"/>
    <w:rsid w:val="004F1F8E"/>
    <w:rsid w:val="00512A32"/>
    <w:rsid w:val="005142E5"/>
    <w:rsid w:val="005343DA"/>
    <w:rsid w:val="00560874"/>
    <w:rsid w:val="005721EF"/>
    <w:rsid w:val="00586CF2"/>
    <w:rsid w:val="005A7C75"/>
    <w:rsid w:val="005C3768"/>
    <w:rsid w:val="005C6C3F"/>
    <w:rsid w:val="00613635"/>
    <w:rsid w:val="0062093D"/>
    <w:rsid w:val="00621C36"/>
    <w:rsid w:val="00635751"/>
    <w:rsid w:val="00637ECF"/>
    <w:rsid w:val="00647B59"/>
    <w:rsid w:val="00671545"/>
    <w:rsid w:val="00690C7B"/>
    <w:rsid w:val="006A4B45"/>
    <w:rsid w:val="006D4724"/>
    <w:rsid w:val="006F5FA2"/>
    <w:rsid w:val="00701BAE"/>
    <w:rsid w:val="00721F04"/>
    <w:rsid w:val="00730E95"/>
    <w:rsid w:val="007426B9"/>
    <w:rsid w:val="00755920"/>
    <w:rsid w:val="00764342"/>
    <w:rsid w:val="00774362"/>
    <w:rsid w:val="00782F83"/>
    <w:rsid w:val="00786598"/>
    <w:rsid w:val="00790C74"/>
    <w:rsid w:val="007A04E8"/>
    <w:rsid w:val="00830086"/>
    <w:rsid w:val="00851625"/>
    <w:rsid w:val="008523F0"/>
    <w:rsid w:val="00863C0A"/>
    <w:rsid w:val="00893271"/>
    <w:rsid w:val="008A3120"/>
    <w:rsid w:val="008B7A25"/>
    <w:rsid w:val="008C29DF"/>
    <w:rsid w:val="008C5B8E"/>
    <w:rsid w:val="008C6D97"/>
    <w:rsid w:val="008D41BE"/>
    <w:rsid w:val="008D58D3"/>
    <w:rsid w:val="008E3BC9"/>
    <w:rsid w:val="00923064"/>
    <w:rsid w:val="00930FFD"/>
    <w:rsid w:val="00936D25"/>
    <w:rsid w:val="00941EA5"/>
    <w:rsid w:val="00964700"/>
    <w:rsid w:val="00966720"/>
    <w:rsid w:val="00966C16"/>
    <w:rsid w:val="0098732F"/>
    <w:rsid w:val="009A045F"/>
    <w:rsid w:val="009A6A2B"/>
    <w:rsid w:val="009C7E7C"/>
    <w:rsid w:val="00A00473"/>
    <w:rsid w:val="00A03C9B"/>
    <w:rsid w:val="00A06C02"/>
    <w:rsid w:val="00A37105"/>
    <w:rsid w:val="00A5426B"/>
    <w:rsid w:val="00A56E52"/>
    <w:rsid w:val="00A606C3"/>
    <w:rsid w:val="00A75C37"/>
    <w:rsid w:val="00A83B09"/>
    <w:rsid w:val="00A84541"/>
    <w:rsid w:val="00AC40A0"/>
    <w:rsid w:val="00AE36A0"/>
    <w:rsid w:val="00B00294"/>
    <w:rsid w:val="00B3749C"/>
    <w:rsid w:val="00B60431"/>
    <w:rsid w:val="00B64FD0"/>
    <w:rsid w:val="00BA5BD0"/>
    <w:rsid w:val="00BB1D82"/>
    <w:rsid w:val="00BC6D74"/>
    <w:rsid w:val="00BD0514"/>
    <w:rsid w:val="00BD0D8A"/>
    <w:rsid w:val="00BD51C5"/>
    <w:rsid w:val="00BF26E7"/>
    <w:rsid w:val="00C53FCA"/>
    <w:rsid w:val="00C5783B"/>
    <w:rsid w:val="00C76BAF"/>
    <w:rsid w:val="00C80311"/>
    <w:rsid w:val="00C814B9"/>
    <w:rsid w:val="00C90705"/>
    <w:rsid w:val="00CC289B"/>
    <w:rsid w:val="00CD516F"/>
    <w:rsid w:val="00CF128C"/>
    <w:rsid w:val="00D119A7"/>
    <w:rsid w:val="00D25FBA"/>
    <w:rsid w:val="00D30B28"/>
    <w:rsid w:val="00D32B28"/>
    <w:rsid w:val="00D42954"/>
    <w:rsid w:val="00D459A1"/>
    <w:rsid w:val="00D66EAC"/>
    <w:rsid w:val="00D730DF"/>
    <w:rsid w:val="00D772F0"/>
    <w:rsid w:val="00D77BDC"/>
    <w:rsid w:val="00DA404B"/>
    <w:rsid w:val="00DC402B"/>
    <w:rsid w:val="00DE0932"/>
    <w:rsid w:val="00E03A27"/>
    <w:rsid w:val="00E049F1"/>
    <w:rsid w:val="00E2258B"/>
    <w:rsid w:val="00E37A25"/>
    <w:rsid w:val="00E537FF"/>
    <w:rsid w:val="00E6539B"/>
    <w:rsid w:val="00E70A31"/>
    <w:rsid w:val="00E723A7"/>
    <w:rsid w:val="00E905F1"/>
    <w:rsid w:val="00EA3F38"/>
    <w:rsid w:val="00EA5AB6"/>
    <w:rsid w:val="00EC7615"/>
    <w:rsid w:val="00ED16AA"/>
    <w:rsid w:val="00ED1854"/>
    <w:rsid w:val="00ED4AAC"/>
    <w:rsid w:val="00ED64A4"/>
    <w:rsid w:val="00ED6B8D"/>
    <w:rsid w:val="00EE3D7B"/>
    <w:rsid w:val="00EF662E"/>
    <w:rsid w:val="00F148F1"/>
    <w:rsid w:val="00F27028"/>
    <w:rsid w:val="00F2703E"/>
    <w:rsid w:val="00F41641"/>
    <w:rsid w:val="00F63161"/>
    <w:rsid w:val="00F711A7"/>
    <w:rsid w:val="00FA3BBF"/>
    <w:rsid w:val="00FC41F8"/>
    <w:rsid w:val="00FD7AA3"/>
    <w:rsid w:val="00FE2139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R16-WRC19-C-0011!A21-A8!MSW-F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FFA33-DD0B-4804-B0BE-4BA1B9FB6F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DA589-B679-4DAC-B1B7-023791ACD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561D6-A298-4B61-A812-8EE690A0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1091</Words>
  <Characters>6218</Characters>
  <Application>Microsoft Office Word</Application>
  <DocSecurity>0</DocSecurity>
  <Lines>112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R16-WRC19-C-0011!A21-A8!MSW-F</vt:lpstr>
    </vt:vector>
  </TitlesOfParts>
  <Manager>Secrétariat général - Pool</Manager>
  <Company>Union internationale des télécommunications (UIT)</Company>
  <LinksUpToDate>false</LinksUpToDate>
  <CharactersWithSpaces>7279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R16-WRC19-C-0011!A21-A8!MSW-F</dc:title>
  <dc:subject>Conférence mondiale des radiocommunications - 2019</dc:subject>
  <dc:creator>Documents Proposals Manager (DPM)</dc:creator>
  <cp:keywords>DPM_v2019.5.15.1_prod</cp:keywords>
  <dc:description/>
  <cp:lastModifiedBy>Royer, Veronique</cp:lastModifiedBy>
  <cp:revision>8</cp:revision>
  <cp:lastPrinted>2019-07-04T12:49:00Z</cp:lastPrinted>
  <dcterms:created xsi:type="dcterms:W3CDTF">2019-07-02T08:29:00Z</dcterms:created>
  <dcterms:modified xsi:type="dcterms:W3CDTF">2019-07-04T12:49:00Z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