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066F1" w14:paraId="2D263C11" w14:textId="77777777" w:rsidTr="003F5207">
        <w:trPr>
          <w:cantSplit/>
        </w:trPr>
        <w:tc>
          <w:tcPr>
            <w:tcW w:w="6804" w:type="dxa"/>
          </w:tcPr>
          <w:p w14:paraId="447A79EF"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227" w:type="dxa"/>
          </w:tcPr>
          <w:p w14:paraId="29A4AA4E" w14:textId="77777777" w:rsidR="00A066F1" w:rsidRDefault="005F04D8" w:rsidP="003B2284">
            <w:pPr>
              <w:spacing w:before="0" w:line="240" w:lineRule="atLeast"/>
              <w:jc w:val="right"/>
            </w:pPr>
            <w:bookmarkStart w:id="1" w:name="ditulogo"/>
            <w:bookmarkEnd w:id="1"/>
            <w:r>
              <w:rPr>
                <w:noProof/>
                <w:lang w:eastAsia="en-GB"/>
              </w:rPr>
              <w:drawing>
                <wp:inline distT="0" distB="0" distL="0" distR="0" wp14:anchorId="3FDEA69A" wp14:editId="5BAA2DE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36F84E2" w14:textId="77777777" w:rsidTr="003F5207">
        <w:trPr>
          <w:cantSplit/>
        </w:trPr>
        <w:tc>
          <w:tcPr>
            <w:tcW w:w="6804" w:type="dxa"/>
            <w:tcBorders>
              <w:bottom w:val="single" w:sz="12" w:space="0" w:color="auto"/>
            </w:tcBorders>
          </w:tcPr>
          <w:p w14:paraId="2EDB27D3" w14:textId="77777777" w:rsidR="00A066F1" w:rsidRPr="003B2284" w:rsidRDefault="00A066F1" w:rsidP="00A066F1">
            <w:pPr>
              <w:spacing w:before="0" w:after="48" w:line="240" w:lineRule="atLeast"/>
              <w:rPr>
                <w:rFonts w:ascii="Verdana" w:hAnsi="Verdana"/>
                <w:b/>
                <w:smallCaps/>
                <w:sz w:val="20"/>
              </w:rPr>
            </w:pPr>
            <w:bookmarkStart w:id="2" w:name="dhead"/>
          </w:p>
        </w:tc>
        <w:tc>
          <w:tcPr>
            <w:tcW w:w="3227" w:type="dxa"/>
            <w:tcBorders>
              <w:bottom w:val="single" w:sz="12" w:space="0" w:color="auto"/>
            </w:tcBorders>
          </w:tcPr>
          <w:p w14:paraId="2893A6B7" w14:textId="77777777" w:rsidR="00A066F1" w:rsidRPr="00617BE4" w:rsidRDefault="00A066F1" w:rsidP="00A066F1">
            <w:pPr>
              <w:spacing w:before="0" w:line="240" w:lineRule="atLeast"/>
              <w:rPr>
                <w:rFonts w:ascii="Verdana" w:hAnsi="Verdana"/>
                <w:szCs w:val="24"/>
              </w:rPr>
            </w:pPr>
          </w:p>
        </w:tc>
      </w:tr>
      <w:tr w:rsidR="00A066F1" w:rsidRPr="00C324A8" w14:paraId="4368A76F" w14:textId="77777777" w:rsidTr="003F5207">
        <w:trPr>
          <w:cantSplit/>
        </w:trPr>
        <w:tc>
          <w:tcPr>
            <w:tcW w:w="6804" w:type="dxa"/>
            <w:tcBorders>
              <w:top w:val="single" w:sz="12" w:space="0" w:color="auto"/>
            </w:tcBorders>
          </w:tcPr>
          <w:p w14:paraId="2849BA1B" w14:textId="77777777" w:rsidR="00A066F1" w:rsidRPr="00C324A8" w:rsidRDefault="00A066F1" w:rsidP="00A066F1">
            <w:pPr>
              <w:spacing w:before="0" w:after="48" w:line="240" w:lineRule="atLeast"/>
              <w:rPr>
                <w:rFonts w:ascii="Verdana" w:hAnsi="Verdana"/>
                <w:b/>
                <w:smallCaps/>
                <w:sz w:val="20"/>
              </w:rPr>
            </w:pPr>
          </w:p>
        </w:tc>
        <w:tc>
          <w:tcPr>
            <w:tcW w:w="3227" w:type="dxa"/>
            <w:tcBorders>
              <w:top w:val="single" w:sz="12" w:space="0" w:color="auto"/>
            </w:tcBorders>
          </w:tcPr>
          <w:p w14:paraId="2F7555C8" w14:textId="77777777" w:rsidR="00A066F1" w:rsidRPr="00C324A8" w:rsidRDefault="00A066F1" w:rsidP="00A066F1">
            <w:pPr>
              <w:spacing w:before="0" w:line="240" w:lineRule="atLeast"/>
              <w:rPr>
                <w:rFonts w:ascii="Verdana" w:hAnsi="Verdana"/>
                <w:sz w:val="20"/>
              </w:rPr>
            </w:pPr>
          </w:p>
        </w:tc>
      </w:tr>
      <w:tr w:rsidR="00A066F1" w:rsidRPr="00C324A8" w14:paraId="4622846F" w14:textId="77777777" w:rsidTr="003F5207">
        <w:trPr>
          <w:cantSplit/>
          <w:trHeight w:val="23"/>
        </w:trPr>
        <w:tc>
          <w:tcPr>
            <w:tcW w:w="6804" w:type="dxa"/>
            <w:shd w:val="clear" w:color="auto" w:fill="auto"/>
          </w:tcPr>
          <w:p w14:paraId="20EC15A2"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227" w:type="dxa"/>
          </w:tcPr>
          <w:p w14:paraId="1C06A63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12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5FD1E6C7" w14:textId="77777777" w:rsidTr="003F5207">
        <w:trPr>
          <w:cantSplit/>
          <w:trHeight w:val="23"/>
        </w:trPr>
        <w:tc>
          <w:tcPr>
            <w:tcW w:w="6804" w:type="dxa"/>
            <w:shd w:val="clear" w:color="auto" w:fill="auto"/>
          </w:tcPr>
          <w:p w14:paraId="353F7FF9"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227" w:type="dxa"/>
          </w:tcPr>
          <w:p w14:paraId="601D51A4" w14:textId="77777777" w:rsidR="00A066F1" w:rsidRPr="00841216" w:rsidRDefault="00556EE6"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524AC925" w14:textId="77777777" w:rsidTr="003F5207">
        <w:trPr>
          <w:cantSplit/>
          <w:trHeight w:val="23"/>
        </w:trPr>
        <w:tc>
          <w:tcPr>
            <w:tcW w:w="6804" w:type="dxa"/>
            <w:shd w:val="clear" w:color="auto" w:fill="auto"/>
          </w:tcPr>
          <w:p w14:paraId="128F5735"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227" w:type="dxa"/>
          </w:tcPr>
          <w:p w14:paraId="201149D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446E1E">
              <w:rPr>
                <w:rFonts w:ascii="Verdana" w:hAnsi="Verdana"/>
                <w:b/>
                <w:sz w:val="20"/>
              </w:rPr>
              <w:t>/Spanish</w:t>
            </w:r>
          </w:p>
        </w:tc>
      </w:tr>
      <w:tr w:rsidR="00A066F1" w:rsidRPr="00C324A8" w14:paraId="78ACDD9F" w14:textId="77777777" w:rsidTr="00025864">
        <w:trPr>
          <w:cantSplit/>
          <w:trHeight w:val="23"/>
        </w:trPr>
        <w:tc>
          <w:tcPr>
            <w:tcW w:w="10031" w:type="dxa"/>
            <w:gridSpan w:val="2"/>
            <w:shd w:val="clear" w:color="auto" w:fill="auto"/>
          </w:tcPr>
          <w:p w14:paraId="1A137CF1" w14:textId="77777777" w:rsidR="00A066F1" w:rsidRPr="00C324A8" w:rsidRDefault="00A066F1" w:rsidP="00A066F1">
            <w:pPr>
              <w:tabs>
                <w:tab w:val="left" w:pos="993"/>
              </w:tabs>
              <w:spacing w:before="0"/>
              <w:rPr>
                <w:rFonts w:ascii="Verdana" w:hAnsi="Verdana"/>
                <w:b/>
                <w:sz w:val="20"/>
              </w:rPr>
            </w:pPr>
          </w:p>
        </w:tc>
      </w:tr>
      <w:tr w:rsidR="00E55816" w:rsidRPr="00C324A8" w14:paraId="322891A5" w14:textId="77777777" w:rsidTr="00025864">
        <w:trPr>
          <w:cantSplit/>
          <w:trHeight w:val="23"/>
        </w:trPr>
        <w:tc>
          <w:tcPr>
            <w:tcW w:w="10031" w:type="dxa"/>
            <w:gridSpan w:val="2"/>
            <w:shd w:val="clear" w:color="auto" w:fill="auto"/>
          </w:tcPr>
          <w:p w14:paraId="1ABF262F" w14:textId="77777777" w:rsidR="00E55816" w:rsidRDefault="00884D60" w:rsidP="00E55816">
            <w:pPr>
              <w:pStyle w:val="Source"/>
            </w:pPr>
            <w:r>
              <w:t>Member States of the Inter-American Telecommunication Commission (CITEL)</w:t>
            </w:r>
          </w:p>
        </w:tc>
      </w:tr>
      <w:tr w:rsidR="00E55816" w:rsidRPr="00C324A8" w14:paraId="10562126" w14:textId="77777777" w:rsidTr="00025864">
        <w:trPr>
          <w:cantSplit/>
          <w:trHeight w:val="23"/>
        </w:trPr>
        <w:tc>
          <w:tcPr>
            <w:tcW w:w="10031" w:type="dxa"/>
            <w:gridSpan w:val="2"/>
            <w:shd w:val="clear" w:color="auto" w:fill="auto"/>
          </w:tcPr>
          <w:p w14:paraId="59684619" w14:textId="77777777" w:rsidR="00E55816" w:rsidRDefault="007D5320" w:rsidP="00E55816">
            <w:pPr>
              <w:pStyle w:val="Title1"/>
            </w:pPr>
            <w:r>
              <w:t>Proposals for the work of the conference</w:t>
            </w:r>
          </w:p>
        </w:tc>
      </w:tr>
      <w:tr w:rsidR="00E55816" w:rsidRPr="00C324A8" w14:paraId="36D4FDE7" w14:textId="77777777" w:rsidTr="00025864">
        <w:trPr>
          <w:cantSplit/>
          <w:trHeight w:val="23"/>
        </w:trPr>
        <w:tc>
          <w:tcPr>
            <w:tcW w:w="10031" w:type="dxa"/>
            <w:gridSpan w:val="2"/>
            <w:shd w:val="clear" w:color="auto" w:fill="auto"/>
          </w:tcPr>
          <w:p w14:paraId="53427024" w14:textId="77777777" w:rsidR="00E55816" w:rsidRDefault="00E55816" w:rsidP="00E55816">
            <w:pPr>
              <w:pStyle w:val="Title2"/>
            </w:pPr>
          </w:p>
        </w:tc>
      </w:tr>
      <w:tr w:rsidR="00A538A6" w:rsidRPr="00C324A8" w14:paraId="16BF5C85" w14:textId="77777777" w:rsidTr="00025864">
        <w:trPr>
          <w:cantSplit/>
          <w:trHeight w:val="23"/>
        </w:trPr>
        <w:tc>
          <w:tcPr>
            <w:tcW w:w="10031" w:type="dxa"/>
            <w:gridSpan w:val="2"/>
            <w:shd w:val="clear" w:color="auto" w:fill="auto"/>
          </w:tcPr>
          <w:p w14:paraId="241D652E" w14:textId="77777777" w:rsidR="00A538A6" w:rsidRDefault="004B13CB" w:rsidP="004B13CB">
            <w:pPr>
              <w:pStyle w:val="Agendaitem"/>
            </w:pPr>
            <w:r>
              <w:t xml:space="preserve">Agenda </w:t>
            </w:r>
            <w:proofErr w:type="spellStart"/>
            <w:r>
              <w:t>item</w:t>
            </w:r>
            <w:proofErr w:type="spellEnd"/>
            <w:r>
              <w:t xml:space="preserve"> 10</w:t>
            </w:r>
          </w:p>
        </w:tc>
      </w:tr>
    </w:tbl>
    <w:bookmarkEnd w:id="7"/>
    <w:bookmarkEnd w:id="8"/>
    <w:p w14:paraId="464D26BE" w14:textId="77777777" w:rsidR="005118F7" w:rsidRDefault="00497D83"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18D42B5B" w14:textId="77777777" w:rsidR="00446E1E" w:rsidRDefault="00446E1E" w:rsidP="00446E1E">
      <w:pPr>
        <w:pStyle w:val="Title4"/>
        <w:rPr>
          <w:sz w:val="24"/>
          <w:lang w:val="en-US"/>
        </w:rPr>
      </w:pPr>
      <w:r>
        <w:rPr>
          <w:lang w:val="en-US"/>
        </w:rPr>
        <w:t>A. BAND 17.3-17.7 GHz</w:t>
      </w:r>
    </w:p>
    <w:p w14:paraId="1E8FFDDB" w14:textId="18C559B9" w:rsidR="00446E1E" w:rsidRPr="00446E1E" w:rsidRDefault="00446E1E" w:rsidP="00446E1E">
      <w:pPr>
        <w:pStyle w:val="Headingb"/>
        <w:rPr>
          <w:lang w:val="en-GB"/>
        </w:rPr>
      </w:pPr>
      <w:r w:rsidRPr="00446E1E">
        <w:rPr>
          <w:lang w:val="en-GB"/>
        </w:rPr>
        <w:t>Background</w:t>
      </w:r>
    </w:p>
    <w:p w14:paraId="150A6C17" w14:textId="2C929A17" w:rsidR="00446E1E" w:rsidRDefault="00446E1E" w:rsidP="00446E1E">
      <w:pPr>
        <w:rPr>
          <w:lang w:val="en-US"/>
        </w:rPr>
      </w:pPr>
      <w:r>
        <w:rPr>
          <w:lang w:val="en-US"/>
        </w:rPr>
        <w:t>Demand for Fixed</w:t>
      </w:r>
      <w:r w:rsidR="00F415E6">
        <w:rPr>
          <w:lang w:val="en-US"/>
        </w:rPr>
        <w:t>-</w:t>
      </w:r>
      <w:r>
        <w:rPr>
          <w:lang w:val="en-US"/>
        </w:rPr>
        <w:t>Satellite Service (FSS) in Ka band for GSO broadband applications is ever increasing, with the arrival of High and Very High Throughput Satellites (HTS and VHTS). These systems, based on more efficient use of spectrum thanks to frequency reuse among other techniques, are providing connectivity in remote areas and contributing to close the digital divide.</w:t>
      </w:r>
    </w:p>
    <w:p w14:paraId="4BE1644E" w14:textId="1AE3B640" w:rsidR="00446E1E" w:rsidRDefault="00446E1E" w:rsidP="00446E1E">
      <w:pPr>
        <w:rPr>
          <w:lang w:val="en-US"/>
        </w:rPr>
      </w:pPr>
      <w:r>
        <w:rPr>
          <w:lang w:val="en-US"/>
        </w:rPr>
        <w:t>The 17.3-17.7 GHz band is allocated in Region 2 on a primary basis to the Broadcasting</w:t>
      </w:r>
      <w:r w:rsidR="00F415E6">
        <w:rPr>
          <w:lang w:val="en-US"/>
        </w:rPr>
        <w:t>-</w:t>
      </w:r>
      <w:r>
        <w:rPr>
          <w:lang w:val="en-US"/>
        </w:rPr>
        <w:t>Satellite Service (BSS) in the space-to-Earth direction, and to the Fixed</w:t>
      </w:r>
      <w:r w:rsidR="00F415E6">
        <w:rPr>
          <w:lang w:val="en-US"/>
        </w:rPr>
        <w:t>-</w:t>
      </w:r>
      <w:r>
        <w:rPr>
          <w:lang w:val="en-US"/>
        </w:rPr>
        <w:t>Satellite Service (FSS) in the Earth-to-space direction limited to feeder links for the broadcasting-satellite service, subject to the application of Appendix 30A procedures (</w:t>
      </w:r>
      <w:r w:rsidR="00556EE6">
        <w:rPr>
          <w:lang w:val="en-US"/>
        </w:rPr>
        <w:t>f</w:t>
      </w:r>
      <w:r>
        <w:rPr>
          <w:lang w:val="en-US"/>
        </w:rPr>
        <w:t xml:space="preserve">ootnote </w:t>
      </w:r>
      <w:r w:rsidR="00556EE6">
        <w:rPr>
          <w:lang w:val="en-US"/>
        </w:rPr>
        <w:t xml:space="preserve">No. </w:t>
      </w:r>
      <w:r w:rsidRPr="00F415E6">
        <w:rPr>
          <w:b/>
          <w:bCs/>
          <w:lang w:val="en-US"/>
        </w:rPr>
        <w:t>5.5.16</w:t>
      </w:r>
      <w:r>
        <w:rPr>
          <w:lang w:val="en-US"/>
        </w:rPr>
        <w:t xml:space="preserve"> applies). The band is also allocated on a secondary basis to the Radiolocation Service. (</w:t>
      </w:r>
      <w:r w:rsidR="00556EE6">
        <w:rPr>
          <w:lang w:val="en-US"/>
        </w:rPr>
        <w:t>Footn</w:t>
      </w:r>
      <w:r>
        <w:rPr>
          <w:lang w:val="en-US"/>
        </w:rPr>
        <w:t xml:space="preserve">otes </w:t>
      </w:r>
      <w:r w:rsidR="00556EE6">
        <w:rPr>
          <w:lang w:val="en-US"/>
        </w:rPr>
        <w:t xml:space="preserve">Nos. </w:t>
      </w:r>
      <w:r w:rsidRPr="00F415E6">
        <w:rPr>
          <w:b/>
          <w:bCs/>
          <w:lang w:val="en-US"/>
        </w:rPr>
        <w:t>5.514</w:t>
      </w:r>
      <w:r>
        <w:rPr>
          <w:lang w:val="en-US"/>
        </w:rPr>
        <w:t xml:space="preserve"> and </w:t>
      </w:r>
      <w:r w:rsidRPr="00F415E6">
        <w:rPr>
          <w:b/>
          <w:bCs/>
          <w:lang w:val="en-US"/>
        </w:rPr>
        <w:t>5.515</w:t>
      </w:r>
      <w:r>
        <w:rPr>
          <w:lang w:val="en-US"/>
        </w:rPr>
        <w:t xml:space="preserve"> also apply</w:t>
      </w:r>
      <w:r w:rsidR="00F415E6">
        <w:rPr>
          <w:lang w:val="en-US"/>
        </w:rPr>
        <w:t>.</w:t>
      </w:r>
      <w:r>
        <w:rPr>
          <w:lang w:val="en-US"/>
        </w:rPr>
        <w:t>)</w:t>
      </w:r>
    </w:p>
    <w:p w14:paraId="20D1D5C9" w14:textId="2F252ABD" w:rsidR="00446E1E" w:rsidRDefault="00446E1E" w:rsidP="00446E1E">
      <w:pPr>
        <w:rPr>
          <w:lang w:val="en-US"/>
        </w:rPr>
      </w:pPr>
      <w:r>
        <w:rPr>
          <w:lang w:val="en-US"/>
        </w:rPr>
        <w:t>Although in Region 2 the frequency band in the space-to-Earth direction is only allocated to Broadcasting</w:t>
      </w:r>
      <w:r w:rsidR="00F415E6">
        <w:rPr>
          <w:lang w:val="en-US"/>
        </w:rPr>
        <w:t>-</w:t>
      </w:r>
      <w:r>
        <w:rPr>
          <w:lang w:val="en-US"/>
        </w:rPr>
        <w:t>Satellite Service, other Regions already consider the Fixed</w:t>
      </w:r>
      <w:r w:rsidR="00F415E6">
        <w:rPr>
          <w:lang w:val="en-US"/>
        </w:rPr>
        <w:t>-</w:t>
      </w:r>
      <w:r>
        <w:rPr>
          <w:lang w:val="en-US"/>
        </w:rPr>
        <w:t>Satellite Service in this direction of transmission. It is further relevant to note that all primary services in the band, globally considered, are designed for satellite applications (BSS or FSS in different directions of transmission).</w:t>
      </w:r>
    </w:p>
    <w:p w14:paraId="2D034481" w14:textId="0577C8E6" w:rsidR="00241FA2" w:rsidRPr="00446E1E" w:rsidRDefault="00446E1E" w:rsidP="00446E1E">
      <w:pPr>
        <w:rPr>
          <w:lang w:val="en-US"/>
        </w:rPr>
      </w:pPr>
      <w:r>
        <w:rPr>
          <w:lang w:val="en-US"/>
        </w:rPr>
        <w:t>The consideration of this band in the space-to-Earth direction for FSS in addition to BSS in Region</w:t>
      </w:r>
      <w:r w:rsidR="006623EE">
        <w:rPr>
          <w:lang w:val="en-US"/>
        </w:rPr>
        <w:t> </w:t>
      </w:r>
      <w:r>
        <w:rPr>
          <w:lang w:val="en-US"/>
        </w:rPr>
        <w:t>2, would meet this increasing demand for connectivity in Ka band for broadband applications, which may not be available under a BSS allocation. This would also provide more flexibility in the design of new satellite systems and a more efficient use of spectrum.</w:t>
      </w:r>
    </w:p>
    <w:p w14:paraId="7167E373" w14:textId="77777777" w:rsidR="00187BD9" w:rsidRPr="00446E1E" w:rsidRDefault="00187BD9" w:rsidP="00187BD9">
      <w:pPr>
        <w:tabs>
          <w:tab w:val="clear" w:pos="1134"/>
          <w:tab w:val="clear" w:pos="1871"/>
          <w:tab w:val="clear" w:pos="2268"/>
        </w:tabs>
        <w:overflowPunct/>
        <w:autoSpaceDE/>
        <w:autoSpaceDN/>
        <w:adjustRightInd/>
        <w:spacing w:before="0"/>
        <w:textAlignment w:val="auto"/>
      </w:pPr>
      <w:r w:rsidRPr="00446E1E">
        <w:br w:type="page"/>
      </w:r>
    </w:p>
    <w:p w14:paraId="398DA3C5" w14:textId="77777777" w:rsidR="00E34117" w:rsidRDefault="00497D83">
      <w:pPr>
        <w:pStyle w:val="Proposal"/>
      </w:pPr>
      <w:r>
        <w:lastRenderedPageBreak/>
        <w:t>ADD</w:t>
      </w:r>
      <w:r>
        <w:tab/>
        <w:t>IAP/11A24A12/1</w:t>
      </w:r>
    </w:p>
    <w:p w14:paraId="09D0931D" w14:textId="77777777" w:rsidR="00E34117" w:rsidRDefault="00497D83">
      <w:pPr>
        <w:pStyle w:val="ResNo"/>
      </w:pPr>
      <w:r>
        <w:t>Draft New Resolution [IAP</w:t>
      </w:r>
      <w:r w:rsidR="00446E1E" w:rsidRPr="00446E1E">
        <w:t xml:space="preserve">/10(L)-2023] </w:t>
      </w:r>
      <w:r w:rsidR="00446E1E">
        <w:t>(WRC-19)</w:t>
      </w:r>
      <w:r>
        <w:t>]</w:t>
      </w:r>
    </w:p>
    <w:p w14:paraId="21A86B25" w14:textId="77777777" w:rsidR="00446E1E" w:rsidRDefault="00446E1E" w:rsidP="00446E1E">
      <w:pPr>
        <w:pStyle w:val="Restitle"/>
      </w:pPr>
      <w:r>
        <w:t>Preliminary Agenda for the 2023 World Radiocommunication Conference</w:t>
      </w:r>
    </w:p>
    <w:p w14:paraId="55233957" w14:textId="3CAC8DA6" w:rsidR="00446E1E" w:rsidRDefault="00446E1E" w:rsidP="00446E1E">
      <w:pPr>
        <w:pStyle w:val="Normalaftertitle"/>
      </w:pPr>
      <w:r>
        <w:t>The World Radiocommunication Conference (Sharm</w:t>
      </w:r>
      <w:r w:rsidR="00F415E6">
        <w:t xml:space="preserve"> </w:t>
      </w:r>
      <w:r>
        <w:t>el</w:t>
      </w:r>
      <w:r w:rsidR="00F415E6">
        <w:t>-</w:t>
      </w:r>
      <w:r>
        <w:t>Sheikh, 2019),</w:t>
      </w:r>
    </w:p>
    <w:p w14:paraId="435BA2B6" w14:textId="77777777" w:rsidR="00446E1E" w:rsidRDefault="00446E1E" w:rsidP="00446E1E">
      <w:r>
        <w:t>…</w:t>
      </w:r>
    </w:p>
    <w:p w14:paraId="2D7DED5F" w14:textId="5BDEE36F" w:rsidR="00E34117" w:rsidRDefault="00446E1E" w:rsidP="00446E1E">
      <w:r>
        <w:rPr>
          <w:b/>
        </w:rPr>
        <w:t>X.X</w:t>
      </w:r>
      <w:r>
        <w:rPr>
          <w:b/>
        </w:rPr>
        <w:tab/>
      </w:r>
      <w:r>
        <w:t>to consider a new primary allocation to the fixed</w:t>
      </w:r>
      <w:r w:rsidR="00F415E6">
        <w:t>-</w:t>
      </w:r>
      <w:r>
        <w:t xml:space="preserve">satellite service in the space-to-Earth in the 17.3-17.7 GHz band in Region 2, while protecting existing primary services in the band, in accordance with Resolution </w:t>
      </w:r>
      <w:r w:rsidRPr="00446E1E">
        <w:rPr>
          <w:b/>
        </w:rPr>
        <w:t>[IAP/10(L)-17.3-17.7s-E] (WRC-19)</w:t>
      </w:r>
      <w:r>
        <w:t>.</w:t>
      </w:r>
    </w:p>
    <w:p w14:paraId="53081367" w14:textId="77777777" w:rsidR="00E34117" w:rsidRDefault="00497D83">
      <w:pPr>
        <w:pStyle w:val="Reasons"/>
      </w:pPr>
      <w:r>
        <w:rPr>
          <w:b/>
        </w:rPr>
        <w:t>Reasons:</w:t>
      </w:r>
      <w:r>
        <w:tab/>
      </w:r>
      <w:r w:rsidR="00446E1E">
        <w:t>To allow a more efficient use of the 17.3.17.7 GHz band for satellite services.</w:t>
      </w:r>
    </w:p>
    <w:p w14:paraId="77DD319A" w14:textId="77777777" w:rsidR="00E34117" w:rsidRDefault="00497D83">
      <w:pPr>
        <w:pStyle w:val="Proposal"/>
      </w:pPr>
      <w:r>
        <w:t>ADD</w:t>
      </w:r>
      <w:r>
        <w:tab/>
        <w:t>IAP/11A24A12/2</w:t>
      </w:r>
    </w:p>
    <w:p w14:paraId="7BC4E351" w14:textId="77777777" w:rsidR="00E34117" w:rsidRDefault="00497D83">
      <w:pPr>
        <w:pStyle w:val="ResNo"/>
      </w:pPr>
      <w:r>
        <w:t>Draft New Resolution [IAP</w:t>
      </w:r>
      <w:r w:rsidR="00446E1E" w:rsidRPr="00446E1E">
        <w:t xml:space="preserve">/10(L)-17.3-17.7s-E] </w:t>
      </w:r>
      <w:r w:rsidR="00446E1E">
        <w:t>(WRC-19)</w:t>
      </w:r>
      <w:r>
        <w:t>]</w:t>
      </w:r>
    </w:p>
    <w:p w14:paraId="4B519CBA" w14:textId="77777777" w:rsidR="00446E1E" w:rsidRDefault="00446E1E" w:rsidP="00446E1E">
      <w:pPr>
        <w:pStyle w:val="Restitle"/>
      </w:pPr>
      <w:r>
        <w:t>Primary allocation to the fixed satellite service in the space-to-Earth direction in the 17.3-17.7 GHz band in Region 2</w:t>
      </w:r>
    </w:p>
    <w:p w14:paraId="14F6609E" w14:textId="4C7DBE09" w:rsidR="00446E1E" w:rsidRDefault="00446E1E" w:rsidP="00446E1E">
      <w:pPr>
        <w:pStyle w:val="Normalaftertitle"/>
      </w:pPr>
      <w:r>
        <w:t>The World Radiocommunication Conference (Sharm el</w:t>
      </w:r>
      <w:r w:rsidR="00F415E6">
        <w:t>-</w:t>
      </w:r>
      <w:r>
        <w:t>Sheik</w:t>
      </w:r>
      <w:r w:rsidR="006623EE">
        <w:t>h</w:t>
      </w:r>
      <w:r>
        <w:t>, 2019),</w:t>
      </w:r>
    </w:p>
    <w:p w14:paraId="4AE54718" w14:textId="77777777" w:rsidR="00446E1E" w:rsidRDefault="00446E1E" w:rsidP="00446E1E">
      <w:pPr>
        <w:pStyle w:val="Call"/>
      </w:pPr>
      <w:r>
        <w:t>considering</w:t>
      </w:r>
    </w:p>
    <w:p w14:paraId="58E53850" w14:textId="77777777" w:rsidR="00446E1E" w:rsidRDefault="00446E1E" w:rsidP="00446E1E">
      <w:r>
        <w:rPr>
          <w:i/>
        </w:rPr>
        <w:t>a)</w:t>
      </w:r>
      <w:r>
        <w:rPr>
          <w:i/>
        </w:rPr>
        <w:tab/>
      </w:r>
      <w:r>
        <w:t>the need to encourage the development and implementation of new technologies in the fixed-satellite service (FSS) for broadband applications;</w:t>
      </w:r>
    </w:p>
    <w:p w14:paraId="6CAE31AC" w14:textId="10C809A5" w:rsidR="00446E1E" w:rsidRDefault="00446E1E" w:rsidP="00446E1E">
      <w:r>
        <w:rPr>
          <w:i/>
        </w:rPr>
        <w:t>b)</w:t>
      </w:r>
      <w:r>
        <w:tab/>
        <w:t>that FSS systems based on the use of new technologies associated with geostationary (GSO) satellite sy</w:t>
      </w:r>
      <w:r w:rsidR="00F415E6">
        <w:t>s</w:t>
      </w:r>
      <w:r>
        <w:t>tem is capable of providing high-capacity and low-cost means of broadband communication even to the most isolated regions of the world;</w:t>
      </w:r>
    </w:p>
    <w:p w14:paraId="71B480CD" w14:textId="77777777" w:rsidR="00446E1E" w:rsidRDefault="00446E1E" w:rsidP="00497D83">
      <w:r>
        <w:rPr>
          <w:i/>
        </w:rPr>
        <w:t>c)</w:t>
      </w:r>
      <w:r>
        <w:tab/>
        <w:t>that the Radio Regulations should enable the introduction of new applications of radiocommunication technology to ensure the operation of as many systems as possible in order to ensure efficient use of the spectrum,</w:t>
      </w:r>
    </w:p>
    <w:p w14:paraId="34BE3947" w14:textId="77777777" w:rsidR="00446E1E" w:rsidRDefault="00446E1E" w:rsidP="00446E1E">
      <w:pPr>
        <w:pStyle w:val="Call"/>
      </w:pPr>
      <w:r>
        <w:t>recognizing</w:t>
      </w:r>
    </w:p>
    <w:p w14:paraId="00A81590" w14:textId="1A32920D" w:rsidR="00446E1E" w:rsidRDefault="00446E1E" w:rsidP="00446E1E">
      <w:r>
        <w:t xml:space="preserve">the need to preserve and protect frequencies subject to the application of Appendix </w:t>
      </w:r>
      <w:r w:rsidRPr="00446E1E">
        <w:rPr>
          <w:b/>
        </w:rPr>
        <w:t>30A</w:t>
      </w:r>
      <w:r w:rsidR="00F415E6">
        <w:t>,</w:t>
      </w:r>
    </w:p>
    <w:p w14:paraId="4B4FF4B4" w14:textId="77777777" w:rsidR="00446E1E" w:rsidRDefault="00446E1E" w:rsidP="00446E1E">
      <w:pPr>
        <w:pStyle w:val="Call"/>
      </w:pPr>
      <w:r>
        <w:t>noting</w:t>
      </w:r>
    </w:p>
    <w:p w14:paraId="556B6A7E" w14:textId="77777777" w:rsidR="00446E1E" w:rsidRDefault="00446E1E" w:rsidP="00446E1E">
      <w:r>
        <w:rPr>
          <w:i/>
        </w:rPr>
        <w:t>a)</w:t>
      </w:r>
      <w:r>
        <w:tab/>
        <w:t>that technology has been developed to provide more efficient use of the spectrum;</w:t>
      </w:r>
    </w:p>
    <w:p w14:paraId="14E1458F" w14:textId="77777777" w:rsidR="00446E1E" w:rsidRDefault="00446E1E" w:rsidP="00446E1E">
      <w:r>
        <w:rPr>
          <w:i/>
        </w:rPr>
        <w:t>b)</w:t>
      </w:r>
      <w:r>
        <w:rPr>
          <w:i/>
        </w:rPr>
        <w:tab/>
      </w:r>
      <w:r>
        <w:t xml:space="preserve">that the frequency band 17.3-17.7 GHz is allocated in Region 2 on a primary basis to the </w:t>
      </w:r>
      <w:r w:rsidR="00556EE6">
        <w:t>b</w:t>
      </w:r>
      <w:r>
        <w:t xml:space="preserve">roadcasting </w:t>
      </w:r>
      <w:r w:rsidR="00556EE6">
        <w:t>s</w:t>
      </w:r>
      <w:r>
        <w:t xml:space="preserve">atellite </w:t>
      </w:r>
      <w:r w:rsidR="00556EE6">
        <w:t>s</w:t>
      </w:r>
      <w:r>
        <w:t xml:space="preserve">ervice (space-to-Earth) and </w:t>
      </w:r>
      <w:r w:rsidR="00556EE6">
        <w:t>f</w:t>
      </w:r>
      <w:r>
        <w:t xml:space="preserve">ixed </w:t>
      </w:r>
      <w:r w:rsidR="00556EE6">
        <w:t>s</w:t>
      </w:r>
      <w:r>
        <w:t xml:space="preserve">atellite </w:t>
      </w:r>
      <w:r w:rsidR="00556EE6">
        <w:t>s</w:t>
      </w:r>
      <w:r>
        <w:t xml:space="preserve">ervice (Earth-to-space), subject to the application of </w:t>
      </w:r>
      <w:r w:rsidR="00556EE6">
        <w:t>No.</w:t>
      </w:r>
      <w:r>
        <w:t xml:space="preserve"> </w:t>
      </w:r>
      <w:r w:rsidRPr="00446E1E">
        <w:rPr>
          <w:b/>
        </w:rPr>
        <w:t>5.516</w:t>
      </w:r>
      <w:r>
        <w:t>;</w:t>
      </w:r>
    </w:p>
    <w:p w14:paraId="21363400" w14:textId="4E0F15D5" w:rsidR="00446E1E" w:rsidRDefault="00446E1E" w:rsidP="00446E1E">
      <w:r>
        <w:rPr>
          <w:i/>
        </w:rPr>
        <w:t>c)</w:t>
      </w:r>
      <w:r>
        <w:tab/>
        <w:t xml:space="preserve">that sharing of </w:t>
      </w:r>
      <w:r w:rsidR="00556EE6">
        <w:t>f</w:t>
      </w:r>
      <w:r>
        <w:t>ixed</w:t>
      </w:r>
      <w:r w:rsidR="00F415E6">
        <w:t>-</w:t>
      </w:r>
      <w:r w:rsidR="00556EE6">
        <w:t>s</w:t>
      </w:r>
      <w:r>
        <w:t xml:space="preserve">atellite </w:t>
      </w:r>
      <w:r w:rsidR="00556EE6">
        <w:t>s</w:t>
      </w:r>
      <w:r>
        <w:t xml:space="preserve">ervice (Earth-to-space) and </w:t>
      </w:r>
      <w:r w:rsidR="00556EE6">
        <w:t>f</w:t>
      </w:r>
      <w:r>
        <w:t>ixed</w:t>
      </w:r>
      <w:r w:rsidR="00F415E6">
        <w:t>-</w:t>
      </w:r>
      <w:r w:rsidR="00556EE6">
        <w:t>s</w:t>
      </w:r>
      <w:r>
        <w:t xml:space="preserve">atellite </w:t>
      </w:r>
      <w:r w:rsidR="00556EE6">
        <w:t>s</w:t>
      </w:r>
      <w:r>
        <w:t>ervice (space-to-Earth), is already considered in Region 1 for the band 17.3-17.7 GHz;</w:t>
      </w:r>
    </w:p>
    <w:p w14:paraId="3775AE8E" w14:textId="6ED4E1A4" w:rsidR="00446E1E" w:rsidRDefault="00446E1E" w:rsidP="00497D83">
      <w:r w:rsidRPr="00446E1E">
        <w:rPr>
          <w:i/>
        </w:rPr>
        <w:t>d)</w:t>
      </w:r>
      <w:r>
        <w:tab/>
        <w:t xml:space="preserve">that there is no other primary service in the 17.3-17.7 GHz band apart from the </w:t>
      </w:r>
      <w:r w:rsidR="00556EE6">
        <w:t>f</w:t>
      </w:r>
      <w:r>
        <w:t>ixed</w:t>
      </w:r>
      <w:r w:rsidR="00F415E6">
        <w:t>-</w:t>
      </w:r>
      <w:r w:rsidR="00556EE6">
        <w:t>s</w:t>
      </w:r>
      <w:r>
        <w:t xml:space="preserve">atellite </w:t>
      </w:r>
      <w:r w:rsidR="00556EE6">
        <w:t>s</w:t>
      </w:r>
      <w:r>
        <w:t xml:space="preserve">ervice and the </w:t>
      </w:r>
      <w:r w:rsidR="00556EE6">
        <w:t>b</w:t>
      </w:r>
      <w:r>
        <w:t>roadcasting</w:t>
      </w:r>
      <w:r w:rsidR="00F415E6">
        <w:t>-</w:t>
      </w:r>
      <w:r w:rsidR="00556EE6">
        <w:t>s</w:t>
      </w:r>
      <w:r>
        <w:t xml:space="preserve">atellite </w:t>
      </w:r>
      <w:r w:rsidR="00556EE6">
        <w:t>s</w:t>
      </w:r>
      <w:r>
        <w:t>ervice,</w:t>
      </w:r>
    </w:p>
    <w:p w14:paraId="38B64D29" w14:textId="77777777" w:rsidR="00446E1E" w:rsidRDefault="00446E1E" w:rsidP="00446E1E">
      <w:pPr>
        <w:pStyle w:val="Call"/>
      </w:pPr>
      <w:r>
        <w:lastRenderedPageBreak/>
        <w:t>resolves</w:t>
      </w:r>
    </w:p>
    <w:p w14:paraId="44BAF3FD" w14:textId="36D5F1CC" w:rsidR="00446E1E" w:rsidRDefault="00446E1E" w:rsidP="00446E1E">
      <w:r>
        <w:t xml:space="preserve">that taking into account the results of ITU-R studies, WRC-23 consider a new primary allocation to the </w:t>
      </w:r>
      <w:r w:rsidR="00556EE6">
        <w:t>f</w:t>
      </w:r>
      <w:r>
        <w:t>ixed</w:t>
      </w:r>
      <w:r w:rsidR="00F415E6">
        <w:t>-</w:t>
      </w:r>
      <w:r w:rsidR="00556EE6">
        <w:t>s</w:t>
      </w:r>
      <w:r>
        <w:t xml:space="preserve">atellite </w:t>
      </w:r>
      <w:r w:rsidR="00556EE6">
        <w:t>s</w:t>
      </w:r>
      <w:r>
        <w:t xml:space="preserve">ervice (space-to-Earth) in the 17.3-17.7 GHz for Region 2 without imposing any additional constraints on existing allocations to the </w:t>
      </w:r>
      <w:r w:rsidR="00556EE6">
        <w:t>b</w:t>
      </w:r>
      <w:r>
        <w:t>roadcasting</w:t>
      </w:r>
      <w:r w:rsidR="00F415E6">
        <w:t>-</w:t>
      </w:r>
      <w:r w:rsidR="00556EE6">
        <w:t>s</w:t>
      </w:r>
      <w:r>
        <w:t xml:space="preserve">atellite service (space-to-Earth) and the </w:t>
      </w:r>
      <w:r w:rsidR="00556EE6">
        <w:t>f</w:t>
      </w:r>
      <w:r>
        <w:t>ixed</w:t>
      </w:r>
      <w:r w:rsidR="00F415E6">
        <w:t>-</w:t>
      </w:r>
      <w:r w:rsidR="00556EE6">
        <w:t>s</w:t>
      </w:r>
      <w:r>
        <w:t xml:space="preserve">atellite </w:t>
      </w:r>
      <w:r w:rsidR="00556EE6">
        <w:t>s</w:t>
      </w:r>
      <w:r>
        <w:t>ervice (Earth-to-space),</w:t>
      </w:r>
    </w:p>
    <w:p w14:paraId="532EFF6F" w14:textId="77777777" w:rsidR="00446E1E" w:rsidRDefault="00446E1E" w:rsidP="00446E1E">
      <w:pPr>
        <w:pStyle w:val="Call"/>
      </w:pPr>
      <w:r>
        <w:t>resolves to invite the ITU-R</w:t>
      </w:r>
    </w:p>
    <w:p w14:paraId="4D0A2CF3" w14:textId="4182DDCC" w:rsidR="00446E1E" w:rsidRDefault="00446E1E" w:rsidP="00446E1E">
      <w:r>
        <w:t xml:space="preserve">to conduct in time for WRC-23, sharing and compatibility studies between the </w:t>
      </w:r>
      <w:r w:rsidR="00556EE6">
        <w:t>f</w:t>
      </w:r>
      <w:r>
        <w:t>ixed</w:t>
      </w:r>
      <w:r w:rsidR="00F415E6">
        <w:t>-</w:t>
      </w:r>
      <w:r w:rsidR="00556EE6">
        <w:t>s</w:t>
      </w:r>
      <w:r>
        <w:t xml:space="preserve">atellite </w:t>
      </w:r>
      <w:r w:rsidR="00556EE6">
        <w:t>s</w:t>
      </w:r>
      <w:r>
        <w:t xml:space="preserve">ervice (space-to-Earth) and the </w:t>
      </w:r>
      <w:r w:rsidR="00556EE6">
        <w:t>b</w:t>
      </w:r>
      <w:r>
        <w:t>roadcasting</w:t>
      </w:r>
      <w:r w:rsidR="00F415E6">
        <w:t>-</w:t>
      </w:r>
      <w:r w:rsidR="00556EE6">
        <w:t>s</w:t>
      </w:r>
      <w:r>
        <w:t xml:space="preserve">atellite service (space-to-Earth) and between the </w:t>
      </w:r>
      <w:r w:rsidR="00556EE6">
        <w:t>f</w:t>
      </w:r>
      <w:r>
        <w:t>ixed</w:t>
      </w:r>
      <w:r w:rsidR="00F415E6">
        <w:t>-</w:t>
      </w:r>
      <w:r w:rsidR="00556EE6">
        <w:t>s</w:t>
      </w:r>
      <w:r>
        <w:t xml:space="preserve">atellite </w:t>
      </w:r>
      <w:r w:rsidR="00556EE6">
        <w:t>s</w:t>
      </w:r>
      <w:r>
        <w:t xml:space="preserve">ervice (space-to-Earth) and the </w:t>
      </w:r>
      <w:r w:rsidR="00556EE6">
        <w:t>f</w:t>
      </w:r>
      <w:r>
        <w:t>ixed</w:t>
      </w:r>
      <w:r w:rsidR="00F415E6">
        <w:t>-</w:t>
      </w:r>
      <w:r w:rsidR="00556EE6">
        <w:t>s</w:t>
      </w:r>
      <w:r>
        <w:t xml:space="preserve">atellite </w:t>
      </w:r>
      <w:r w:rsidR="00556EE6">
        <w:t>s</w:t>
      </w:r>
      <w:r>
        <w:t>ervice (Earth-to-space),</w:t>
      </w:r>
    </w:p>
    <w:p w14:paraId="1A6B4823" w14:textId="77777777" w:rsidR="00446E1E" w:rsidRDefault="00446E1E" w:rsidP="00446E1E">
      <w:pPr>
        <w:pStyle w:val="Call"/>
      </w:pPr>
      <w:r>
        <w:t>invites administrations</w:t>
      </w:r>
    </w:p>
    <w:p w14:paraId="20BB22BC" w14:textId="77777777" w:rsidR="00E34117" w:rsidRDefault="00446E1E" w:rsidP="00446E1E">
      <w:r>
        <w:t>to participate actively in the studies and provide the technical and operational characteristics of the systems involved by submitting contributions to the ITU-R.</w:t>
      </w:r>
    </w:p>
    <w:p w14:paraId="46304CBB" w14:textId="77777777" w:rsidR="00E34117" w:rsidRDefault="00497D83">
      <w:pPr>
        <w:pStyle w:val="Reasons"/>
        <w:rPr>
          <w:lang w:val="en-US"/>
        </w:rPr>
      </w:pPr>
      <w:r>
        <w:rPr>
          <w:b/>
        </w:rPr>
        <w:t>Reasons:</w:t>
      </w:r>
      <w:r>
        <w:tab/>
      </w:r>
      <w:r>
        <w:rPr>
          <w:lang w:val="en-US"/>
        </w:rPr>
        <w:t>A resolution will support the ITU-R studies needed under the relevant WRC-23 agenda item.</w:t>
      </w:r>
    </w:p>
    <w:p w14:paraId="45FC71E2" w14:textId="77777777" w:rsidR="00497D83" w:rsidRDefault="00497D83">
      <w:pPr>
        <w:tabs>
          <w:tab w:val="clear" w:pos="1134"/>
          <w:tab w:val="clear" w:pos="1871"/>
          <w:tab w:val="clear" w:pos="2268"/>
        </w:tabs>
        <w:overflowPunct/>
        <w:autoSpaceDE/>
        <w:autoSpaceDN/>
        <w:adjustRightInd/>
        <w:spacing w:before="0"/>
        <w:textAlignment w:val="auto"/>
      </w:pPr>
      <w:r>
        <w:br w:type="page"/>
      </w:r>
    </w:p>
    <w:p w14:paraId="00A9BDAD" w14:textId="77777777" w:rsidR="00497D83" w:rsidRDefault="00497D83" w:rsidP="00497D83">
      <w:pPr>
        <w:tabs>
          <w:tab w:val="left" w:pos="699"/>
          <w:tab w:val="left" w:pos="1080"/>
          <w:tab w:val="left" w:pos="7257"/>
          <w:tab w:val="left" w:pos="7920"/>
          <w:tab w:val="left" w:pos="8508"/>
          <w:tab w:val="left" w:pos="9216"/>
        </w:tabs>
        <w:ind w:right="2"/>
        <w:jc w:val="center"/>
        <w:rPr>
          <w:b/>
          <w:sz w:val="22"/>
          <w:szCs w:val="22"/>
        </w:rPr>
      </w:pPr>
      <w:r>
        <w:rPr>
          <w:b/>
          <w:sz w:val="22"/>
          <w:szCs w:val="22"/>
        </w:rPr>
        <w:lastRenderedPageBreak/>
        <w:t>ATTACHMENT</w:t>
      </w:r>
    </w:p>
    <w:p w14:paraId="0ADE4FC5" w14:textId="77777777" w:rsidR="00497D83" w:rsidRDefault="00497D83" w:rsidP="00497D83">
      <w:pPr>
        <w:tabs>
          <w:tab w:val="left" w:pos="699"/>
          <w:tab w:val="left" w:pos="1080"/>
          <w:tab w:val="left" w:pos="7257"/>
          <w:tab w:val="left" w:pos="7920"/>
          <w:tab w:val="left" w:pos="8508"/>
          <w:tab w:val="left" w:pos="9216"/>
        </w:tabs>
        <w:ind w:right="2"/>
        <w:jc w:val="center"/>
        <w:outlineLvl w:val="0"/>
        <w:rPr>
          <w:b/>
          <w:sz w:val="22"/>
          <w:szCs w:val="22"/>
        </w:rPr>
      </w:pPr>
    </w:p>
    <w:p w14:paraId="0DA6FBB5" w14:textId="77777777" w:rsidR="00497D83" w:rsidRDefault="00497D83" w:rsidP="00497D83">
      <w:pPr>
        <w:jc w:val="both"/>
        <w:rPr>
          <w:sz w:val="22"/>
          <w:szCs w:val="22"/>
        </w:rPr>
      </w:pPr>
    </w:p>
    <w:p w14:paraId="5A130424" w14:textId="77777777" w:rsidR="00497D83" w:rsidRDefault="00497D83" w:rsidP="00497D83">
      <w:pPr>
        <w:tabs>
          <w:tab w:val="left" w:pos="699"/>
          <w:tab w:val="left" w:pos="1080"/>
          <w:tab w:val="left" w:pos="7257"/>
          <w:tab w:val="left" w:pos="7920"/>
          <w:tab w:val="left" w:pos="8508"/>
          <w:tab w:val="left" w:pos="9216"/>
        </w:tabs>
        <w:ind w:right="2"/>
        <w:jc w:val="center"/>
        <w:rPr>
          <w:b/>
          <w:sz w:val="22"/>
          <w:szCs w:val="22"/>
        </w:rPr>
      </w:pPr>
      <w:r>
        <w:rPr>
          <w:b/>
          <w:sz w:val="22"/>
          <w:szCs w:val="22"/>
        </w:rPr>
        <w:t xml:space="preserve">PROPOSAL FOR ADDITIONAL AGENDA ITEM STUDYING A NEW ALLOCATION OF THE FIXED-SATELLITE SERVICE (SPACE-TO-EARTH) IN THE 17.3-17.7 GHZ BAND </w:t>
      </w:r>
    </w:p>
    <w:p w14:paraId="2692AFCF" w14:textId="77777777" w:rsidR="00497D83" w:rsidRDefault="00497D83" w:rsidP="00497D83">
      <w:pPr>
        <w:keepNext/>
        <w:spacing w:before="160"/>
        <w:rPr>
          <w:b/>
          <w:color w:val="000000"/>
          <w:sz w:val="22"/>
          <w:szCs w:val="22"/>
          <w:lang w:eastAsia="x-none"/>
        </w:rPr>
      </w:pPr>
    </w:p>
    <w:p w14:paraId="646F685F" w14:textId="77777777" w:rsidR="00497D83" w:rsidRDefault="00497D83" w:rsidP="00497D83">
      <w:pPr>
        <w:keepNext/>
        <w:spacing w:before="160"/>
        <w:jc w:val="both"/>
        <w:rPr>
          <w:color w:val="000000"/>
          <w:sz w:val="22"/>
          <w:szCs w:val="22"/>
          <w:lang w:eastAsia="x-none"/>
        </w:rPr>
      </w:pPr>
      <w:r>
        <w:rPr>
          <w:b/>
          <w:color w:val="000000"/>
          <w:sz w:val="22"/>
          <w:szCs w:val="22"/>
          <w:lang w:eastAsia="x-none"/>
        </w:rPr>
        <w:t xml:space="preserve">Subject: </w:t>
      </w:r>
      <w:r w:rsidR="005420F6" w:rsidRPr="005420F6">
        <w:rPr>
          <w:color w:val="000000"/>
          <w:sz w:val="22"/>
          <w:szCs w:val="22"/>
          <w:lang w:eastAsia="x-none"/>
        </w:rPr>
        <w:t>Proposed future WRC agenda item for WRC-23 studying a new allocation of the fixed-satellite service (space-to-Earth) in the 17.3-17.7 GHz band.</w:t>
      </w:r>
    </w:p>
    <w:p w14:paraId="2103EBFD" w14:textId="77777777" w:rsidR="00497D83" w:rsidRDefault="00497D83" w:rsidP="00497D83">
      <w:pPr>
        <w:pBdr>
          <w:bottom w:val="single" w:sz="12" w:space="1" w:color="auto"/>
        </w:pBdr>
        <w:tabs>
          <w:tab w:val="left" w:pos="794"/>
          <w:tab w:val="left" w:pos="1191"/>
          <w:tab w:val="left" w:pos="1588"/>
          <w:tab w:val="left" w:pos="1985"/>
        </w:tabs>
        <w:rPr>
          <w:color w:val="000000"/>
          <w:sz w:val="22"/>
          <w:szCs w:val="22"/>
        </w:rPr>
      </w:pPr>
    </w:p>
    <w:p w14:paraId="2E811CD5" w14:textId="77777777" w:rsidR="00497D83" w:rsidRDefault="00497D83" w:rsidP="00497D83">
      <w:pPr>
        <w:tabs>
          <w:tab w:val="left" w:pos="360"/>
          <w:tab w:val="left" w:pos="900"/>
        </w:tabs>
        <w:jc w:val="both"/>
        <w:rPr>
          <w:b/>
          <w:iCs/>
          <w:color w:val="000000"/>
          <w:sz w:val="22"/>
          <w:szCs w:val="22"/>
        </w:rPr>
      </w:pPr>
      <w:r>
        <w:rPr>
          <w:bCs/>
          <w:i/>
          <w:color w:val="000000"/>
          <w:sz w:val="22"/>
          <w:szCs w:val="22"/>
        </w:rPr>
        <w:t>Proposal</w:t>
      </w:r>
      <w:r>
        <w:rPr>
          <w:i/>
          <w:iCs/>
          <w:color w:val="000000"/>
          <w:sz w:val="22"/>
          <w:szCs w:val="22"/>
        </w:rPr>
        <w:t xml:space="preserve">: to consider a new primary allocation to the fixed satellite service in the </w:t>
      </w:r>
      <w:r>
        <w:rPr>
          <w:b/>
          <w:i/>
          <w:sz w:val="22"/>
          <w:szCs w:val="22"/>
        </w:rPr>
        <w:t>space-to-Earth in the</w:t>
      </w:r>
      <w:r>
        <w:rPr>
          <w:i/>
          <w:iCs/>
          <w:color w:val="000000"/>
          <w:sz w:val="22"/>
          <w:szCs w:val="22"/>
        </w:rPr>
        <w:t xml:space="preserve"> 17.3-17.7 GHz band in Region 2, while protecting imposing any additional constraints for existing primary services in the band, in accordance with Resolution </w:t>
      </w:r>
      <w:r w:rsidR="005420F6" w:rsidRPr="005420F6">
        <w:rPr>
          <w:i/>
          <w:iCs/>
          <w:color w:val="000000"/>
          <w:sz w:val="22"/>
          <w:szCs w:val="22"/>
        </w:rPr>
        <w:t>[IAP/10(L)-17.3-17.7s-E]</w:t>
      </w:r>
      <w:r>
        <w:rPr>
          <w:i/>
          <w:iCs/>
          <w:color w:val="000000"/>
          <w:sz w:val="22"/>
          <w:szCs w:val="22"/>
        </w:rPr>
        <w:t xml:space="preserve"> (WRC-19).</w:t>
      </w:r>
    </w:p>
    <w:p w14:paraId="2A3BDBA4" w14:textId="77777777" w:rsidR="00497D83" w:rsidRDefault="00497D83" w:rsidP="00497D83">
      <w:pPr>
        <w:pBdr>
          <w:bottom w:val="single" w:sz="12" w:space="0" w:color="auto"/>
        </w:pBdr>
        <w:tabs>
          <w:tab w:val="left" w:pos="794"/>
          <w:tab w:val="left" w:pos="1191"/>
          <w:tab w:val="left" w:pos="1588"/>
          <w:tab w:val="left" w:pos="1985"/>
        </w:tabs>
        <w:rPr>
          <w:color w:val="000000"/>
          <w:sz w:val="22"/>
          <w:szCs w:val="22"/>
        </w:rPr>
      </w:pPr>
    </w:p>
    <w:p w14:paraId="5565E843" w14:textId="77777777" w:rsidR="00497D83" w:rsidRDefault="00497D83" w:rsidP="00497D83">
      <w:pPr>
        <w:rPr>
          <w:sz w:val="22"/>
          <w:szCs w:val="22"/>
        </w:rPr>
      </w:pPr>
      <w:r>
        <w:rPr>
          <w:b/>
          <w:i/>
          <w:color w:val="000000"/>
          <w:sz w:val="22"/>
          <w:szCs w:val="22"/>
        </w:rPr>
        <w:t>Background/reason</w:t>
      </w:r>
      <w:r>
        <w:rPr>
          <w:b/>
          <w:bCs/>
          <w:i/>
          <w:iCs/>
          <w:color w:val="000000"/>
          <w:sz w:val="22"/>
          <w:szCs w:val="22"/>
        </w:rPr>
        <w:t>:</w:t>
      </w:r>
    </w:p>
    <w:p w14:paraId="418C2955" w14:textId="77777777" w:rsidR="00497D83" w:rsidRDefault="00497D83" w:rsidP="00497D83">
      <w:pPr>
        <w:jc w:val="both"/>
        <w:rPr>
          <w:sz w:val="22"/>
          <w:szCs w:val="22"/>
        </w:rPr>
      </w:pPr>
      <w:r>
        <w:rPr>
          <w:sz w:val="22"/>
          <w:szCs w:val="22"/>
        </w:rPr>
        <w:t>The consideration of this band in the space-to-Earth direction for FSS in addition to BSS in Region 2, would meet the increasing demand for broadband connectivity in Ka band for broadband applications, which may not be available under a BSS allocation. This would also provide more flexibility in the design of new satellite systems and a more efficient use of spectrum.</w:t>
      </w:r>
    </w:p>
    <w:p w14:paraId="391A774C" w14:textId="77777777" w:rsidR="00497D83" w:rsidRDefault="00497D83" w:rsidP="00497D83">
      <w:pPr>
        <w:pBdr>
          <w:bottom w:val="single" w:sz="12" w:space="1" w:color="auto"/>
        </w:pBdr>
        <w:rPr>
          <w:color w:val="000000"/>
          <w:sz w:val="22"/>
          <w:szCs w:val="22"/>
        </w:rPr>
      </w:pPr>
    </w:p>
    <w:p w14:paraId="475F7B25" w14:textId="77777777" w:rsidR="00497D83" w:rsidRDefault="00497D83" w:rsidP="00497D83">
      <w:pPr>
        <w:rPr>
          <w:bCs/>
          <w:color w:val="000000"/>
          <w:sz w:val="22"/>
          <w:szCs w:val="22"/>
        </w:rPr>
      </w:pPr>
      <w:r>
        <w:rPr>
          <w:b/>
          <w:i/>
          <w:color w:val="000000"/>
          <w:sz w:val="22"/>
          <w:szCs w:val="22"/>
        </w:rPr>
        <w:t>Radiocommunication services concerned</w:t>
      </w:r>
      <w:r>
        <w:rPr>
          <w:b/>
          <w:bCs/>
          <w:i/>
          <w:iCs/>
          <w:color w:val="000000"/>
          <w:sz w:val="22"/>
          <w:szCs w:val="22"/>
        </w:rPr>
        <w:t xml:space="preserve">: </w:t>
      </w:r>
      <w:r>
        <w:rPr>
          <w:bCs/>
          <w:iCs/>
          <w:color w:val="000000"/>
          <w:sz w:val="22"/>
          <w:szCs w:val="22"/>
        </w:rPr>
        <w:t xml:space="preserve">Fixed </w:t>
      </w:r>
      <w:r w:rsidR="005420F6">
        <w:rPr>
          <w:bCs/>
          <w:iCs/>
          <w:color w:val="000000"/>
          <w:sz w:val="22"/>
          <w:szCs w:val="22"/>
        </w:rPr>
        <w:t>s</w:t>
      </w:r>
      <w:r>
        <w:rPr>
          <w:bCs/>
          <w:iCs/>
          <w:color w:val="000000"/>
          <w:sz w:val="22"/>
          <w:szCs w:val="22"/>
        </w:rPr>
        <w:t xml:space="preserve">atellite </w:t>
      </w:r>
      <w:r w:rsidR="005420F6">
        <w:rPr>
          <w:bCs/>
          <w:iCs/>
          <w:color w:val="000000"/>
          <w:sz w:val="22"/>
          <w:szCs w:val="22"/>
        </w:rPr>
        <w:t>s</w:t>
      </w:r>
      <w:r>
        <w:rPr>
          <w:bCs/>
          <w:iCs/>
          <w:color w:val="000000"/>
          <w:sz w:val="22"/>
          <w:szCs w:val="22"/>
        </w:rPr>
        <w:t xml:space="preserve">ervice, </w:t>
      </w:r>
      <w:r w:rsidR="005420F6">
        <w:rPr>
          <w:bCs/>
          <w:iCs/>
          <w:color w:val="000000"/>
          <w:sz w:val="22"/>
          <w:szCs w:val="22"/>
        </w:rPr>
        <w:t>b</w:t>
      </w:r>
      <w:r>
        <w:rPr>
          <w:bCs/>
          <w:iCs/>
          <w:color w:val="000000"/>
          <w:sz w:val="22"/>
          <w:szCs w:val="22"/>
        </w:rPr>
        <w:t xml:space="preserve">roadcasting </w:t>
      </w:r>
      <w:r w:rsidR="005420F6">
        <w:rPr>
          <w:bCs/>
          <w:iCs/>
          <w:color w:val="000000"/>
          <w:sz w:val="22"/>
          <w:szCs w:val="22"/>
        </w:rPr>
        <w:t>s</w:t>
      </w:r>
      <w:r>
        <w:rPr>
          <w:bCs/>
          <w:iCs/>
          <w:color w:val="000000"/>
          <w:sz w:val="22"/>
          <w:szCs w:val="22"/>
        </w:rPr>
        <w:t xml:space="preserve">atellite </w:t>
      </w:r>
      <w:r w:rsidR="005420F6">
        <w:rPr>
          <w:bCs/>
          <w:iCs/>
          <w:color w:val="000000"/>
          <w:sz w:val="22"/>
          <w:szCs w:val="22"/>
        </w:rPr>
        <w:t>s</w:t>
      </w:r>
      <w:r>
        <w:rPr>
          <w:bCs/>
          <w:iCs/>
          <w:color w:val="000000"/>
          <w:sz w:val="22"/>
          <w:szCs w:val="22"/>
        </w:rPr>
        <w:t>ervice</w:t>
      </w:r>
    </w:p>
    <w:p w14:paraId="350420CB" w14:textId="77777777" w:rsidR="00497D83" w:rsidRDefault="00497D83" w:rsidP="00497D83">
      <w:pPr>
        <w:pBdr>
          <w:bottom w:val="single" w:sz="12" w:space="1" w:color="auto"/>
        </w:pBdr>
        <w:rPr>
          <w:color w:val="000000"/>
          <w:sz w:val="22"/>
          <w:szCs w:val="22"/>
        </w:rPr>
      </w:pPr>
    </w:p>
    <w:p w14:paraId="7A6AEA3A" w14:textId="77777777" w:rsidR="00497D83" w:rsidRDefault="00497D83" w:rsidP="00497D83">
      <w:pPr>
        <w:rPr>
          <w:b/>
          <w:bCs/>
          <w:i/>
          <w:color w:val="000000"/>
          <w:sz w:val="22"/>
          <w:szCs w:val="22"/>
        </w:rPr>
      </w:pPr>
      <w:r>
        <w:rPr>
          <w:b/>
          <w:i/>
          <w:color w:val="000000"/>
          <w:sz w:val="22"/>
          <w:szCs w:val="22"/>
        </w:rPr>
        <w:t>Indication of possible difficulties</w:t>
      </w:r>
      <w:r>
        <w:rPr>
          <w:b/>
          <w:bCs/>
          <w:i/>
          <w:iCs/>
          <w:color w:val="000000"/>
          <w:sz w:val="22"/>
          <w:szCs w:val="22"/>
        </w:rPr>
        <w:t>:</w:t>
      </w:r>
      <w:r>
        <w:rPr>
          <w:bCs/>
          <w:iCs/>
          <w:color w:val="000000"/>
          <w:sz w:val="22"/>
          <w:szCs w:val="22"/>
        </w:rPr>
        <w:t xml:space="preserve"> None foreseen</w:t>
      </w:r>
    </w:p>
    <w:p w14:paraId="72A8B525" w14:textId="77777777" w:rsidR="00497D83" w:rsidRDefault="00497D83" w:rsidP="00497D83">
      <w:pPr>
        <w:pBdr>
          <w:bottom w:val="single" w:sz="12" w:space="1" w:color="auto"/>
        </w:pBdr>
        <w:rPr>
          <w:color w:val="000000"/>
          <w:sz w:val="22"/>
          <w:szCs w:val="22"/>
        </w:rPr>
      </w:pPr>
    </w:p>
    <w:p w14:paraId="4D3A32DE" w14:textId="77777777" w:rsidR="00497D83" w:rsidRDefault="00497D83" w:rsidP="00497D83">
      <w:pPr>
        <w:rPr>
          <w:b/>
          <w:bCs/>
          <w:i/>
          <w:color w:val="000000"/>
          <w:sz w:val="22"/>
          <w:szCs w:val="22"/>
        </w:rPr>
      </w:pPr>
      <w:r>
        <w:rPr>
          <w:b/>
          <w:i/>
          <w:color w:val="000000"/>
          <w:sz w:val="22"/>
          <w:szCs w:val="22"/>
        </w:rPr>
        <w:t>Previous/ongoing studies on the issue</w:t>
      </w:r>
      <w:r>
        <w:rPr>
          <w:b/>
          <w:bCs/>
          <w:i/>
          <w:iCs/>
          <w:color w:val="000000"/>
          <w:sz w:val="22"/>
          <w:szCs w:val="22"/>
        </w:rPr>
        <w:t>:</w:t>
      </w:r>
      <w:r>
        <w:rPr>
          <w:bCs/>
          <w:iCs/>
          <w:color w:val="000000"/>
          <w:sz w:val="22"/>
          <w:szCs w:val="22"/>
        </w:rPr>
        <w:t xml:space="preserve"> None to date</w:t>
      </w:r>
    </w:p>
    <w:p w14:paraId="4CBE542D" w14:textId="77777777" w:rsidR="00497D83" w:rsidRDefault="00497D83" w:rsidP="00497D83">
      <w:pPr>
        <w:pBdr>
          <w:bottom w:val="single" w:sz="12" w:space="1" w:color="auto"/>
        </w:pBdr>
        <w:rPr>
          <w:color w:val="000000"/>
          <w:sz w:val="22"/>
          <w:szCs w:val="22"/>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497D83" w14:paraId="66FB054F" w14:textId="77777777" w:rsidTr="00497D83">
        <w:trPr>
          <w:jc w:val="center"/>
        </w:trPr>
        <w:tc>
          <w:tcPr>
            <w:tcW w:w="3979" w:type="dxa"/>
            <w:tcBorders>
              <w:top w:val="nil"/>
              <w:left w:val="nil"/>
              <w:bottom w:val="single" w:sz="12" w:space="0" w:color="auto"/>
              <w:right w:val="single" w:sz="12" w:space="0" w:color="auto"/>
            </w:tcBorders>
            <w:hideMark/>
          </w:tcPr>
          <w:p w14:paraId="3CB020E8" w14:textId="77777777" w:rsidR="00497D83" w:rsidRDefault="00497D83">
            <w:pPr>
              <w:framePr w:hSpace="181" w:wrap="notBeside" w:vAnchor="text" w:hAnchor="text" w:xAlign="center" w:y="1"/>
              <w:tabs>
                <w:tab w:val="left" w:pos="4366"/>
              </w:tabs>
              <w:rPr>
                <w:b/>
                <w:bCs/>
                <w:i/>
                <w:iCs/>
                <w:color w:val="000000"/>
                <w:sz w:val="22"/>
                <w:szCs w:val="22"/>
                <w:lang w:val="en-US"/>
              </w:rPr>
            </w:pPr>
            <w:r>
              <w:rPr>
                <w:b/>
                <w:i/>
                <w:color w:val="000000"/>
                <w:sz w:val="22"/>
                <w:szCs w:val="22"/>
                <w:lang w:val="en-US"/>
              </w:rPr>
              <w:t>Studies to be carried out by</w:t>
            </w:r>
            <w:r>
              <w:rPr>
                <w:b/>
                <w:bCs/>
                <w:i/>
                <w:iCs/>
                <w:color w:val="000000"/>
                <w:sz w:val="22"/>
                <w:szCs w:val="22"/>
                <w:lang w:val="en-US"/>
              </w:rPr>
              <w:t xml:space="preserve">: </w:t>
            </w:r>
            <w:r>
              <w:rPr>
                <w:bCs/>
                <w:iCs/>
                <w:color w:val="000000"/>
                <w:sz w:val="22"/>
                <w:szCs w:val="22"/>
                <w:lang w:val="en-US"/>
              </w:rPr>
              <w:t>SG4</w:t>
            </w:r>
          </w:p>
        </w:tc>
        <w:tc>
          <w:tcPr>
            <w:tcW w:w="5357" w:type="dxa"/>
            <w:tcBorders>
              <w:top w:val="nil"/>
              <w:left w:val="single" w:sz="12" w:space="0" w:color="auto"/>
              <w:bottom w:val="single" w:sz="12" w:space="0" w:color="auto"/>
              <w:right w:val="nil"/>
            </w:tcBorders>
          </w:tcPr>
          <w:p w14:paraId="4BEB46F6" w14:textId="77777777" w:rsidR="00497D83" w:rsidRDefault="00497D83">
            <w:pPr>
              <w:framePr w:hSpace="181" w:wrap="notBeside" w:vAnchor="text" w:hAnchor="text" w:xAlign="center" w:y="1"/>
              <w:tabs>
                <w:tab w:val="left" w:pos="360"/>
                <w:tab w:val="left" w:pos="900"/>
                <w:tab w:val="left" w:pos="4366"/>
              </w:tabs>
              <w:ind w:left="113"/>
              <w:rPr>
                <w:i/>
                <w:iCs/>
                <w:color w:val="000000"/>
                <w:sz w:val="22"/>
                <w:szCs w:val="22"/>
                <w:lang w:val="en-US"/>
              </w:rPr>
            </w:pPr>
            <w:r>
              <w:rPr>
                <w:bCs/>
                <w:i/>
                <w:color w:val="000000"/>
                <w:sz w:val="22"/>
                <w:szCs w:val="22"/>
                <w:lang w:val="en-US"/>
              </w:rPr>
              <w:t>with the participation of</w:t>
            </w:r>
            <w:r>
              <w:rPr>
                <w:i/>
                <w:iCs/>
                <w:color w:val="000000"/>
                <w:sz w:val="22"/>
                <w:szCs w:val="22"/>
                <w:lang w:val="en-US"/>
              </w:rPr>
              <w:t xml:space="preserve">: </w:t>
            </w:r>
          </w:p>
          <w:p w14:paraId="1C0E2DAD" w14:textId="77777777" w:rsidR="00497D83" w:rsidRDefault="00497D83">
            <w:pPr>
              <w:framePr w:hSpace="181" w:wrap="notBeside" w:vAnchor="text" w:hAnchor="text" w:xAlign="center" w:y="1"/>
              <w:tabs>
                <w:tab w:val="left" w:pos="4366"/>
              </w:tabs>
              <w:rPr>
                <w:b/>
                <w:bCs/>
                <w:i/>
                <w:iCs/>
                <w:color w:val="000000"/>
                <w:sz w:val="22"/>
                <w:szCs w:val="22"/>
                <w:lang w:val="en-US"/>
              </w:rPr>
            </w:pPr>
          </w:p>
        </w:tc>
      </w:tr>
    </w:tbl>
    <w:p w14:paraId="4707A222" w14:textId="77777777" w:rsidR="00497D83" w:rsidRDefault="00497D83" w:rsidP="00497D83">
      <w:pPr>
        <w:rPr>
          <w:bCs/>
          <w:color w:val="000000"/>
          <w:sz w:val="22"/>
          <w:szCs w:val="22"/>
        </w:rPr>
      </w:pPr>
      <w:r>
        <w:rPr>
          <w:b/>
          <w:i/>
          <w:color w:val="000000"/>
          <w:sz w:val="22"/>
          <w:szCs w:val="22"/>
        </w:rPr>
        <w:t>ITU-R Study Groups concerned</w:t>
      </w:r>
      <w:r>
        <w:rPr>
          <w:b/>
          <w:bCs/>
          <w:i/>
          <w:iCs/>
          <w:color w:val="000000"/>
          <w:sz w:val="22"/>
          <w:szCs w:val="22"/>
        </w:rPr>
        <w:t>: SG5</w:t>
      </w:r>
    </w:p>
    <w:p w14:paraId="0AE3C48D" w14:textId="77777777" w:rsidR="00497D83" w:rsidRDefault="00497D83" w:rsidP="00497D83">
      <w:pPr>
        <w:pBdr>
          <w:bottom w:val="single" w:sz="12" w:space="1" w:color="auto"/>
        </w:pBdr>
        <w:rPr>
          <w:color w:val="000000"/>
          <w:sz w:val="22"/>
          <w:szCs w:val="22"/>
        </w:rPr>
      </w:pPr>
    </w:p>
    <w:p w14:paraId="5EF812AA" w14:textId="77777777" w:rsidR="00497D83" w:rsidRDefault="00497D83" w:rsidP="00497D83">
      <w:pPr>
        <w:tabs>
          <w:tab w:val="left" w:pos="360"/>
          <w:tab w:val="left" w:pos="900"/>
        </w:tabs>
        <w:rPr>
          <w:i/>
          <w:iCs/>
          <w:color w:val="000000"/>
          <w:sz w:val="22"/>
          <w:szCs w:val="22"/>
        </w:rPr>
      </w:pPr>
      <w:r>
        <w:rPr>
          <w:bCs/>
          <w:i/>
          <w:color w:val="000000"/>
          <w:sz w:val="22"/>
          <w:szCs w:val="22"/>
        </w:rPr>
        <w:t>ITU resource implications, including financial implications (refer to CV126)</w:t>
      </w:r>
      <w:r>
        <w:rPr>
          <w:i/>
          <w:iCs/>
          <w:color w:val="000000"/>
          <w:sz w:val="22"/>
          <w:szCs w:val="22"/>
        </w:rPr>
        <w:t xml:space="preserve">: </w:t>
      </w:r>
      <w:r>
        <w:rPr>
          <w:b/>
          <w:iCs/>
          <w:color w:val="000000"/>
          <w:sz w:val="22"/>
          <w:szCs w:val="22"/>
        </w:rPr>
        <w:t>Minimal</w:t>
      </w:r>
    </w:p>
    <w:p w14:paraId="6DF0DB7F" w14:textId="77777777" w:rsidR="00497D83" w:rsidRDefault="00497D83" w:rsidP="00497D83">
      <w:pPr>
        <w:pBdr>
          <w:bottom w:val="single" w:sz="12" w:space="1" w:color="auto"/>
        </w:pBdr>
        <w:rPr>
          <w:color w:val="000000"/>
          <w:sz w:val="22"/>
          <w:szCs w:val="22"/>
        </w:rPr>
      </w:pPr>
    </w:p>
    <w:p w14:paraId="4C218BE0" w14:textId="77777777" w:rsidR="00497D83" w:rsidRDefault="00497D83" w:rsidP="00497D83">
      <w:pPr>
        <w:tabs>
          <w:tab w:val="left" w:pos="4366"/>
        </w:tabs>
        <w:rPr>
          <w:color w:val="000000"/>
          <w:sz w:val="22"/>
          <w:szCs w:val="22"/>
        </w:rPr>
      </w:pPr>
      <w:r>
        <w:rPr>
          <w:b/>
          <w:i/>
          <w:color w:val="000000"/>
          <w:sz w:val="22"/>
          <w:szCs w:val="22"/>
        </w:rPr>
        <w:t>Common regional proposal</w:t>
      </w:r>
      <w:r>
        <w:rPr>
          <w:b/>
          <w:bCs/>
          <w:i/>
          <w:iCs/>
          <w:color w:val="000000"/>
          <w:sz w:val="22"/>
          <w:szCs w:val="22"/>
        </w:rPr>
        <w:t>:</w:t>
      </w:r>
      <w:r>
        <w:rPr>
          <w:color w:val="000000"/>
          <w:sz w:val="22"/>
          <w:szCs w:val="22"/>
        </w:rPr>
        <w:t xml:space="preserve">  Yes/No</w:t>
      </w:r>
      <w:r>
        <w:rPr>
          <w:color w:val="000000"/>
          <w:sz w:val="22"/>
          <w:szCs w:val="22"/>
        </w:rPr>
        <w:tab/>
      </w:r>
      <w:proofErr w:type="spellStart"/>
      <w:r>
        <w:rPr>
          <w:b/>
          <w:i/>
          <w:color w:val="000000"/>
          <w:sz w:val="22"/>
          <w:szCs w:val="22"/>
        </w:rPr>
        <w:t>Multicountry</w:t>
      </w:r>
      <w:proofErr w:type="spellEnd"/>
      <w:r>
        <w:rPr>
          <w:b/>
          <w:i/>
          <w:color w:val="000000"/>
          <w:sz w:val="22"/>
          <w:szCs w:val="22"/>
        </w:rPr>
        <w:t xml:space="preserve"> proposal</w:t>
      </w:r>
      <w:r>
        <w:rPr>
          <w:b/>
          <w:bCs/>
          <w:i/>
          <w:iCs/>
          <w:color w:val="000000"/>
          <w:sz w:val="22"/>
          <w:szCs w:val="22"/>
        </w:rPr>
        <w:t xml:space="preserve">:  </w:t>
      </w:r>
      <w:r>
        <w:rPr>
          <w:color w:val="000000"/>
          <w:sz w:val="22"/>
          <w:szCs w:val="22"/>
        </w:rPr>
        <w:t>Yes/No</w:t>
      </w:r>
    </w:p>
    <w:p w14:paraId="3DFFEA37" w14:textId="77777777" w:rsidR="00497D83" w:rsidRDefault="00497D83" w:rsidP="00497D83">
      <w:pPr>
        <w:tabs>
          <w:tab w:val="left" w:pos="360"/>
          <w:tab w:val="left" w:pos="900"/>
          <w:tab w:val="left" w:pos="4366"/>
        </w:tabs>
        <w:rPr>
          <w:i/>
          <w:iCs/>
          <w:color w:val="000000"/>
          <w:sz w:val="22"/>
          <w:szCs w:val="22"/>
        </w:rPr>
      </w:pPr>
      <w:r>
        <w:rPr>
          <w:i/>
          <w:iCs/>
          <w:color w:val="000000"/>
          <w:sz w:val="22"/>
          <w:szCs w:val="22"/>
        </w:rPr>
        <w:tab/>
        <w:t>Number of countries:</w:t>
      </w:r>
    </w:p>
    <w:p w14:paraId="1DC911A8" w14:textId="77777777" w:rsidR="00497D83" w:rsidRDefault="00497D83" w:rsidP="00497D83">
      <w:pPr>
        <w:pBdr>
          <w:bottom w:val="single" w:sz="12" w:space="1" w:color="auto"/>
        </w:pBdr>
        <w:rPr>
          <w:color w:val="000000"/>
          <w:sz w:val="22"/>
          <w:szCs w:val="22"/>
        </w:rPr>
      </w:pPr>
    </w:p>
    <w:p w14:paraId="45B70D0F" w14:textId="77777777" w:rsidR="00497D83" w:rsidRPr="005420F6" w:rsidRDefault="00497D83" w:rsidP="005420F6">
      <w:pPr>
        <w:rPr>
          <w:color w:val="000000"/>
          <w:sz w:val="22"/>
          <w:szCs w:val="22"/>
        </w:rPr>
      </w:pPr>
      <w:r>
        <w:rPr>
          <w:b/>
          <w:bCs/>
          <w:i/>
          <w:iCs/>
          <w:color w:val="000000"/>
          <w:sz w:val="22"/>
          <w:szCs w:val="22"/>
        </w:rPr>
        <w:t>Remarks</w:t>
      </w:r>
    </w:p>
    <w:p w14:paraId="1A7CC6AD" w14:textId="77777777" w:rsidR="00497D83" w:rsidRDefault="00497D83" w:rsidP="005420F6">
      <w:pPr>
        <w:jc w:val="center"/>
      </w:pPr>
      <w:r>
        <w:t>______________</w:t>
      </w:r>
    </w:p>
    <w:sectPr w:rsidR="00497D83"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4908C" w14:textId="77777777" w:rsidR="00AE514B" w:rsidRDefault="00AE514B">
      <w:r>
        <w:separator/>
      </w:r>
    </w:p>
  </w:endnote>
  <w:endnote w:type="continuationSeparator" w:id="0">
    <w:p w14:paraId="1B12F8E7"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2758" w14:textId="77777777" w:rsidR="00E45D05" w:rsidRDefault="00E45D05">
    <w:pPr>
      <w:framePr w:wrap="around" w:vAnchor="text" w:hAnchor="margin" w:xAlign="right" w:y="1"/>
    </w:pPr>
    <w:r>
      <w:fldChar w:fldCharType="begin"/>
    </w:r>
    <w:r>
      <w:instrText xml:space="preserve">PAGE  </w:instrText>
    </w:r>
    <w:r>
      <w:fldChar w:fldCharType="end"/>
    </w:r>
  </w:p>
  <w:p w14:paraId="448C1B1B" w14:textId="307E2DC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B08CA">
      <w:rPr>
        <w:noProof/>
        <w:lang w:val="en-US"/>
      </w:rPr>
      <w:t>P:\ENG\ITU-R\CONF-R\CMR19\000\011ADD24ADD12E.docx</w:t>
    </w:r>
    <w:r>
      <w:fldChar w:fldCharType="end"/>
    </w:r>
    <w:r w:rsidRPr="0041348E">
      <w:rPr>
        <w:lang w:val="en-US"/>
      </w:rPr>
      <w:tab/>
    </w:r>
    <w:r>
      <w:fldChar w:fldCharType="begin"/>
    </w:r>
    <w:r>
      <w:instrText xml:space="preserve"> SAVEDATE \@ DD.MM.YY </w:instrText>
    </w:r>
    <w:r>
      <w:fldChar w:fldCharType="separate"/>
    </w:r>
    <w:r w:rsidR="00CB08CA">
      <w:rPr>
        <w:noProof/>
      </w:rPr>
      <w:t>20.09.19</w:t>
    </w:r>
    <w:r>
      <w:fldChar w:fldCharType="end"/>
    </w:r>
    <w:r w:rsidRPr="0041348E">
      <w:rPr>
        <w:lang w:val="en-US"/>
      </w:rPr>
      <w:tab/>
    </w:r>
    <w:r>
      <w:fldChar w:fldCharType="begin"/>
    </w:r>
    <w:r>
      <w:instrText xml:space="preserve"> PRINTDATE \@ DD.MM.YY </w:instrText>
    </w:r>
    <w:r>
      <w:fldChar w:fldCharType="separate"/>
    </w:r>
    <w:r w:rsidR="00CB08CA">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F5E7" w14:textId="29DB3FF7" w:rsidR="00E45D05" w:rsidRDefault="00E45D05" w:rsidP="009B1EA1">
    <w:pPr>
      <w:pStyle w:val="Footer"/>
    </w:pPr>
    <w:r>
      <w:fldChar w:fldCharType="begin"/>
    </w:r>
    <w:r w:rsidRPr="0041348E">
      <w:rPr>
        <w:lang w:val="en-US"/>
      </w:rPr>
      <w:instrText xml:space="preserve"> FILENAME \p  \* MERGEFORMAT </w:instrText>
    </w:r>
    <w:r>
      <w:fldChar w:fldCharType="separate"/>
    </w:r>
    <w:r w:rsidR="00CB08CA">
      <w:rPr>
        <w:lang w:val="en-US"/>
      </w:rPr>
      <w:t>P:\ENG\ITU-R\CONF-R\CMR19\000\011ADD24ADD12E.docx</w:t>
    </w:r>
    <w:r>
      <w:fldChar w:fldCharType="end"/>
    </w:r>
    <w:r w:rsidR="00211D3E">
      <w:t xml:space="preserve"> (460777)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2522" w14:textId="1A0F684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B08CA">
      <w:rPr>
        <w:lang w:val="en-US"/>
      </w:rPr>
      <w:t>P:\ENG\ITU-R\CONF-R\CMR19\000\011ADD24ADD12E.docx</w:t>
    </w:r>
    <w:r>
      <w:fldChar w:fldCharType="end"/>
    </w:r>
    <w:r w:rsidR="00211D3E">
      <w:t xml:space="preserve"> (460777)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0979E" w14:textId="77777777" w:rsidR="00AE514B" w:rsidRDefault="00AE514B">
      <w:r>
        <w:rPr>
          <w:b/>
        </w:rPr>
        <w:t>_______________</w:t>
      </w:r>
    </w:p>
  </w:footnote>
  <w:footnote w:type="continuationSeparator" w:id="0">
    <w:p w14:paraId="6FBA7903"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C89B" w14:textId="77777777" w:rsidR="00E45D05" w:rsidRDefault="00A066F1" w:rsidP="00187BD9">
    <w:pPr>
      <w:pStyle w:val="Header"/>
    </w:pPr>
    <w:r>
      <w:fldChar w:fldCharType="begin"/>
    </w:r>
    <w:r>
      <w:instrText xml:space="preserve"> PAGE  \* MERGEFORMAT </w:instrText>
    </w:r>
    <w:r>
      <w:fldChar w:fldCharType="separate"/>
    </w:r>
    <w:r w:rsidR="005420F6">
      <w:rPr>
        <w:noProof/>
      </w:rPr>
      <w:t>4</w:t>
    </w:r>
    <w:r>
      <w:fldChar w:fldCharType="end"/>
    </w:r>
  </w:p>
  <w:p w14:paraId="773ECEF4"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11(Add.24)(Add.12)</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B86091E"/>
    <w:multiLevelType w:val="hybridMultilevel"/>
    <w:tmpl w:val="F38CCD10"/>
    <w:lvl w:ilvl="0" w:tplc="04090015">
      <w:start w:val="1"/>
      <w:numFmt w:val="upp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1D3E"/>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5207"/>
    <w:rsid w:val="0041348E"/>
    <w:rsid w:val="00420873"/>
    <w:rsid w:val="00446E1E"/>
    <w:rsid w:val="00492075"/>
    <w:rsid w:val="004969AD"/>
    <w:rsid w:val="00497D83"/>
    <w:rsid w:val="004A26C4"/>
    <w:rsid w:val="004B13CB"/>
    <w:rsid w:val="004D26EA"/>
    <w:rsid w:val="004D2BFB"/>
    <w:rsid w:val="004D5D5C"/>
    <w:rsid w:val="004F3DC0"/>
    <w:rsid w:val="0050139F"/>
    <w:rsid w:val="005420F6"/>
    <w:rsid w:val="0055140B"/>
    <w:rsid w:val="00556EE6"/>
    <w:rsid w:val="005964AB"/>
    <w:rsid w:val="005C099A"/>
    <w:rsid w:val="005C31A5"/>
    <w:rsid w:val="005E10C9"/>
    <w:rsid w:val="005E290B"/>
    <w:rsid w:val="005E61DD"/>
    <w:rsid w:val="005F04D8"/>
    <w:rsid w:val="006023DF"/>
    <w:rsid w:val="00615426"/>
    <w:rsid w:val="00616219"/>
    <w:rsid w:val="00645B7D"/>
    <w:rsid w:val="00657DE0"/>
    <w:rsid w:val="006623EE"/>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08CA"/>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34117"/>
    <w:rsid w:val="00E45D05"/>
    <w:rsid w:val="00E55816"/>
    <w:rsid w:val="00E55AEF"/>
    <w:rsid w:val="00E976C1"/>
    <w:rsid w:val="00EA12E5"/>
    <w:rsid w:val="00EB55C6"/>
    <w:rsid w:val="00EF1932"/>
    <w:rsid w:val="00EF71B6"/>
    <w:rsid w:val="00F02766"/>
    <w:rsid w:val="00F05BD4"/>
    <w:rsid w:val="00F06473"/>
    <w:rsid w:val="00F415E6"/>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45BDF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53039">
      <w:bodyDiv w:val="1"/>
      <w:marLeft w:val="0"/>
      <w:marRight w:val="0"/>
      <w:marTop w:val="0"/>
      <w:marBottom w:val="0"/>
      <w:divBdr>
        <w:top w:val="none" w:sz="0" w:space="0" w:color="auto"/>
        <w:left w:val="none" w:sz="0" w:space="0" w:color="auto"/>
        <w:bottom w:val="none" w:sz="0" w:space="0" w:color="auto"/>
        <w:right w:val="none" w:sz="0" w:space="0" w:color="auto"/>
      </w:divBdr>
    </w:div>
    <w:div w:id="766079240">
      <w:bodyDiv w:val="1"/>
      <w:marLeft w:val="0"/>
      <w:marRight w:val="0"/>
      <w:marTop w:val="0"/>
      <w:marBottom w:val="0"/>
      <w:divBdr>
        <w:top w:val="none" w:sz="0" w:space="0" w:color="auto"/>
        <w:left w:val="none" w:sz="0" w:space="0" w:color="auto"/>
        <w:bottom w:val="none" w:sz="0" w:space="0" w:color="auto"/>
        <w:right w:val="none" w:sz="0" w:space="0" w:color="auto"/>
      </w:divBdr>
    </w:div>
    <w:div w:id="1908563253">
      <w:bodyDiv w:val="1"/>
      <w:marLeft w:val="0"/>
      <w:marRight w:val="0"/>
      <w:marTop w:val="0"/>
      <w:marBottom w:val="0"/>
      <w:divBdr>
        <w:top w:val="none" w:sz="0" w:space="0" w:color="auto"/>
        <w:left w:val="none" w:sz="0" w:space="0" w:color="auto"/>
        <w:bottom w:val="none" w:sz="0" w:space="0" w:color="auto"/>
        <w:right w:val="none" w:sz="0" w:space="0" w:color="auto"/>
      </w:divBdr>
    </w:div>
    <w:div w:id="21465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471-B0AD-4D13-BC24-5B4BBD6F885C}">
  <ds:schemaRefs>
    <ds:schemaRef ds:uri="http://schemas.microsoft.com/sharepoint/v3/contenttype/forms"/>
  </ds:schemaRefs>
</ds:datastoreItem>
</file>

<file path=customXml/itemProps2.xml><?xml version="1.0" encoding="utf-8"?>
<ds:datastoreItem xmlns:ds="http://schemas.openxmlformats.org/officeDocument/2006/customXml" ds:itemID="{692F0FDF-0F45-46F7-BB07-660CEEF53E57}">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32a1a8c5-2265-4ebc-b7a0-2071e2c5c9bb"/>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6B351-67F3-477F-A9FA-530745FC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974</Words>
  <Characters>5864</Characters>
  <Application>Microsoft Office Word</Application>
  <DocSecurity>0</DocSecurity>
  <Lines>129</Lines>
  <Paragraphs>61</Paragraphs>
  <ScaleCrop>false</ScaleCrop>
  <HeadingPairs>
    <vt:vector size="2" baseType="variant">
      <vt:variant>
        <vt:lpstr>Title</vt:lpstr>
      </vt:variant>
      <vt:variant>
        <vt:i4>1</vt:i4>
      </vt:variant>
    </vt:vector>
  </HeadingPairs>
  <TitlesOfParts>
    <vt:vector size="1" baseType="lpstr">
      <vt:lpstr>R16-WRC19-C-0011!A24-A12!MSW-E</vt:lpstr>
    </vt:vector>
  </TitlesOfParts>
  <Manager>General Secretariat - Pool</Manager>
  <Company>International Telecommunication Union (ITU)</Company>
  <LinksUpToDate>false</LinksUpToDate>
  <CharactersWithSpaces>6783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R16-WRC19-C-0011!A24-A12!MSW-E</dc:title>
  <dc:subject>World Radiocommunication Conference - 2019</dc:subject>
  <dc:creator>Documents Proposals Manager (DPM)</dc:creator>
  <cp:keywords>DPM_v2019.9.13.1_prod</cp:keywords>
  <dc:description>Uploaded on 2015.07.06</dc:description>
  <cp:lastModifiedBy>Sarah Scott</cp:lastModifiedBy>
  <cp:revision>6</cp:revision>
  <cp:lastPrinted>2019-09-20T09:23:00Z</cp:lastPrinted>
  <dcterms:created xsi:type="dcterms:W3CDTF">2019-09-20T08:29:00Z</dcterms:created>
  <dcterms:modified xsi:type="dcterms:W3CDTF">2019-09-20T09:23:00Z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