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8B3782" w14:paraId="177F2C56" w14:textId="77777777" w:rsidTr="00B04F8C">
        <w:trPr>
          <w:cantSplit/>
        </w:trPr>
        <w:tc>
          <w:tcPr>
            <w:tcW w:w="6804" w:type="dxa"/>
          </w:tcPr>
          <w:p w14:paraId="0922645E" w14:textId="77777777" w:rsidR="00BB1D82" w:rsidRPr="008B3782" w:rsidRDefault="00851625" w:rsidP="00176A1E">
            <w:pPr>
              <w:spacing w:before="400" w:after="48"/>
              <w:rPr>
                <w:rFonts w:ascii="Verdana" w:hAnsi="Verdana"/>
                <w:b/>
                <w:bCs/>
                <w:sz w:val="20"/>
              </w:rPr>
            </w:pPr>
            <w:r w:rsidRPr="008B3782">
              <w:rPr>
                <w:rFonts w:ascii="Verdana" w:hAnsi="Verdana"/>
                <w:b/>
                <w:bCs/>
                <w:sz w:val="20"/>
              </w:rPr>
              <w:t>Conférence mondiale des radiocommunications (CMR-1</w:t>
            </w:r>
            <w:r w:rsidR="00FD7AA3" w:rsidRPr="008B3782">
              <w:rPr>
                <w:rFonts w:ascii="Verdana" w:hAnsi="Verdana"/>
                <w:b/>
                <w:bCs/>
                <w:sz w:val="20"/>
              </w:rPr>
              <w:t>9</w:t>
            </w:r>
            <w:r w:rsidRPr="008B3782">
              <w:rPr>
                <w:rFonts w:ascii="Verdana" w:hAnsi="Verdana"/>
                <w:b/>
                <w:bCs/>
                <w:sz w:val="20"/>
              </w:rPr>
              <w:t>)</w:t>
            </w:r>
            <w:r w:rsidRPr="008B3782">
              <w:rPr>
                <w:rFonts w:ascii="Verdana" w:hAnsi="Verdana"/>
                <w:b/>
                <w:bCs/>
                <w:sz w:val="20"/>
              </w:rPr>
              <w:br/>
            </w:r>
            <w:r w:rsidR="00063A1F" w:rsidRPr="008B3782">
              <w:rPr>
                <w:rFonts w:ascii="Verdana" w:hAnsi="Verdana"/>
                <w:b/>
                <w:bCs/>
                <w:sz w:val="18"/>
                <w:szCs w:val="18"/>
              </w:rPr>
              <w:t xml:space="preserve">Charm el-Cheikh, </w:t>
            </w:r>
            <w:r w:rsidR="00081366" w:rsidRPr="008B3782">
              <w:rPr>
                <w:rFonts w:ascii="Verdana" w:hAnsi="Verdana"/>
                <w:b/>
                <w:bCs/>
                <w:sz w:val="18"/>
                <w:szCs w:val="18"/>
              </w:rPr>
              <w:t>É</w:t>
            </w:r>
            <w:r w:rsidR="00063A1F" w:rsidRPr="008B3782">
              <w:rPr>
                <w:rFonts w:ascii="Verdana" w:hAnsi="Verdana"/>
                <w:b/>
                <w:bCs/>
                <w:sz w:val="18"/>
                <w:szCs w:val="18"/>
              </w:rPr>
              <w:t>gypte</w:t>
            </w:r>
            <w:r w:rsidRPr="008B3782">
              <w:rPr>
                <w:rFonts w:ascii="Verdana" w:hAnsi="Verdana"/>
                <w:b/>
                <w:bCs/>
                <w:sz w:val="18"/>
                <w:szCs w:val="18"/>
              </w:rPr>
              <w:t>,</w:t>
            </w:r>
            <w:r w:rsidR="00E537FF" w:rsidRPr="008B3782">
              <w:rPr>
                <w:rFonts w:ascii="Verdana" w:hAnsi="Verdana"/>
                <w:b/>
                <w:bCs/>
                <w:sz w:val="18"/>
                <w:szCs w:val="18"/>
              </w:rPr>
              <w:t xml:space="preserve"> </w:t>
            </w:r>
            <w:r w:rsidRPr="008B3782">
              <w:rPr>
                <w:rFonts w:ascii="Verdana" w:hAnsi="Verdana"/>
                <w:b/>
                <w:bCs/>
                <w:sz w:val="18"/>
                <w:szCs w:val="18"/>
              </w:rPr>
              <w:t>2</w:t>
            </w:r>
            <w:r w:rsidR="00FD7AA3" w:rsidRPr="008B3782">
              <w:rPr>
                <w:rFonts w:ascii="Verdana" w:hAnsi="Verdana"/>
                <w:b/>
                <w:bCs/>
                <w:sz w:val="18"/>
                <w:szCs w:val="18"/>
              </w:rPr>
              <w:t xml:space="preserve">8 octobre </w:t>
            </w:r>
            <w:r w:rsidR="00F10064" w:rsidRPr="008B3782">
              <w:rPr>
                <w:rFonts w:ascii="Verdana" w:hAnsi="Verdana"/>
                <w:b/>
                <w:bCs/>
                <w:sz w:val="18"/>
                <w:szCs w:val="18"/>
              </w:rPr>
              <w:t>–</w:t>
            </w:r>
            <w:r w:rsidR="00FD7AA3" w:rsidRPr="008B3782">
              <w:rPr>
                <w:rFonts w:ascii="Verdana" w:hAnsi="Verdana"/>
                <w:b/>
                <w:bCs/>
                <w:sz w:val="18"/>
                <w:szCs w:val="18"/>
              </w:rPr>
              <w:t xml:space="preserve"> </w:t>
            </w:r>
            <w:r w:rsidRPr="008B3782">
              <w:rPr>
                <w:rFonts w:ascii="Verdana" w:hAnsi="Verdana"/>
                <w:b/>
                <w:bCs/>
                <w:sz w:val="18"/>
                <w:szCs w:val="18"/>
              </w:rPr>
              <w:t>2</w:t>
            </w:r>
            <w:r w:rsidR="00FD7AA3" w:rsidRPr="008B3782">
              <w:rPr>
                <w:rFonts w:ascii="Verdana" w:hAnsi="Verdana"/>
                <w:b/>
                <w:bCs/>
                <w:sz w:val="18"/>
                <w:szCs w:val="18"/>
              </w:rPr>
              <w:t>2</w:t>
            </w:r>
            <w:r w:rsidRPr="008B3782">
              <w:rPr>
                <w:rFonts w:ascii="Verdana" w:hAnsi="Verdana"/>
                <w:b/>
                <w:bCs/>
                <w:sz w:val="18"/>
                <w:szCs w:val="18"/>
              </w:rPr>
              <w:t xml:space="preserve"> novembre 201</w:t>
            </w:r>
            <w:r w:rsidR="00FD7AA3" w:rsidRPr="008B3782">
              <w:rPr>
                <w:rFonts w:ascii="Verdana" w:hAnsi="Verdana"/>
                <w:b/>
                <w:bCs/>
                <w:sz w:val="18"/>
                <w:szCs w:val="18"/>
              </w:rPr>
              <w:t>9</w:t>
            </w:r>
          </w:p>
        </w:tc>
        <w:tc>
          <w:tcPr>
            <w:tcW w:w="3227" w:type="dxa"/>
          </w:tcPr>
          <w:p w14:paraId="07710FFE" w14:textId="77777777" w:rsidR="00BB1D82" w:rsidRPr="008B3782" w:rsidRDefault="000A55AE" w:rsidP="00176A1E">
            <w:pPr>
              <w:spacing w:before="0"/>
              <w:jc w:val="right"/>
            </w:pPr>
            <w:bookmarkStart w:id="0" w:name="ditulogo"/>
            <w:bookmarkEnd w:id="0"/>
            <w:r w:rsidRPr="008B3782">
              <w:rPr>
                <w:rFonts w:ascii="Verdana" w:hAnsi="Verdana"/>
                <w:b/>
                <w:bCs/>
                <w:noProof/>
                <w:lang w:eastAsia="zh-CN"/>
              </w:rPr>
              <w:drawing>
                <wp:inline distT="0" distB="0" distL="0" distR="0" wp14:anchorId="503C95D4" wp14:editId="3F4CD77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B3782" w14:paraId="043FC12B" w14:textId="77777777" w:rsidTr="00B04F8C">
        <w:trPr>
          <w:cantSplit/>
        </w:trPr>
        <w:tc>
          <w:tcPr>
            <w:tcW w:w="6804" w:type="dxa"/>
            <w:tcBorders>
              <w:bottom w:val="single" w:sz="12" w:space="0" w:color="auto"/>
            </w:tcBorders>
          </w:tcPr>
          <w:p w14:paraId="04D4A767" w14:textId="77777777" w:rsidR="00BB1D82" w:rsidRPr="008B3782" w:rsidRDefault="00BB1D82" w:rsidP="00176A1E">
            <w:pPr>
              <w:spacing w:before="0" w:after="48"/>
              <w:rPr>
                <w:b/>
                <w:smallCaps/>
                <w:szCs w:val="24"/>
              </w:rPr>
            </w:pPr>
            <w:bookmarkStart w:id="1" w:name="dhead"/>
          </w:p>
        </w:tc>
        <w:tc>
          <w:tcPr>
            <w:tcW w:w="3227" w:type="dxa"/>
            <w:tcBorders>
              <w:bottom w:val="single" w:sz="12" w:space="0" w:color="auto"/>
            </w:tcBorders>
          </w:tcPr>
          <w:p w14:paraId="6D26CAD2" w14:textId="77777777" w:rsidR="00BB1D82" w:rsidRPr="008B3782" w:rsidRDefault="00BB1D82" w:rsidP="00176A1E">
            <w:pPr>
              <w:spacing w:before="0"/>
              <w:rPr>
                <w:rFonts w:ascii="Verdana" w:hAnsi="Verdana"/>
                <w:szCs w:val="24"/>
              </w:rPr>
            </w:pPr>
          </w:p>
        </w:tc>
      </w:tr>
      <w:tr w:rsidR="00BB1D82" w:rsidRPr="008B3782" w14:paraId="5F7D756A" w14:textId="77777777" w:rsidTr="00B04F8C">
        <w:trPr>
          <w:cantSplit/>
        </w:trPr>
        <w:tc>
          <w:tcPr>
            <w:tcW w:w="6804" w:type="dxa"/>
            <w:tcBorders>
              <w:top w:val="single" w:sz="12" w:space="0" w:color="auto"/>
            </w:tcBorders>
          </w:tcPr>
          <w:p w14:paraId="1CE2513C" w14:textId="77777777" w:rsidR="00BB1D82" w:rsidRPr="008B3782" w:rsidRDefault="00BB1D82" w:rsidP="00176A1E">
            <w:pPr>
              <w:spacing w:before="0" w:after="48"/>
              <w:rPr>
                <w:rFonts w:ascii="Verdana" w:hAnsi="Verdana"/>
                <w:b/>
                <w:smallCaps/>
                <w:sz w:val="20"/>
              </w:rPr>
            </w:pPr>
          </w:p>
        </w:tc>
        <w:tc>
          <w:tcPr>
            <w:tcW w:w="3227" w:type="dxa"/>
            <w:tcBorders>
              <w:top w:val="single" w:sz="12" w:space="0" w:color="auto"/>
            </w:tcBorders>
          </w:tcPr>
          <w:p w14:paraId="315330A2" w14:textId="77777777" w:rsidR="00BB1D82" w:rsidRPr="008B3782" w:rsidRDefault="00BB1D82" w:rsidP="00176A1E">
            <w:pPr>
              <w:spacing w:before="0"/>
              <w:rPr>
                <w:rFonts w:ascii="Verdana" w:hAnsi="Verdana"/>
                <w:sz w:val="20"/>
              </w:rPr>
            </w:pPr>
          </w:p>
        </w:tc>
      </w:tr>
      <w:tr w:rsidR="00BB1D82" w:rsidRPr="008B3782" w14:paraId="2A0C4D54" w14:textId="77777777" w:rsidTr="00B04F8C">
        <w:trPr>
          <w:cantSplit/>
        </w:trPr>
        <w:tc>
          <w:tcPr>
            <w:tcW w:w="6804" w:type="dxa"/>
          </w:tcPr>
          <w:p w14:paraId="6B0E570C" w14:textId="77777777" w:rsidR="00BB1D82" w:rsidRPr="008B3782" w:rsidRDefault="006D4724" w:rsidP="00176A1E">
            <w:pPr>
              <w:spacing w:before="0"/>
              <w:rPr>
                <w:rFonts w:ascii="Verdana" w:hAnsi="Verdana"/>
                <w:b/>
                <w:sz w:val="20"/>
              </w:rPr>
            </w:pPr>
            <w:r w:rsidRPr="008B3782">
              <w:rPr>
                <w:rFonts w:ascii="Verdana" w:hAnsi="Verdana"/>
                <w:b/>
                <w:sz w:val="20"/>
              </w:rPr>
              <w:t>SÉANCE PLÉNIÈRE</w:t>
            </w:r>
          </w:p>
        </w:tc>
        <w:tc>
          <w:tcPr>
            <w:tcW w:w="3227" w:type="dxa"/>
          </w:tcPr>
          <w:p w14:paraId="202E44A6" w14:textId="77777777" w:rsidR="00BB1D82" w:rsidRPr="008B3782" w:rsidRDefault="006D4724" w:rsidP="00176A1E">
            <w:pPr>
              <w:spacing w:before="0"/>
              <w:rPr>
                <w:rFonts w:ascii="Verdana" w:hAnsi="Verdana"/>
                <w:sz w:val="20"/>
              </w:rPr>
            </w:pPr>
            <w:r w:rsidRPr="008B3782">
              <w:rPr>
                <w:rFonts w:ascii="Verdana" w:hAnsi="Verdana"/>
                <w:b/>
                <w:sz w:val="20"/>
              </w:rPr>
              <w:t>Addendum 12 au</w:t>
            </w:r>
            <w:r w:rsidRPr="008B3782">
              <w:rPr>
                <w:rFonts w:ascii="Verdana" w:hAnsi="Verdana"/>
                <w:b/>
                <w:sz w:val="20"/>
              </w:rPr>
              <w:br/>
              <w:t>Document 11(Add.24)</w:t>
            </w:r>
            <w:r w:rsidR="00BB1D82" w:rsidRPr="008B3782">
              <w:rPr>
                <w:rFonts w:ascii="Verdana" w:hAnsi="Verdana"/>
                <w:b/>
                <w:sz w:val="20"/>
              </w:rPr>
              <w:t>-</w:t>
            </w:r>
            <w:r w:rsidRPr="008B3782">
              <w:rPr>
                <w:rFonts w:ascii="Verdana" w:hAnsi="Verdana"/>
                <w:b/>
                <w:sz w:val="20"/>
              </w:rPr>
              <w:t>F</w:t>
            </w:r>
          </w:p>
        </w:tc>
      </w:tr>
      <w:bookmarkEnd w:id="1"/>
      <w:tr w:rsidR="00690C7B" w:rsidRPr="008B3782" w14:paraId="3E661183" w14:textId="77777777" w:rsidTr="00B04F8C">
        <w:trPr>
          <w:cantSplit/>
        </w:trPr>
        <w:tc>
          <w:tcPr>
            <w:tcW w:w="6804" w:type="dxa"/>
          </w:tcPr>
          <w:p w14:paraId="34FF4BC2" w14:textId="77777777" w:rsidR="00690C7B" w:rsidRPr="008B3782" w:rsidRDefault="00690C7B" w:rsidP="00176A1E">
            <w:pPr>
              <w:spacing w:before="0"/>
              <w:rPr>
                <w:rFonts w:ascii="Verdana" w:hAnsi="Verdana"/>
                <w:b/>
                <w:sz w:val="20"/>
              </w:rPr>
            </w:pPr>
          </w:p>
        </w:tc>
        <w:tc>
          <w:tcPr>
            <w:tcW w:w="3227" w:type="dxa"/>
          </w:tcPr>
          <w:p w14:paraId="410A2CD0" w14:textId="75C5BF99" w:rsidR="00690C7B" w:rsidRPr="008B3782" w:rsidRDefault="007774F9" w:rsidP="00176A1E">
            <w:pPr>
              <w:spacing w:before="0"/>
              <w:rPr>
                <w:rFonts w:ascii="Verdana" w:hAnsi="Verdana"/>
                <w:b/>
                <w:sz w:val="20"/>
              </w:rPr>
            </w:pPr>
            <w:r w:rsidRPr="008B3782">
              <w:rPr>
                <w:rFonts w:ascii="Verdana" w:hAnsi="Verdana"/>
                <w:b/>
                <w:sz w:val="20"/>
              </w:rPr>
              <w:t>13</w:t>
            </w:r>
            <w:r w:rsidR="00690C7B" w:rsidRPr="008B3782">
              <w:rPr>
                <w:rFonts w:ascii="Verdana" w:hAnsi="Verdana"/>
                <w:b/>
                <w:sz w:val="20"/>
              </w:rPr>
              <w:t xml:space="preserve"> septembre 2019</w:t>
            </w:r>
          </w:p>
        </w:tc>
      </w:tr>
      <w:tr w:rsidR="00690C7B" w:rsidRPr="008B3782" w14:paraId="00401636" w14:textId="77777777" w:rsidTr="00B04F8C">
        <w:trPr>
          <w:cantSplit/>
        </w:trPr>
        <w:tc>
          <w:tcPr>
            <w:tcW w:w="6804" w:type="dxa"/>
          </w:tcPr>
          <w:p w14:paraId="6CBAA248" w14:textId="77777777" w:rsidR="00690C7B" w:rsidRPr="008B3782" w:rsidRDefault="00690C7B" w:rsidP="00176A1E">
            <w:pPr>
              <w:spacing w:before="0" w:after="48"/>
              <w:rPr>
                <w:rFonts w:ascii="Verdana" w:hAnsi="Verdana"/>
                <w:b/>
                <w:smallCaps/>
                <w:sz w:val="20"/>
              </w:rPr>
            </w:pPr>
          </w:p>
        </w:tc>
        <w:tc>
          <w:tcPr>
            <w:tcW w:w="3227" w:type="dxa"/>
          </w:tcPr>
          <w:p w14:paraId="4EF0A03D" w14:textId="0EB9DF07" w:rsidR="00690C7B" w:rsidRPr="008B3782" w:rsidRDefault="00690C7B" w:rsidP="00176A1E">
            <w:pPr>
              <w:spacing w:before="0"/>
              <w:rPr>
                <w:rFonts w:ascii="Verdana" w:hAnsi="Verdana"/>
                <w:b/>
                <w:sz w:val="20"/>
              </w:rPr>
            </w:pPr>
            <w:r w:rsidRPr="008B3782">
              <w:rPr>
                <w:rFonts w:ascii="Verdana" w:hAnsi="Verdana"/>
                <w:b/>
                <w:sz w:val="20"/>
              </w:rPr>
              <w:t>Original: anglais</w:t>
            </w:r>
            <w:r w:rsidR="007774F9" w:rsidRPr="008B3782">
              <w:rPr>
                <w:rFonts w:ascii="Verdana" w:hAnsi="Verdana"/>
                <w:b/>
                <w:sz w:val="20"/>
              </w:rPr>
              <w:t>/espagnol</w:t>
            </w:r>
          </w:p>
        </w:tc>
      </w:tr>
      <w:tr w:rsidR="00690C7B" w:rsidRPr="008B3782" w14:paraId="73B7163E" w14:textId="77777777" w:rsidTr="00C11970">
        <w:trPr>
          <w:cantSplit/>
        </w:trPr>
        <w:tc>
          <w:tcPr>
            <w:tcW w:w="10031" w:type="dxa"/>
            <w:gridSpan w:val="2"/>
          </w:tcPr>
          <w:p w14:paraId="35A0C51F" w14:textId="77777777" w:rsidR="00690C7B" w:rsidRPr="008B3782" w:rsidRDefault="00690C7B" w:rsidP="00176A1E">
            <w:pPr>
              <w:spacing w:before="0"/>
              <w:rPr>
                <w:rFonts w:ascii="Verdana" w:hAnsi="Verdana"/>
                <w:b/>
                <w:sz w:val="20"/>
              </w:rPr>
            </w:pPr>
          </w:p>
        </w:tc>
      </w:tr>
      <w:tr w:rsidR="00690C7B" w:rsidRPr="008B3782" w14:paraId="318F357E" w14:textId="77777777" w:rsidTr="0050008E">
        <w:trPr>
          <w:cantSplit/>
        </w:trPr>
        <w:tc>
          <w:tcPr>
            <w:tcW w:w="10031" w:type="dxa"/>
            <w:gridSpan w:val="2"/>
          </w:tcPr>
          <w:p w14:paraId="51DD4AE6" w14:textId="77777777" w:rsidR="00690C7B" w:rsidRPr="008B3782" w:rsidRDefault="00690C7B" w:rsidP="00176A1E">
            <w:pPr>
              <w:pStyle w:val="Source"/>
            </w:pPr>
            <w:bookmarkStart w:id="2" w:name="dsource" w:colFirst="0" w:colLast="0"/>
            <w:r w:rsidRPr="008B3782">
              <w:t>États Membres de la Commission interaméricaine des télécommunications (CITEL)</w:t>
            </w:r>
          </w:p>
        </w:tc>
      </w:tr>
      <w:tr w:rsidR="00690C7B" w:rsidRPr="008B3782" w14:paraId="59440D1D" w14:textId="77777777" w:rsidTr="0050008E">
        <w:trPr>
          <w:cantSplit/>
        </w:trPr>
        <w:tc>
          <w:tcPr>
            <w:tcW w:w="10031" w:type="dxa"/>
            <w:gridSpan w:val="2"/>
          </w:tcPr>
          <w:p w14:paraId="5E03F7BE" w14:textId="17D5E1D8" w:rsidR="00690C7B" w:rsidRPr="008B3782" w:rsidRDefault="007774F9" w:rsidP="00176A1E">
            <w:pPr>
              <w:pStyle w:val="Title1"/>
            </w:pPr>
            <w:bookmarkStart w:id="3" w:name="dtitle1" w:colFirst="0" w:colLast="0"/>
            <w:bookmarkEnd w:id="2"/>
            <w:r w:rsidRPr="008B3782">
              <w:t>PROPOSITIONS POUR LES TRAVAUX DE LA CONFéRENCE</w:t>
            </w:r>
          </w:p>
        </w:tc>
      </w:tr>
      <w:tr w:rsidR="00690C7B" w:rsidRPr="008B3782" w14:paraId="04A2757E" w14:textId="77777777" w:rsidTr="0050008E">
        <w:trPr>
          <w:cantSplit/>
        </w:trPr>
        <w:tc>
          <w:tcPr>
            <w:tcW w:w="10031" w:type="dxa"/>
            <w:gridSpan w:val="2"/>
          </w:tcPr>
          <w:p w14:paraId="22B7EA41" w14:textId="77777777" w:rsidR="00690C7B" w:rsidRPr="008B3782" w:rsidRDefault="00690C7B" w:rsidP="00176A1E">
            <w:pPr>
              <w:pStyle w:val="Title2"/>
            </w:pPr>
            <w:bookmarkStart w:id="4" w:name="dtitle2" w:colFirst="0" w:colLast="0"/>
            <w:bookmarkEnd w:id="3"/>
          </w:p>
        </w:tc>
      </w:tr>
      <w:tr w:rsidR="00690C7B" w:rsidRPr="008B3782" w14:paraId="024F2170" w14:textId="77777777" w:rsidTr="0050008E">
        <w:trPr>
          <w:cantSplit/>
        </w:trPr>
        <w:tc>
          <w:tcPr>
            <w:tcW w:w="10031" w:type="dxa"/>
            <w:gridSpan w:val="2"/>
          </w:tcPr>
          <w:p w14:paraId="678206E3" w14:textId="77777777" w:rsidR="00690C7B" w:rsidRPr="008B3782" w:rsidRDefault="00690C7B" w:rsidP="00176A1E">
            <w:pPr>
              <w:pStyle w:val="Agendaitem"/>
              <w:rPr>
                <w:lang w:val="fr-FR"/>
              </w:rPr>
            </w:pPr>
            <w:bookmarkStart w:id="5" w:name="dtitle3" w:colFirst="0" w:colLast="0"/>
            <w:bookmarkEnd w:id="4"/>
            <w:r w:rsidRPr="008B3782">
              <w:rPr>
                <w:lang w:val="fr-FR"/>
              </w:rPr>
              <w:t>Point 10 de l'ordre du jour</w:t>
            </w:r>
          </w:p>
        </w:tc>
      </w:tr>
    </w:tbl>
    <w:bookmarkEnd w:id="5"/>
    <w:p w14:paraId="11AFD94F" w14:textId="77777777" w:rsidR="001C0E40" w:rsidRPr="008B3782" w:rsidRDefault="002630B2" w:rsidP="00A2595B">
      <w:pPr>
        <w:pStyle w:val="Normalaftertitle"/>
      </w:pPr>
      <w:r w:rsidRPr="008B3782">
        <w:t>10</w:t>
      </w:r>
      <w:r w:rsidRPr="008B3782">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14:paraId="5F7C63E3" w14:textId="6CE3188B" w:rsidR="007774F9" w:rsidRPr="008B3782" w:rsidRDefault="007774F9" w:rsidP="00176A1E">
      <w:pPr>
        <w:pStyle w:val="Title4"/>
        <w:rPr>
          <w:sz w:val="24"/>
        </w:rPr>
      </w:pPr>
      <w:r w:rsidRPr="008B3782">
        <w:t>A</w:t>
      </w:r>
      <w:r w:rsidR="003646E4">
        <w:t>)</w:t>
      </w:r>
      <w:r w:rsidR="00A2595B">
        <w:t xml:space="preserve"> </w:t>
      </w:r>
      <w:r w:rsidRPr="008B3782">
        <w:t>BAND</w:t>
      </w:r>
      <w:r w:rsidR="00534942" w:rsidRPr="008B3782">
        <w:t>E</w:t>
      </w:r>
      <w:r w:rsidRPr="008B3782">
        <w:t xml:space="preserve"> 17</w:t>
      </w:r>
      <w:r w:rsidR="00AC4EAC" w:rsidRPr="008B3782">
        <w:t>,</w:t>
      </w:r>
      <w:r w:rsidRPr="008B3782">
        <w:t>3-17</w:t>
      </w:r>
      <w:r w:rsidR="00AC4EAC" w:rsidRPr="008B3782">
        <w:t>,</w:t>
      </w:r>
      <w:r w:rsidRPr="008B3782">
        <w:t>7 GHz</w:t>
      </w:r>
    </w:p>
    <w:p w14:paraId="4210D3BB" w14:textId="0C78D3AD" w:rsidR="007774F9" w:rsidRPr="008B3782" w:rsidRDefault="00534942" w:rsidP="00176A1E">
      <w:pPr>
        <w:pStyle w:val="Headingb"/>
      </w:pPr>
      <w:r w:rsidRPr="008B3782">
        <w:t>Considérations générales</w:t>
      </w:r>
    </w:p>
    <w:p w14:paraId="1A9785BA" w14:textId="67AB09A3" w:rsidR="007774F9" w:rsidRPr="008B3782" w:rsidRDefault="00534942" w:rsidP="00176A1E">
      <w:r w:rsidRPr="008B3782">
        <w:t>La demande du service fixe par satellite (SFS</w:t>
      </w:r>
      <w:r w:rsidR="00B04F8C" w:rsidRPr="008B3782">
        <w:t>)</w:t>
      </w:r>
      <w:r w:rsidRPr="008B3782">
        <w:t xml:space="preserve"> dans la bande Ka pour les applications large bande fournies par des </w:t>
      </w:r>
      <w:r w:rsidRPr="008B3782">
        <w:rPr>
          <w:color w:val="000000"/>
        </w:rPr>
        <w:t>satellites</w:t>
      </w:r>
      <w:r w:rsidR="00B04F8C" w:rsidRPr="008B3782">
        <w:rPr>
          <w:color w:val="000000"/>
        </w:rPr>
        <w:t xml:space="preserve"> OSG</w:t>
      </w:r>
      <w:r w:rsidRPr="008B3782">
        <w:rPr>
          <w:color w:val="000000"/>
        </w:rPr>
        <w:t xml:space="preserve"> ne cesse de croître, </w:t>
      </w:r>
      <w:r w:rsidR="00B04F8C" w:rsidRPr="008B3782">
        <w:rPr>
          <w:color w:val="000000"/>
        </w:rPr>
        <w:t>compte tenu de</w:t>
      </w:r>
      <w:r w:rsidRPr="008B3782">
        <w:rPr>
          <w:color w:val="000000"/>
        </w:rPr>
        <w:t xml:space="preserve"> l'avènement des satellites à haut débit </w:t>
      </w:r>
      <w:r w:rsidRPr="008B3782">
        <w:t xml:space="preserve">(HTS) </w:t>
      </w:r>
      <w:r w:rsidRPr="008B3782">
        <w:rPr>
          <w:color w:val="000000"/>
        </w:rPr>
        <w:t>et des satellites à très haut débit</w:t>
      </w:r>
      <w:r w:rsidR="007774F9" w:rsidRPr="008B3782">
        <w:t xml:space="preserve"> </w:t>
      </w:r>
      <w:r w:rsidRPr="008B3782">
        <w:t>(</w:t>
      </w:r>
      <w:r w:rsidR="007774F9" w:rsidRPr="008B3782">
        <w:t xml:space="preserve">VHTS). </w:t>
      </w:r>
      <w:r w:rsidRPr="008B3782">
        <w:t>Ces systèmes, qui reposent sur une plus grande efficacité d</w:t>
      </w:r>
      <w:r w:rsidR="00FF5FF6" w:rsidRPr="008B3782">
        <w:t>'</w:t>
      </w:r>
      <w:r w:rsidRPr="008B3782">
        <w:t>utilisation du spectre découlant notamment de la réutilisation des fréquences, permettent d</w:t>
      </w:r>
      <w:r w:rsidR="00FF5FF6" w:rsidRPr="008B3782">
        <w:t>'</w:t>
      </w:r>
      <w:r w:rsidRPr="008B3782">
        <w:t>assurer une connectivité dans les zones isolées et contribuent à la réduction de la fracture numérique.</w:t>
      </w:r>
    </w:p>
    <w:p w14:paraId="41F1ED6A" w14:textId="4663F7B2" w:rsidR="007774F9" w:rsidRPr="008B3782" w:rsidRDefault="003503A8" w:rsidP="00176A1E">
      <w:r w:rsidRPr="008B3782">
        <w:t>La bande 17</w:t>
      </w:r>
      <w:r w:rsidR="00FF5FF6" w:rsidRPr="008B3782">
        <w:t>,</w:t>
      </w:r>
      <w:r w:rsidRPr="008B3782">
        <w:t>3-17</w:t>
      </w:r>
      <w:r w:rsidR="00FF5FF6" w:rsidRPr="008B3782">
        <w:t>,</w:t>
      </w:r>
      <w:r w:rsidRPr="008B3782">
        <w:t>7 GHz est attribuée dans la Région 2 à titre primaire au service de radiodiffusion par satellite (SRS) dans le sens espace vers Terre, et au service</w:t>
      </w:r>
      <w:r w:rsidR="00075309" w:rsidRPr="008B3782">
        <w:t xml:space="preserve"> </w:t>
      </w:r>
      <w:r w:rsidRPr="008B3782">
        <w:t xml:space="preserve">fixe par satellite (SFS) dans le sens Terre vers espace, limité aux liaisons de connexion </w:t>
      </w:r>
      <w:r w:rsidRPr="008B3782">
        <w:rPr>
          <w:color w:val="000000"/>
        </w:rPr>
        <w:t>pour le</w:t>
      </w:r>
      <w:r w:rsidRPr="008B3782">
        <w:t xml:space="preserve"> service de radiodiffusion par satellite, sous réserve de l</w:t>
      </w:r>
      <w:r w:rsidR="00FF5FF6" w:rsidRPr="008B3782">
        <w:t>'</w:t>
      </w:r>
      <w:r w:rsidRPr="008B3782">
        <w:t>application des procédures prévues dans l</w:t>
      </w:r>
      <w:r w:rsidR="00FF5FF6" w:rsidRPr="008B3782">
        <w:t>'</w:t>
      </w:r>
      <w:r w:rsidRPr="008B3782">
        <w:t xml:space="preserve">Appendice </w:t>
      </w:r>
      <w:r w:rsidRPr="008B3782">
        <w:rPr>
          <w:b/>
          <w:bCs/>
        </w:rPr>
        <w:t>30A</w:t>
      </w:r>
      <w:r w:rsidRPr="008B3782">
        <w:t xml:space="preserve"> </w:t>
      </w:r>
      <w:r w:rsidR="007774F9" w:rsidRPr="008B3782">
        <w:t>(</w:t>
      </w:r>
      <w:r w:rsidRPr="008B3782">
        <w:t xml:space="preserve">le renvoi </w:t>
      </w:r>
      <w:r w:rsidRPr="008B3782">
        <w:rPr>
          <w:b/>
          <w:bCs/>
        </w:rPr>
        <w:t>5.5.16</w:t>
      </w:r>
      <w:r w:rsidRPr="008B3782">
        <w:t xml:space="preserve"> s</w:t>
      </w:r>
      <w:r w:rsidR="00FF5FF6" w:rsidRPr="008B3782">
        <w:t>'</w:t>
      </w:r>
      <w:r w:rsidRPr="008B3782">
        <w:t>applique</w:t>
      </w:r>
      <w:r w:rsidR="007774F9" w:rsidRPr="008B3782">
        <w:t xml:space="preserve">). </w:t>
      </w:r>
      <w:r w:rsidRPr="008B3782">
        <w:t xml:space="preserve">La bande est, de plus, attribuée à titre secondaire au service de radiolocalisation (les renvois </w:t>
      </w:r>
      <w:r w:rsidRPr="008B3782">
        <w:rPr>
          <w:b/>
          <w:bCs/>
        </w:rPr>
        <w:t>5.514</w:t>
      </w:r>
      <w:r w:rsidRPr="008B3782">
        <w:t xml:space="preserve"> et </w:t>
      </w:r>
      <w:r w:rsidRPr="008B3782">
        <w:rPr>
          <w:b/>
          <w:bCs/>
        </w:rPr>
        <w:t>5.515</w:t>
      </w:r>
      <w:r w:rsidRPr="008B3782">
        <w:t xml:space="preserve"> s</w:t>
      </w:r>
      <w:r w:rsidR="00FF5FF6" w:rsidRPr="008B3782">
        <w:t>'</w:t>
      </w:r>
      <w:r w:rsidRPr="008B3782">
        <w:t>appliquent également).</w:t>
      </w:r>
    </w:p>
    <w:p w14:paraId="792DC1DD" w14:textId="64FB4543" w:rsidR="007774F9" w:rsidRPr="008B3782" w:rsidRDefault="005F566F" w:rsidP="00176A1E">
      <w:r w:rsidRPr="008B3782">
        <w:t>Bien que dans la Région 2, la bande de fréquences dans le sens espace vers Terre ne soit attribuée qu</w:t>
      </w:r>
      <w:r w:rsidR="00FF5FF6" w:rsidRPr="008B3782">
        <w:t>'</w:t>
      </w:r>
      <w:r w:rsidRPr="008B3782">
        <w:t>au service de radiodiffusion par satellite, l</w:t>
      </w:r>
      <w:r w:rsidR="00FF5FF6" w:rsidRPr="008B3782">
        <w:t>'</w:t>
      </w:r>
      <w:r w:rsidRPr="008B3782">
        <w:t>exploitation du service fixe par satellite dans ce sens de transmission est déjà envisagée dans d</w:t>
      </w:r>
      <w:r w:rsidR="00FF5FF6" w:rsidRPr="008B3782">
        <w:t>'</w:t>
      </w:r>
      <w:r w:rsidRPr="008B3782">
        <w:t>autres Régions.</w:t>
      </w:r>
      <w:r w:rsidR="00CF7937" w:rsidRPr="008B3782">
        <w:t xml:space="preserve"> En outre, il convient de noter que tous les services bénéficiant d</w:t>
      </w:r>
      <w:r w:rsidR="00FF5FF6" w:rsidRPr="008B3782">
        <w:t>'</w:t>
      </w:r>
      <w:r w:rsidR="00CF7937" w:rsidRPr="008B3782">
        <w:t>attributions à titre primaire dans la bande à l</w:t>
      </w:r>
      <w:r w:rsidR="00FF5FF6" w:rsidRPr="008B3782">
        <w:t>'</w:t>
      </w:r>
      <w:r w:rsidR="00CF7937" w:rsidRPr="008B3782">
        <w:t>échelle mondiale</w:t>
      </w:r>
      <w:r w:rsidR="00361278" w:rsidRPr="008B3782">
        <w:t xml:space="preserve"> </w:t>
      </w:r>
      <w:r w:rsidR="00CF7937" w:rsidRPr="008B3782">
        <w:t>sont conçus pour des applications satellitaires</w:t>
      </w:r>
      <w:r w:rsidR="007774F9" w:rsidRPr="008B3782">
        <w:t xml:space="preserve"> (</w:t>
      </w:r>
      <w:r w:rsidR="003503A8" w:rsidRPr="008B3782">
        <w:t>SRS</w:t>
      </w:r>
      <w:r w:rsidR="007774F9" w:rsidRPr="008B3782">
        <w:t xml:space="preserve"> o</w:t>
      </w:r>
      <w:r w:rsidR="00361278" w:rsidRPr="008B3782">
        <w:t xml:space="preserve">u </w:t>
      </w:r>
      <w:r w:rsidR="003503A8" w:rsidRPr="008B3782">
        <w:t>SFS</w:t>
      </w:r>
      <w:r w:rsidR="007774F9" w:rsidRPr="008B3782">
        <w:t xml:space="preserve"> </w:t>
      </w:r>
      <w:r w:rsidR="00361278" w:rsidRPr="008B3782">
        <w:t>dans des sens de transmission différents).</w:t>
      </w:r>
    </w:p>
    <w:p w14:paraId="5B00627D" w14:textId="77777777" w:rsidR="00A2595B" w:rsidRDefault="00A2595B" w:rsidP="00176A1E">
      <w:r>
        <w:br w:type="page"/>
      </w:r>
    </w:p>
    <w:p w14:paraId="23DD1D7A" w14:textId="38CF4EB8" w:rsidR="007774F9" w:rsidRDefault="00361278" w:rsidP="00176A1E">
      <w:r w:rsidRPr="008B3782">
        <w:lastRenderedPageBreak/>
        <w:t>La prise en compte de cette bande dans le sens espace vers Terre pour le SFS</w:t>
      </w:r>
      <w:r w:rsidR="00B04F8C" w:rsidRPr="008B3782">
        <w:t>,</w:t>
      </w:r>
      <w:r w:rsidRPr="008B3782">
        <w:t xml:space="preserve"> en plus du SRS</w:t>
      </w:r>
      <w:r w:rsidR="00B04F8C" w:rsidRPr="008B3782">
        <w:t>,</w:t>
      </w:r>
      <w:r w:rsidRPr="008B3782">
        <w:t xml:space="preserve"> dans la Région 2 permettrait de faire face à cet accroissement de la demande de connectivité dans la bande Ka pour les applications large bande, qui ne seront peut-être pas disponibles dans le cadre d</w:t>
      </w:r>
      <w:r w:rsidR="00FF5FF6" w:rsidRPr="008B3782">
        <w:t>'</w:t>
      </w:r>
      <w:r w:rsidRPr="008B3782">
        <w:t>une attribution au SRS. Il en résulterait également une plus grande souplesse dans la conception de nouveaux systèmes à satellites et une meilleure efficacité d</w:t>
      </w:r>
      <w:r w:rsidR="00FF5FF6" w:rsidRPr="008B3782">
        <w:t>'</w:t>
      </w:r>
      <w:r w:rsidRPr="008B3782">
        <w:t>utilisation du spectre</w:t>
      </w:r>
      <w:r w:rsidR="00FF5FF6" w:rsidRPr="008B3782">
        <w:t>.</w:t>
      </w:r>
    </w:p>
    <w:p w14:paraId="040BC59C" w14:textId="77777777" w:rsidR="00A2595B" w:rsidRPr="008B3782" w:rsidRDefault="00A2595B" w:rsidP="00176A1E"/>
    <w:p w14:paraId="37AE5144" w14:textId="77777777" w:rsidR="0015203F" w:rsidRPr="008B3782" w:rsidRDefault="0015203F" w:rsidP="00176A1E">
      <w:pPr>
        <w:tabs>
          <w:tab w:val="clear" w:pos="1134"/>
          <w:tab w:val="clear" w:pos="1871"/>
          <w:tab w:val="clear" w:pos="2268"/>
        </w:tabs>
        <w:overflowPunct/>
        <w:autoSpaceDE/>
        <w:autoSpaceDN/>
        <w:adjustRightInd/>
        <w:spacing w:before="0"/>
        <w:textAlignment w:val="auto"/>
      </w:pPr>
      <w:r w:rsidRPr="008B3782">
        <w:br w:type="page"/>
      </w:r>
    </w:p>
    <w:p w14:paraId="357075AB" w14:textId="77777777" w:rsidR="007964C7" w:rsidRPr="008B3782" w:rsidRDefault="002630B2" w:rsidP="00176A1E">
      <w:pPr>
        <w:pStyle w:val="Proposal"/>
      </w:pPr>
      <w:r w:rsidRPr="008B3782">
        <w:lastRenderedPageBreak/>
        <w:t>ADD</w:t>
      </w:r>
      <w:r w:rsidRPr="008B3782">
        <w:tab/>
        <w:t>IAP/11A24A12/1</w:t>
      </w:r>
    </w:p>
    <w:p w14:paraId="365F0467" w14:textId="7B15B9B0" w:rsidR="007964C7" w:rsidRPr="008B3782" w:rsidRDefault="002630B2" w:rsidP="00176A1E">
      <w:pPr>
        <w:pStyle w:val="ResNo"/>
      </w:pPr>
      <w:r w:rsidRPr="008B3782">
        <w:t>Projet de nouvelle Résolution [IAP</w:t>
      </w:r>
      <w:r w:rsidR="007774F9" w:rsidRPr="008B3782">
        <w:t>/10(L)-2023] (</w:t>
      </w:r>
      <w:r w:rsidR="003503A8" w:rsidRPr="008B3782">
        <w:t>CMR</w:t>
      </w:r>
      <w:r w:rsidR="007774F9" w:rsidRPr="008B3782">
        <w:t>-19)</w:t>
      </w:r>
      <w:r w:rsidRPr="008B3782">
        <w:t>]</w:t>
      </w:r>
    </w:p>
    <w:p w14:paraId="649F29ED" w14:textId="45550961" w:rsidR="00B7795F" w:rsidRPr="008B3782" w:rsidRDefault="00B7795F" w:rsidP="00176A1E">
      <w:pPr>
        <w:pStyle w:val="Restitle"/>
      </w:pPr>
      <w:r w:rsidRPr="008B3782">
        <w:t>Ordre du jour de la Conférence mondiale des radiocommunications de 2023</w:t>
      </w:r>
    </w:p>
    <w:p w14:paraId="77E1543E" w14:textId="157D7FE4" w:rsidR="007964C7" w:rsidRPr="008B3782" w:rsidRDefault="00B7795F" w:rsidP="00176A1E">
      <w:pPr>
        <w:pStyle w:val="Normalaftertitle"/>
      </w:pPr>
      <w:r w:rsidRPr="008B3782">
        <w:t>La Conférence mondiale des radiocommunications (</w:t>
      </w:r>
      <w:r w:rsidR="00B04F8C" w:rsidRPr="008B3782">
        <w:t>C</w:t>
      </w:r>
      <w:r w:rsidRPr="008B3782">
        <w:t xml:space="preserve">harm el </w:t>
      </w:r>
      <w:r w:rsidR="00B04F8C" w:rsidRPr="008B3782">
        <w:t>C</w:t>
      </w:r>
      <w:r w:rsidRPr="008B3782">
        <w:t>heikh, 2019),</w:t>
      </w:r>
    </w:p>
    <w:p w14:paraId="3408E698" w14:textId="4107D2F6" w:rsidR="00B7795F" w:rsidRPr="008B3782" w:rsidRDefault="00B7795F" w:rsidP="00176A1E">
      <w:r w:rsidRPr="008B3782">
        <w:t>...</w:t>
      </w:r>
    </w:p>
    <w:p w14:paraId="6434FCC9" w14:textId="412377F6" w:rsidR="00B7795F" w:rsidRPr="008B3782" w:rsidRDefault="00B7795F" w:rsidP="00176A1E">
      <w:r w:rsidRPr="008B3782">
        <w:rPr>
          <w:b/>
        </w:rPr>
        <w:t>X.X</w:t>
      </w:r>
      <w:r w:rsidRPr="008B3782">
        <w:rPr>
          <w:b/>
        </w:rPr>
        <w:tab/>
      </w:r>
      <w:r w:rsidR="00F921C0" w:rsidRPr="008B3782">
        <w:rPr>
          <w:color w:val="000000"/>
        </w:rPr>
        <w:t>envisager une nouvelle attribution à titre primaire au service fixe par satellite dans le</w:t>
      </w:r>
      <w:r w:rsidR="00A2595B">
        <w:rPr>
          <w:color w:val="000000"/>
        </w:rPr>
        <w:t> </w:t>
      </w:r>
      <w:r w:rsidR="00F921C0" w:rsidRPr="008B3782">
        <w:rPr>
          <w:color w:val="000000"/>
        </w:rPr>
        <w:t xml:space="preserve">sens espace vers Terre dans la bande de fréquences </w:t>
      </w:r>
      <w:r w:rsidRPr="008B3782">
        <w:t>17</w:t>
      </w:r>
      <w:r w:rsidR="00FF5FF6" w:rsidRPr="008B3782">
        <w:t>,</w:t>
      </w:r>
      <w:r w:rsidRPr="008B3782">
        <w:t>3-17</w:t>
      </w:r>
      <w:r w:rsidR="00FF5FF6" w:rsidRPr="008B3782">
        <w:t>,</w:t>
      </w:r>
      <w:r w:rsidRPr="008B3782">
        <w:t xml:space="preserve">7 GHz </w:t>
      </w:r>
      <w:r w:rsidR="00F921C0" w:rsidRPr="008B3782">
        <w:t>en Région</w:t>
      </w:r>
      <w:r w:rsidRPr="008B3782">
        <w:t xml:space="preserve"> 2, </w:t>
      </w:r>
      <w:r w:rsidR="00F921C0" w:rsidRPr="008B3782">
        <w:rPr>
          <w:color w:val="000000"/>
        </w:rPr>
        <w:t>tout en assurant</w:t>
      </w:r>
      <w:r w:rsidR="00A2595B">
        <w:rPr>
          <w:color w:val="000000"/>
        </w:rPr>
        <w:t> </w:t>
      </w:r>
      <w:r w:rsidR="00F921C0" w:rsidRPr="008B3782">
        <w:rPr>
          <w:color w:val="000000"/>
        </w:rPr>
        <w:t>la protection des services primaires existants, conformément à la Résolution</w:t>
      </w:r>
      <w:r w:rsidRPr="008B3782">
        <w:t xml:space="preserve"> </w:t>
      </w:r>
      <w:r w:rsidRPr="008B3782">
        <w:rPr>
          <w:b/>
        </w:rPr>
        <w:t>[IAP/10(L)</w:t>
      </w:r>
      <w:r w:rsidR="00FF5FF6" w:rsidRPr="008B3782">
        <w:rPr>
          <w:b/>
        </w:rPr>
        <w:noBreakHyphen/>
      </w:r>
      <w:r w:rsidRPr="008B3782">
        <w:rPr>
          <w:b/>
        </w:rPr>
        <w:t>17.3</w:t>
      </w:r>
      <w:r w:rsidR="00FF5FF6" w:rsidRPr="008B3782">
        <w:rPr>
          <w:b/>
        </w:rPr>
        <w:noBreakHyphen/>
      </w:r>
      <w:r w:rsidRPr="008B3782">
        <w:rPr>
          <w:b/>
        </w:rPr>
        <w:t>17.7s</w:t>
      </w:r>
      <w:r w:rsidR="00FF5FF6" w:rsidRPr="008B3782">
        <w:rPr>
          <w:b/>
        </w:rPr>
        <w:noBreakHyphen/>
      </w:r>
      <w:r w:rsidRPr="008B3782">
        <w:rPr>
          <w:b/>
        </w:rPr>
        <w:t>E] (</w:t>
      </w:r>
      <w:r w:rsidR="003503A8" w:rsidRPr="008B3782">
        <w:rPr>
          <w:b/>
        </w:rPr>
        <w:t>CMR</w:t>
      </w:r>
      <w:r w:rsidRPr="008B3782">
        <w:rPr>
          <w:b/>
        </w:rPr>
        <w:t>-19)</w:t>
      </w:r>
      <w:r w:rsidRPr="008B3782">
        <w:t>.</w:t>
      </w:r>
    </w:p>
    <w:p w14:paraId="1A69CC08" w14:textId="783B815B" w:rsidR="007964C7" w:rsidRPr="008B3782" w:rsidRDefault="002630B2" w:rsidP="00176A1E">
      <w:pPr>
        <w:pStyle w:val="Reasons"/>
      </w:pPr>
      <w:r w:rsidRPr="008B3782">
        <w:rPr>
          <w:b/>
        </w:rPr>
        <w:t>Motifs:</w:t>
      </w:r>
      <w:r w:rsidRPr="008B3782">
        <w:tab/>
      </w:r>
      <w:r w:rsidR="00066F42" w:rsidRPr="008B3782">
        <w:t>Permettre une plus grande efficacité d</w:t>
      </w:r>
      <w:r w:rsidR="00FF5FF6" w:rsidRPr="008B3782">
        <w:t>'</w:t>
      </w:r>
      <w:r w:rsidR="00066F42" w:rsidRPr="008B3782">
        <w:t>utilisation de la bande 17</w:t>
      </w:r>
      <w:r w:rsidR="00FF5FF6" w:rsidRPr="008B3782">
        <w:t>,</w:t>
      </w:r>
      <w:r w:rsidR="00066F42" w:rsidRPr="008B3782">
        <w:t>3</w:t>
      </w:r>
      <w:r w:rsidR="00A2595B">
        <w:t>-</w:t>
      </w:r>
      <w:r w:rsidR="00066F42" w:rsidRPr="008B3782">
        <w:t>17</w:t>
      </w:r>
      <w:r w:rsidR="00FF5FF6" w:rsidRPr="008B3782">
        <w:t>,</w:t>
      </w:r>
      <w:r w:rsidR="00066F42" w:rsidRPr="008B3782">
        <w:t>7 GHz pour les services par satellite.</w:t>
      </w:r>
    </w:p>
    <w:p w14:paraId="67C50BF9" w14:textId="77777777" w:rsidR="007964C7" w:rsidRPr="008B3782" w:rsidRDefault="002630B2" w:rsidP="00176A1E">
      <w:pPr>
        <w:pStyle w:val="Proposal"/>
      </w:pPr>
      <w:r w:rsidRPr="008B3782">
        <w:t>ADD</w:t>
      </w:r>
      <w:r w:rsidRPr="008B3782">
        <w:tab/>
        <w:t>IAP/11A24A12/2</w:t>
      </w:r>
    </w:p>
    <w:p w14:paraId="0D692AB9" w14:textId="082F62FF" w:rsidR="007964C7" w:rsidRPr="008B3782" w:rsidRDefault="002630B2" w:rsidP="00176A1E">
      <w:pPr>
        <w:pStyle w:val="ResNo"/>
      </w:pPr>
      <w:r w:rsidRPr="008B3782">
        <w:t>Projet de nouvelle Résolution [IAP</w:t>
      </w:r>
      <w:r w:rsidR="00B7795F" w:rsidRPr="008B3782">
        <w:t>/10(L)-17.3-17.7S-E</w:t>
      </w:r>
      <w:r w:rsidRPr="008B3782">
        <w:t>]</w:t>
      </w:r>
      <w:r w:rsidR="00B7795F" w:rsidRPr="008B3782">
        <w:t xml:space="preserve"> (</w:t>
      </w:r>
      <w:r w:rsidR="003503A8" w:rsidRPr="008B3782">
        <w:t>CMR</w:t>
      </w:r>
      <w:r w:rsidR="00B7795F" w:rsidRPr="008B3782">
        <w:t>-19)]</w:t>
      </w:r>
    </w:p>
    <w:p w14:paraId="7BD0F177" w14:textId="3132FC39" w:rsidR="007964C7" w:rsidRPr="008B3782" w:rsidRDefault="005E0F37" w:rsidP="00176A1E">
      <w:pPr>
        <w:pStyle w:val="Restitle"/>
      </w:pPr>
      <w:r w:rsidRPr="008B3782">
        <w:t xml:space="preserve">Attribution à titre primaire au service fixe par satellite dans le sens espace vers Terre dans </w:t>
      </w:r>
      <w:r w:rsidR="004B7D8A" w:rsidRPr="008B3782">
        <w:t xml:space="preserve">la bande de fréquences </w:t>
      </w:r>
      <w:r w:rsidRPr="008B3782">
        <w:t>17</w:t>
      </w:r>
      <w:r w:rsidR="00FF5FF6" w:rsidRPr="008B3782">
        <w:t>,</w:t>
      </w:r>
      <w:r w:rsidRPr="008B3782">
        <w:t>3-17</w:t>
      </w:r>
      <w:r w:rsidR="00FF5FF6" w:rsidRPr="008B3782">
        <w:t>,</w:t>
      </w:r>
      <w:r w:rsidRPr="008B3782">
        <w:t>7 GHz en Région 2</w:t>
      </w:r>
    </w:p>
    <w:p w14:paraId="7F1BAE14" w14:textId="60BE43EE" w:rsidR="008241C3" w:rsidRPr="008B3782" w:rsidRDefault="008241C3" w:rsidP="00176A1E">
      <w:pPr>
        <w:pStyle w:val="Normalaftertitle"/>
      </w:pPr>
      <w:r w:rsidRPr="008B3782">
        <w:t>La Conférence mondiale des radiocommunications (</w:t>
      </w:r>
      <w:r w:rsidR="00B04F8C" w:rsidRPr="008B3782">
        <w:t>C</w:t>
      </w:r>
      <w:r w:rsidRPr="008B3782">
        <w:t xml:space="preserve">harm el </w:t>
      </w:r>
      <w:r w:rsidR="00B04F8C" w:rsidRPr="008B3782">
        <w:t>C</w:t>
      </w:r>
      <w:r w:rsidRPr="008B3782">
        <w:t>heik, 2019),</w:t>
      </w:r>
    </w:p>
    <w:p w14:paraId="1BF550B3" w14:textId="77777777" w:rsidR="008241C3" w:rsidRPr="008B3782" w:rsidRDefault="008241C3" w:rsidP="00176A1E">
      <w:pPr>
        <w:pStyle w:val="Call"/>
      </w:pPr>
      <w:r w:rsidRPr="008B3782">
        <w:t>considérant</w:t>
      </w:r>
    </w:p>
    <w:p w14:paraId="6B738C70" w14:textId="0C02F57F" w:rsidR="008241C3" w:rsidRPr="008B3782" w:rsidRDefault="008241C3" w:rsidP="00176A1E">
      <w:r w:rsidRPr="008B3782">
        <w:rPr>
          <w:i/>
          <w:iCs/>
        </w:rPr>
        <w:t>a)</w:t>
      </w:r>
      <w:r w:rsidR="0042246C" w:rsidRPr="008B3782">
        <w:tab/>
      </w:r>
      <w:r w:rsidRPr="008B3782">
        <w:t xml:space="preserve">qu'il est nécessaire d'encourager la mise au point et la mise en </w:t>
      </w:r>
      <w:r w:rsidR="00B04F8C" w:rsidRPr="008B3782">
        <w:t>œuvre</w:t>
      </w:r>
      <w:r w:rsidRPr="008B3782">
        <w:t xml:space="preserve"> de nouvelles technologies dans le service fixe par satellite (SFS) </w:t>
      </w:r>
      <w:r w:rsidR="005E0F37" w:rsidRPr="008B3782">
        <w:t>pour les applications large bande;</w:t>
      </w:r>
    </w:p>
    <w:p w14:paraId="4DD9A503" w14:textId="03C51667" w:rsidR="008241C3" w:rsidRPr="008B3782" w:rsidRDefault="008241C3" w:rsidP="00176A1E">
      <w:r w:rsidRPr="008B3782">
        <w:rPr>
          <w:i/>
          <w:iCs/>
        </w:rPr>
        <w:t>b)</w:t>
      </w:r>
      <w:r w:rsidR="0042246C" w:rsidRPr="008B3782">
        <w:tab/>
      </w:r>
      <w:r w:rsidRPr="008B3782">
        <w:t xml:space="preserve">que les systèmes du SFS reposant sur l'utilisation des nouvelles technologies associées </w:t>
      </w:r>
      <w:r w:rsidR="00B04F8C" w:rsidRPr="008B3782">
        <w:t xml:space="preserve">aux </w:t>
      </w:r>
      <w:r w:rsidR="005E0F37" w:rsidRPr="008B3782">
        <w:t xml:space="preserve">systèmes à </w:t>
      </w:r>
      <w:r w:rsidRPr="008B3782">
        <w:t>satellites géostationnaires (OSG) permettent d'offrir des moyens de communication</w:t>
      </w:r>
      <w:r w:rsidR="005E0F37" w:rsidRPr="008B3782">
        <w:t xml:space="preserve"> large bande</w:t>
      </w:r>
      <w:r w:rsidRPr="008B3782">
        <w:t xml:space="preserve"> à grande capacité et à faible coût, </w:t>
      </w:r>
      <w:r w:rsidR="00EA42EC" w:rsidRPr="008B3782">
        <w:t>même</w:t>
      </w:r>
      <w:r w:rsidRPr="008B3782">
        <w:t xml:space="preserve"> dans les régions les plus isolées du monde;</w:t>
      </w:r>
    </w:p>
    <w:p w14:paraId="319E6F4B" w14:textId="0158FAE9" w:rsidR="008241C3" w:rsidRPr="008B3782" w:rsidRDefault="008241C3" w:rsidP="00176A1E">
      <w:r w:rsidRPr="008B3782">
        <w:rPr>
          <w:i/>
          <w:iCs/>
        </w:rPr>
        <w:t>c)</w:t>
      </w:r>
      <w:r w:rsidR="0042246C" w:rsidRPr="008B3782">
        <w:tab/>
      </w:r>
      <w:r w:rsidRPr="008B3782">
        <w:t xml:space="preserve">que le Règlement des radiocommunications devrait permettre la mise en </w:t>
      </w:r>
      <w:r w:rsidR="00EA42EC" w:rsidRPr="008B3782">
        <w:t>œuvre</w:t>
      </w:r>
      <w:r w:rsidRPr="008B3782">
        <w:t xml:space="preserve"> des nouvelles applications des techniques de radiocommunication pour garantir l'exploitation du plus grand nombre de systèmes possible, afin de garantir l'efficacité d'utilisation du spectre</w:t>
      </w:r>
      <w:r w:rsidR="0042246C" w:rsidRPr="008B3782">
        <w:t>,</w:t>
      </w:r>
    </w:p>
    <w:p w14:paraId="658D00B4" w14:textId="23E118C9" w:rsidR="00147563" w:rsidRPr="008B3782" w:rsidRDefault="005E0F37" w:rsidP="00176A1E">
      <w:pPr>
        <w:pStyle w:val="Call"/>
      </w:pPr>
      <w:r w:rsidRPr="008B3782">
        <w:t>reconnaissant</w:t>
      </w:r>
    </w:p>
    <w:p w14:paraId="6D60ED61" w14:textId="6890B3FE" w:rsidR="00147563" w:rsidRPr="008B3782" w:rsidRDefault="005E0F37" w:rsidP="00176A1E">
      <w:r w:rsidRPr="008B3782">
        <w:t>qu</w:t>
      </w:r>
      <w:r w:rsidR="00FF5FF6" w:rsidRPr="008B3782">
        <w:t>'</w:t>
      </w:r>
      <w:r w:rsidRPr="008B3782">
        <w:t>il est nécessaire de préserver et de protéger les fréquences soumises à l</w:t>
      </w:r>
      <w:r w:rsidR="00FF5FF6" w:rsidRPr="008B3782">
        <w:t>'</w:t>
      </w:r>
      <w:r w:rsidRPr="008B3782">
        <w:t>application de</w:t>
      </w:r>
      <w:r w:rsidR="00147563" w:rsidRPr="008B3782">
        <w:t xml:space="preserve"> </w:t>
      </w:r>
      <w:r w:rsidRPr="008B3782">
        <w:t>l</w:t>
      </w:r>
      <w:r w:rsidR="00FF5FF6" w:rsidRPr="008B3782">
        <w:t>'</w:t>
      </w:r>
      <w:r w:rsidR="003503A8" w:rsidRPr="008B3782">
        <w:t xml:space="preserve">Appendice </w:t>
      </w:r>
      <w:r w:rsidR="00147563" w:rsidRPr="008B3782">
        <w:rPr>
          <w:b/>
        </w:rPr>
        <w:t>30A</w:t>
      </w:r>
      <w:r w:rsidR="0042246C" w:rsidRPr="008B3782">
        <w:t>,</w:t>
      </w:r>
    </w:p>
    <w:p w14:paraId="61F47702" w14:textId="32714D9D" w:rsidR="00147563" w:rsidRPr="008B3782" w:rsidRDefault="00147563" w:rsidP="00176A1E">
      <w:pPr>
        <w:pStyle w:val="Call"/>
      </w:pPr>
      <w:r w:rsidRPr="008B3782">
        <w:t>not</w:t>
      </w:r>
      <w:r w:rsidR="005E0F37" w:rsidRPr="008B3782">
        <w:t>ant</w:t>
      </w:r>
    </w:p>
    <w:p w14:paraId="276C0D71" w14:textId="33B2BC55" w:rsidR="00147563" w:rsidRPr="008B3782" w:rsidRDefault="00147563" w:rsidP="00176A1E">
      <w:r w:rsidRPr="008B3782">
        <w:rPr>
          <w:i/>
        </w:rPr>
        <w:t>a)</w:t>
      </w:r>
      <w:r w:rsidRPr="008B3782">
        <w:tab/>
        <w:t>que des techniques ont été mises au point en vue de permettre une utilisation plus efficace du spectre;</w:t>
      </w:r>
    </w:p>
    <w:p w14:paraId="0F2EBB85" w14:textId="32711571" w:rsidR="00147563" w:rsidRPr="008B3782" w:rsidRDefault="00147563" w:rsidP="00176A1E">
      <w:r w:rsidRPr="008B3782">
        <w:rPr>
          <w:i/>
        </w:rPr>
        <w:t>b)</w:t>
      </w:r>
      <w:r w:rsidRPr="008B3782">
        <w:rPr>
          <w:i/>
        </w:rPr>
        <w:tab/>
      </w:r>
      <w:r w:rsidR="005E0F37" w:rsidRPr="008B3782">
        <w:t>que la bande de fréquences 17</w:t>
      </w:r>
      <w:r w:rsidR="00FF5FF6" w:rsidRPr="008B3782">
        <w:t>,</w:t>
      </w:r>
      <w:r w:rsidR="005E0F37" w:rsidRPr="008B3782">
        <w:t>3-17</w:t>
      </w:r>
      <w:r w:rsidR="00FF5FF6" w:rsidRPr="008B3782">
        <w:t>,</w:t>
      </w:r>
      <w:r w:rsidR="005E0F37" w:rsidRPr="008B3782">
        <w:t>7 GHz est attribuée dans la Région 2 à titre primaire au service de radiodiffusion par satellite (espace vers Terre) et au service</w:t>
      </w:r>
      <w:r w:rsidR="00075309" w:rsidRPr="008B3782">
        <w:t xml:space="preserve"> </w:t>
      </w:r>
      <w:r w:rsidR="005E0F37" w:rsidRPr="008B3782">
        <w:t>fixe par satellite (Terre vers espace), sous réserve de l</w:t>
      </w:r>
      <w:r w:rsidR="00FF5FF6" w:rsidRPr="008B3782">
        <w:t>'</w:t>
      </w:r>
      <w:r w:rsidR="005E0F37" w:rsidRPr="008B3782">
        <w:t xml:space="preserve">application du numéro </w:t>
      </w:r>
      <w:r w:rsidRPr="008B3782">
        <w:rPr>
          <w:b/>
        </w:rPr>
        <w:t>5.516</w:t>
      </w:r>
      <w:r w:rsidRPr="008B3782">
        <w:t>;</w:t>
      </w:r>
    </w:p>
    <w:p w14:paraId="0EDCA540" w14:textId="74156027" w:rsidR="00147563" w:rsidRPr="008B3782" w:rsidRDefault="00147563" w:rsidP="00176A1E">
      <w:r w:rsidRPr="008B3782">
        <w:rPr>
          <w:i/>
        </w:rPr>
        <w:lastRenderedPageBreak/>
        <w:t>c)</w:t>
      </w:r>
      <w:r w:rsidRPr="008B3782">
        <w:tab/>
      </w:r>
      <w:r w:rsidR="005E0F37" w:rsidRPr="008B3782">
        <w:t xml:space="preserve">que le partage entre le service fixe par satellite (Terre vers espace) et le service fixe par satellite (espace vers Terre) est déjà examiné dans la Région 1 pour la bande </w:t>
      </w:r>
      <w:r w:rsidRPr="008B3782">
        <w:t>17</w:t>
      </w:r>
      <w:r w:rsidR="00FF5FF6" w:rsidRPr="008B3782">
        <w:t>,</w:t>
      </w:r>
      <w:r w:rsidRPr="008B3782">
        <w:t>3-17</w:t>
      </w:r>
      <w:r w:rsidR="00FF5FF6" w:rsidRPr="008B3782">
        <w:t>,</w:t>
      </w:r>
      <w:r w:rsidRPr="008B3782">
        <w:t>7 GHz;</w:t>
      </w:r>
    </w:p>
    <w:p w14:paraId="41BC4A1D" w14:textId="391AF10F" w:rsidR="00147563" w:rsidRPr="008B3782" w:rsidRDefault="00147563" w:rsidP="00176A1E">
      <w:r w:rsidRPr="008B3782">
        <w:rPr>
          <w:i/>
        </w:rPr>
        <w:t>d)</w:t>
      </w:r>
      <w:r w:rsidRPr="008B3782">
        <w:tab/>
      </w:r>
      <w:r w:rsidR="005E0F37" w:rsidRPr="008B3782">
        <w:t>qu</w:t>
      </w:r>
      <w:r w:rsidR="00FF5FF6" w:rsidRPr="008B3782">
        <w:t>'</w:t>
      </w:r>
      <w:r w:rsidR="005E0F37" w:rsidRPr="008B3782">
        <w:t>il n</w:t>
      </w:r>
      <w:r w:rsidR="00FF5FF6" w:rsidRPr="008B3782">
        <w:t>'</w:t>
      </w:r>
      <w:r w:rsidR="005E0F37" w:rsidRPr="008B3782">
        <w:t>y a pas d</w:t>
      </w:r>
      <w:r w:rsidR="00FF5FF6" w:rsidRPr="008B3782">
        <w:t>'</w:t>
      </w:r>
      <w:r w:rsidR="005E0F37" w:rsidRPr="008B3782">
        <w:t>autres services primaires dans la bande</w:t>
      </w:r>
      <w:r w:rsidR="00DA533E" w:rsidRPr="008B3782">
        <w:t xml:space="preserve"> </w:t>
      </w:r>
      <w:r w:rsidRPr="008B3782">
        <w:t>17</w:t>
      </w:r>
      <w:r w:rsidR="00FF5FF6" w:rsidRPr="008B3782">
        <w:t>,</w:t>
      </w:r>
      <w:r w:rsidRPr="008B3782">
        <w:t>3-17</w:t>
      </w:r>
      <w:r w:rsidR="00FF5FF6" w:rsidRPr="008B3782">
        <w:t>,</w:t>
      </w:r>
      <w:r w:rsidRPr="008B3782">
        <w:t>7 GHz</w:t>
      </w:r>
      <w:r w:rsidR="00DA533E" w:rsidRPr="008B3782">
        <w:t>, hormis le service fixe par satellite et le service de radiodiffusion par satellite,</w:t>
      </w:r>
    </w:p>
    <w:p w14:paraId="6F740769" w14:textId="70F9B3AF" w:rsidR="00147563" w:rsidRPr="008B3782" w:rsidRDefault="008B3782" w:rsidP="00176A1E">
      <w:pPr>
        <w:pStyle w:val="Call"/>
      </w:pPr>
      <w:r w:rsidRPr="008B3782">
        <w:t>décide</w:t>
      </w:r>
    </w:p>
    <w:p w14:paraId="514D2EEB" w14:textId="7478E6B1" w:rsidR="00147563" w:rsidRPr="008B3782" w:rsidRDefault="002B22DF" w:rsidP="00176A1E">
      <w:r w:rsidRPr="008B3782">
        <w:t>d</w:t>
      </w:r>
      <w:r w:rsidR="00FF5FF6" w:rsidRPr="008B3782">
        <w:t>'</w:t>
      </w:r>
      <w:r w:rsidRPr="008B3782">
        <w:t>inviter la CMR-23, compte tenu des résultats des études de l</w:t>
      </w:r>
      <w:r w:rsidR="00FF5FF6" w:rsidRPr="008B3782">
        <w:t>'</w:t>
      </w:r>
      <w:r w:rsidR="003503A8" w:rsidRPr="008B3782">
        <w:t>UIT</w:t>
      </w:r>
      <w:r w:rsidR="00147563" w:rsidRPr="008B3782">
        <w:t>-</w:t>
      </w:r>
      <w:r w:rsidRPr="008B3782">
        <w:t>R</w:t>
      </w:r>
      <w:r w:rsidR="00147563" w:rsidRPr="008B3782">
        <w:t xml:space="preserve">, </w:t>
      </w:r>
      <w:r w:rsidRPr="008B3782">
        <w:t>à envisager une nouvelle attribution à titre primaire au service fixe par satellite (espace vers Terre) dans la bande 17</w:t>
      </w:r>
      <w:r w:rsidR="00FF5FF6" w:rsidRPr="008B3782">
        <w:t>,</w:t>
      </w:r>
      <w:r w:rsidRPr="008B3782">
        <w:t>3</w:t>
      </w:r>
      <w:r w:rsidR="00FF5FF6" w:rsidRPr="008B3782">
        <w:noBreakHyphen/>
      </w:r>
      <w:r w:rsidRPr="008B3782">
        <w:t>17</w:t>
      </w:r>
      <w:r w:rsidR="00FF5FF6" w:rsidRPr="008B3782">
        <w:t>,</w:t>
      </w:r>
      <w:r w:rsidRPr="008B3782">
        <w:t>7</w:t>
      </w:r>
      <w:r w:rsidR="00FF5FF6" w:rsidRPr="008B3782">
        <w:t> </w:t>
      </w:r>
      <w:r w:rsidRPr="008B3782">
        <w:t>GHz pour la Région 2, sans imposer de contraintes additionnelles aux attributions existantes au service de radiodiffusion par satellite (espace vers Terre) et au service fixe par satellite (Terre vers espace),</w:t>
      </w:r>
    </w:p>
    <w:p w14:paraId="190DDD3E" w14:textId="0549CA45" w:rsidR="00147563" w:rsidRPr="008B3782" w:rsidRDefault="002B22DF" w:rsidP="00176A1E">
      <w:pPr>
        <w:pStyle w:val="Call"/>
      </w:pPr>
      <w:r w:rsidRPr="008B3782">
        <w:t>décide d</w:t>
      </w:r>
      <w:r w:rsidR="00FF5FF6" w:rsidRPr="008B3782">
        <w:t>'</w:t>
      </w:r>
      <w:r w:rsidRPr="008B3782">
        <w:t>inviter l</w:t>
      </w:r>
      <w:r w:rsidR="00FF5FF6" w:rsidRPr="008B3782">
        <w:t>'</w:t>
      </w:r>
      <w:r w:rsidR="003503A8" w:rsidRPr="008B3782">
        <w:t>UIT</w:t>
      </w:r>
      <w:r w:rsidR="00147563" w:rsidRPr="008B3782">
        <w:t>-R</w:t>
      </w:r>
    </w:p>
    <w:p w14:paraId="43ED4E44" w14:textId="28FC5C97" w:rsidR="00147563" w:rsidRPr="008B3782" w:rsidRDefault="002B22DF" w:rsidP="00176A1E">
      <w:r w:rsidRPr="008B3782">
        <w:rPr>
          <w:color w:val="000000"/>
        </w:rPr>
        <w:t>à mener, à temps pour la CMR-23, des études de partage et de compatibilité entre le service fixe par satellite (espace vers Terre) et le service de radiodiffusion par satellite (espace vers Terre) d</w:t>
      </w:r>
      <w:r w:rsidR="00FF5FF6" w:rsidRPr="008B3782">
        <w:rPr>
          <w:color w:val="000000"/>
        </w:rPr>
        <w:t>'</w:t>
      </w:r>
      <w:r w:rsidRPr="008B3782">
        <w:rPr>
          <w:color w:val="000000"/>
        </w:rPr>
        <w:t>une part, et entre le service fixe par satellite (espace vers Terre) et le service fixe par satellite (Terre</w:t>
      </w:r>
      <w:r w:rsidR="00FF5FF6" w:rsidRPr="008B3782">
        <w:rPr>
          <w:color w:val="000000"/>
        </w:rPr>
        <w:t> </w:t>
      </w:r>
      <w:r w:rsidRPr="008B3782">
        <w:rPr>
          <w:color w:val="000000"/>
        </w:rPr>
        <w:t>vers</w:t>
      </w:r>
      <w:r w:rsidR="00FF5FF6" w:rsidRPr="008B3782">
        <w:rPr>
          <w:color w:val="000000"/>
        </w:rPr>
        <w:t> </w:t>
      </w:r>
      <w:r w:rsidRPr="008B3782">
        <w:rPr>
          <w:color w:val="000000"/>
        </w:rPr>
        <w:t>espace) d</w:t>
      </w:r>
      <w:r w:rsidR="00FF5FF6" w:rsidRPr="008B3782">
        <w:rPr>
          <w:color w:val="000000"/>
        </w:rPr>
        <w:t>'</w:t>
      </w:r>
      <w:r w:rsidRPr="008B3782">
        <w:rPr>
          <w:color w:val="000000"/>
        </w:rPr>
        <w:t>autre part,</w:t>
      </w:r>
    </w:p>
    <w:p w14:paraId="40610283" w14:textId="77777777" w:rsidR="00147563" w:rsidRPr="008B3782" w:rsidRDefault="00147563" w:rsidP="00176A1E">
      <w:pPr>
        <w:pStyle w:val="Call"/>
      </w:pPr>
      <w:r w:rsidRPr="008B3782">
        <w:t>invite les administrations</w:t>
      </w:r>
    </w:p>
    <w:p w14:paraId="6AEFC6B1" w14:textId="39EEDC39" w:rsidR="00147563" w:rsidRPr="008B3782" w:rsidRDefault="00147563" w:rsidP="00176A1E">
      <w:r w:rsidRPr="008B3782">
        <w:t>à participer activement aux études et à fournir les caractéristiques techniques et opérationnelles des systèmes concernés, en soumettant des contributions à l'UIT-R</w:t>
      </w:r>
      <w:r w:rsidR="003A5F02">
        <w:t>.</w:t>
      </w:r>
    </w:p>
    <w:p w14:paraId="19CC5DF1" w14:textId="1DDE7EC4" w:rsidR="00305485" w:rsidRDefault="002630B2" w:rsidP="00176A1E">
      <w:pPr>
        <w:pStyle w:val="Reasons"/>
      </w:pPr>
      <w:r w:rsidRPr="008B3782">
        <w:rPr>
          <w:b/>
        </w:rPr>
        <w:t>Motifs:</w:t>
      </w:r>
      <w:r w:rsidRPr="008B3782">
        <w:tab/>
      </w:r>
      <w:r w:rsidR="00147563" w:rsidRPr="008B3782">
        <w:t xml:space="preserve">Une </w:t>
      </w:r>
      <w:r w:rsidR="00EA42EC" w:rsidRPr="008B3782">
        <w:t>R</w:t>
      </w:r>
      <w:r w:rsidR="00147563" w:rsidRPr="008B3782">
        <w:t>ésolution appuiera les études devant être menées par l'UIT-R au titre du point pertinent de l'ordre du jour de la CMR-23.</w:t>
      </w:r>
    </w:p>
    <w:p w14:paraId="7BB1DEAB" w14:textId="77777777" w:rsidR="00A2595B" w:rsidRPr="008B3782" w:rsidRDefault="00A2595B" w:rsidP="00F50BFB"/>
    <w:p w14:paraId="78A2FBAE" w14:textId="0C6359A1" w:rsidR="00305485" w:rsidRPr="008B3782" w:rsidRDefault="00305485" w:rsidP="00176A1E">
      <w:pPr>
        <w:tabs>
          <w:tab w:val="clear" w:pos="1134"/>
          <w:tab w:val="clear" w:pos="1871"/>
          <w:tab w:val="clear" w:pos="2268"/>
        </w:tabs>
        <w:overflowPunct/>
        <w:autoSpaceDE/>
        <w:autoSpaceDN/>
        <w:adjustRightInd/>
        <w:spacing w:before="0"/>
        <w:textAlignment w:val="auto"/>
      </w:pPr>
      <w:r w:rsidRPr="008B3782">
        <w:br w:type="page"/>
      </w:r>
    </w:p>
    <w:p w14:paraId="49FE45A5" w14:textId="5ED8BDD8" w:rsidR="00060056" w:rsidRPr="008B3782" w:rsidRDefault="00E328C4" w:rsidP="000327F1">
      <w:pPr>
        <w:pStyle w:val="AnnexNo"/>
        <w:rPr>
          <w:b/>
          <w:szCs w:val="24"/>
        </w:rPr>
      </w:pPr>
      <w:r w:rsidRPr="008B3782">
        <w:lastRenderedPageBreak/>
        <w:t>pièce jointe</w:t>
      </w:r>
    </w:p>
    <w:p w14:paraId="58357E75" w14:textId="7AE7FD42" w:rsidR="00060056" w:rsidRPr="008B3782" w:rsidRDefault="00E328C4" w:rsidP="00176A1E">
      <w:pPr>
        <w:pStyle w:val="Annextitle"/>
        <w:rPr>
          <w:sz w:val="22"/>
          <w:szCs w:val="22"/>
        </w:rPr>
      </w:pPr>
      <w:r w:rsidRPr="008B3782">
        <w:rPr>
          <w:color w:val="000000"/>
        </w:rPr>
        <w:t xml:space="preserve">PROPOSITION </w:t>
      </w:r>
      <w:r w:rsidR="008A5F18" w:rsidRPr="008B3782">
        <w:rPr>
          <w:spacing w:val="-1"/>
        </w:rPr>
        <w:t>VISANT À IN</w:t>
      </w:r>
      <w:bookmarkStart w:id="6" w:name="_GoBack"/>
      <w:bookmarkEnd w:id="6"/>
      <w:r w:rsidR="008A5F18" w:rsidRPr="008B3782">
        <w:rPr>
          <w:spacing w:val="-1"/>
        </w:rPr>
        <w:t xml:space="preserve">SCRIRE UN </w:t>
      </w:r>
      <w:r w:rsidRPr="008B3782">
        <w:rPr>
          <w:color w:val="000000"/>
        </w:rPr>
        <w:t>NOUVEAU POINT À L'ORDRE DU JOUR</w:t>
      </w:r>
      <w:r w:rsidRPr="008B3782">
        <w:t xml:space="preserve"> </w:t>
      </w:r>
      <w:r w:rsidR="00EA42EC" w:rsidRPr="008B3782">
        <w:t>CONCERNANT</w:t>
      </w:r>
      <w:r w:rsidRPr="008B3782">
        <w:t xml:space="preserve"> L</w:t>
      </w:r>
      <w:r w:rsidR="00FF5FF6" w:rsidRPr="008B3782">
        <w:t>'</w:t>
      </w:r>
      <w:r w:rsidRPr="008B3782">
        <w:t>ÉTUDE D</w:t>
      </w:r>
      <w:r w:rsidR="00FF5FF6" w:rsidRPr="008B3782">
        <w:t>'</w:t>
      </w:r>
      <w:r w:rsidRPr="008B3782">
        <w:t xml:space="preserve">UNE NOUVELLE ATTRIBUTION </w:t>
      </w:r>
      <w:r w:rsidR="004E76FB" w:rsidRPr="008B3782">
        <w:t>A</w:t>
      </w:r>
      <w:r w:rsidRPr="008B3782">
        <w:t>U SERVICE FIXE PAR SATELLITE (ESPACE VERS TERRE) DANS</w:t>
      </w:r>
      <w:r w:rsidR="00A2595B">
        <w:t> </w:t>
      </w:r>
      <w:r w:rsidRPr="008B3782">
        <w:t>LA</w:t>
      </w:r>
      <w:r w:rsidR="00A2595B">
        <w:t> </w:t>
      </w:r>
      <w:r w:rsidRPr="008B3782">
        <w:t xml:space="preserve">BANDE DE FRÉQUENCES </w:t>
      </w:r>
      <w:r w:rsidR="00060056" w:rsidRPr="008B3782">
        <w:t>17</w:t>
      </w:r>
      <w:r w:rsidR="00FF5FF6" w:rsidRPr="008B3782">
        <w:t>,</w:t>
      </w:r>
      <w:r w:rsidR="00060056" w:rsidRPr="008B3782">
        <w:t>3-17</w:t>
      </w:r>
      <w:r w:rsidR="00FF5FF6" w:rsidRPr="008B3782">
        <w:t>,</w:t>
      </w:r>
      <w:r w:rsidR="00060056" w:rsidRPr="008B3782">
        <w:t>7 GH</w:t>
      </w:r>
      <w:r w:rsidR="00A2595B" w:rsidRPr="008B3782">
        <w:t>z</w:t>
      </w:r>
    </w:p>
    <w:p w14:paraId="3A42634E" w14:textId="7397F4D8" w:rsidR="00060056" w:rsidRPr="008B3782" w:rsidRDefault="00EA42EC" w:rsidP="00A2595B">
      <w:pPr>
        <w:keepNext/>
        <w:spacing w:before="360"/>
        <w:rPr>
          <w:color w:val="000000"/>
          <w:szCs w:val="24"/>
          <w:lang w:eastAsia="x-none"/>
        </w:rPr>
      </w:pPr>
      <w:r w:rsidRPr="008B3782">
        <w:rPr>
          <w:b/>
          <w:color w:val="000000"/>
          <w:szCs w:val="24"/>
          <w:lang w:eastAsia="x-none"/>
        </w:rPr>
        <w:t>Objet</w:t>
      </w:r>
      <w:r w:rsidR="00060056" w:rsidRPr="008B3782">
        <w:rPr>
          <w:b/>
          <w:color w:val="000000"/>
          <w:szCs w:val="24"/>
          <w:lang w:eastAsia="x-none"/>
        </w:rPr>
        <w:t xml:space="preserve">: </w:t>
      </w:r>
      <w:r w:rsidR="008A5F18" w:rsidRPr="008B3782">
        <w:t>Proposition de point à inscrire à l'ordre du jour de la CMR-23 concernant l</w:t>
      </w:r>
      <w:r w:rsidR="00FF5FF6" w:rsidRPr="008B3782">
        <w:t>'</w:t>
      </w:r>
      <w:r w:rsidR="008A5F18" w:rsidRPr="008B3782">
        <w:t>étude d</w:t>
      </w:r>
      <w:r w:rsidR="00FF5FF6" w:rsidRPr="008B3782">
        <w:t>'</w:t>
      </w:r>
      <w:r w:rsidR="008A5F18" w:rsidRPr="008B3782">
        <w:t xml:space="preserve">une nouvelle attribution au service fixe par satellite (espace vers Terre) dans la bande de fréquences </w:t>
      </w:r>
      <w:r w:rsidR="00060056" w:rsidRPr="008B3782">
        <w:t>17</w:t>
      </w:r>
      <w:r w:rsidR="00FF5FF6" w:rsidRPr="008B3782">
        <w:t>,</w:t>
      </w:r>
      <w:r w:rsidR="00060056" w:rsidRPr="008B3782">
        <w:t>3</w:t>
      </w:r>
      <w:r w:rsidR="00FF5FF6" w:rsidRPr="008B3782">
        <w:noBreakHyphen/>
      </w:r>
      <w:r w:rsidR="00060056" w:rsidRPr="008B3782">
        <w:t>17</w:t>
      </w:r>
      <w:r w:rsidR="00FF5FF6" w:rsidRPr="008B3782">
        <w:t>,</w:t>
      </w:r>
      <w:r w:rsidR="00060056" w:rsidRPr="008B3782">
        <w:t>7 GHz</w:t>
      </w:r>
      <w:r w:rsidR="008A5F18" w:rsidRPr="008B3782">
        <w:t>.</w:t>
      </w:r>
    </w:p>
    <w:p w14:paraId="1FE8769D" w14:textId="77777777" w:rsidR="00060056" w:rsidRPr="00A2595B" w:rsidRDefault="00060056" w:rsidP="00176A1E">
      <w:pPr>
        <w:pBdr>
          <w:bottom w:val="single" w:sz="12" w:space="1" w:color="auto"/>
        </w:pBdr>
        <w:tabs>
          <w:tab w:val="left" w:pos="794"/>
          <w:tab w:val="left" w:pos="1191"/>
          <w:tab w:val="left" w:pos="1588"/>
          <w:tab w:val="left" w:pos="1985"/>
        </w:tabs>
        <w:rPr>
          <w:color w:val="000000"/>
          <w:sz w:val="16"/>
          <w:szCs w:val="16"/>
        </w:rPr>
      </w:pPr>
    </w:p>
    <w:p w14:paraId="341B1F41" w14:textId="6D860F8B" w:rsidR="00060056" w:rsidRPr="008B3782" w:rsidRDefault="008A5F18" w:rsidP="00F50BFB">
      <w:pPr>
        <w:tabs>
          <w:tab w:val="left" w:pos="360"/>
          <w:tab w:val="left" w:pos="900"/>
        </w:tabs>
        <w:spacing w:before="100"/>
        <w:rPr>
          <w:b/>
          <w:iCs/>
          <w:color w:val="000000"/>
          <w:szCs w:val="24"/>
        </w:rPr>
      </w:pPr>
      <w:r w:rsidRPr="008B3782">
        <w:rPr>
          <w:b/>
          <w:i/>
        </w:rPr>
        <w:t>Proposition:</w:t>
      </w:r>
      <w:r w:rsidR="00060056" w:rsidRPr="008B3782">
        <w:rPr>
          <w:i/>
          <w:iCs/>
          <w:color w:val="000000"/>
          <w:szCs w:val="24"/>
        </w:rPr>
        <w:t xml:space="preserve"> </w:t>
      </w:r>
      <w:r w:rsidRPr="008B3782">
        <w:rPr>
          <w:i/>
          <w:iCs/>
          <w:color w:val="000000"/>
          <w:szCs w:val="24"/>
        </w:rPr>
        <w:t>envisager une nouvelle attribution à titre primaire au service fixe par satellite dans le</w:t>
      </w:r>
      <w:r w:rsidR="00A2595B">
        <w:rPr>
          <w:i/>
          <w:iCs/>
          <w:color w:val="000000"/>
          <w:szCs w:val="24"/>
        </w:rPr>
        <w:t> </w:t>
      </w:r>
      <w:r w:rsidRPr="008B3782">
        <w:rPr>
          <w:i/>
          <w:iCs/>
          <w:color w:val="000000"/>
          <w:szCs w:val="24"/>
        </w:rPr>
        <w:t xml:space="preserve">sens </w:t>
      </w:r>
      <w:r w:rsidRPr="008B3782">
        <w:rPr>
          <w:b/>
          <w:bCs/>
          <w:i/>
          <w:iCs/>
          <w:color w:val="000000"/>
          <w:szCs w:val="24"/>
        </w:rPr>
        <w:t xml:space="preserve">espace vers Terre </w:t>
      </w:r>
      <w:r w:rsidRPr="008B3782">
        <w:rPr>
          <w:i/>
          <w:iCs/>
          <w:color w:val="000000"/>
          <w:szCs w:val="24"/>
        </w:rPr>
        <w:t xml:space="preserve">dans la bande </w:t>
      </w:r>
      <w:r w:rsidR="00060056" w:rsidRPr="008B3782">
        <w:rPr>
          <w:i/>
          <w:iCs/>
          <w:color w:val="000000"/>
          <w:szCs w:val="24"/>
        </w:rPr>
        <w:t>17</w:t>
      </w:r>
      <w:r w:rsidR="00FF5FF6" w:rsidRPr="008B3782">
        <w:rPr>
          <w:i/>
          <w:iCs/>
          <w:color w:val="000000"/>
          <w:szCs w:val="24"/>
        </w:rPr>
        <w:t>,</w:t>
      </w:r>
      <w:r w:rsidR="00060056" w:rsidRPr="008B3782">
        <w:rPr>
          <w:i/>
          <w:iCs/>
          <w:color w:val="000000"/>
          <w:szCs w:val="24"/>
        </w:rPr>
        <w:t>3-17</w:t>
      </w:r>
      <w:r w:rsidR="00FF5FF6" w:rsidRPr="008B3782">
        <w:rPr>
          <w:i/>
          <w:iCs/>
          <w:color w:val="000000"/>
          <w:szCs w:val="24"/>
        </w:rPr>
        <w:t>,</w:t>
      </w:r>
      <w:r w:rsidR="00060056" w:rsidRPr="008B3782">
        <w:rPr>
          <w:i/>
          <w:iCs/>
          <w:color w:val="000000"/>
          <w:szCs w:val="24"/>
        </w:rPr>
        <w:t xml:space="preserve">7 GHz </w:t>
      </w:r>
      <w:r w:rsidRPr="008B3782">
        <w:rPr>
          <w:i/>
          <w:iCs/>
          <w:color w:val="000000"/>
          <w:szCs w:val="24"/>
        </w:rPr>
        <w:t>en</w:t>
      </w:r>
      <w:r w:rsidR="00060056" w:rsidRPr="008B3782">
        <w:rPr>
          <w:i/>
          <w:iCs/>
          <w:color w:val="000000"/>
          <w:szCs w:val="24"/>
        </w:rPr>
        <w:t xml:space="preserve"> R</w:t>
      </w:r>
      <w:r w:rsidRPr="008B3782">
        <w:rPr>
          <w:i/>
          <w:iCs/>
          <w:color w:val="000000"/>
          <w:szCs w:val="24"/>
        </w:rPr>
        <w:t>é</w:t>
      </w:r>
      <w:r w:rsidR="00060056" w:rsidRPr="008B3782">
        <w:rPr>
          <w:i/>
          <w:iCs/>
          <w:color w:val="000000"/>
          <w:szCs w:val="24"/>
        </w:rPr>
        <w:t xml:space="preserve">gion 2, </w:t>
      </w:r>
      <w:r w:rsidRPr="008B3782">
        <w:rPr>
          <w:i/>
          <w:iCs/>
          <w:color w:val="000000"/>
          <w:szCs w:val="24"/>
        </w:rPr>
        <w:t>tout en assurant la protection</w:t>
      </w:r>
      <w:r w:rsidR="00A2595B">
        <w:rPr>
          <w:i/>
          <w:iCs/>
          <w:color w:val="000000"/>
          <w:szCs w:val="24"/>
        </w:rPr>
        <w:t> </w:t>
      </w:r>
      <w:r w:rsidRPr="008B3782">
        <w:rPr>
          <w:i/>
          <w:iCs/>
          <w:color w:val="000000"/>
          <w:szCs w:val="24"/>
        </w:rPr>
        <w:t>des services primaires existants dans la bande, conformément à la Résolution [IAP/10(L)</w:t>
      </w:r>
      <w:r w:rsidR="00FF5FF6" w:rsidRPr="008B3782">
        <w:rPr>
          <w:i/>
          <w:iCs/>
          <w:color w:val="000000"/>
          <w:szCs w:val="24"/>
        </w:rPr>
        <w:noBreakHyphen/>
      </w:r>
      <w:r w:rsidRPr="008B3782">
        <w:rPr>
          <w:i/>
          <w:iCs/>
          <w:color w:val="000000"/>
          <w:szCs w:val="24"/>
        </w:rPr>
        <w:t>17</w:t>
      </w:r>
      <w:r w:rsidR="00FF5FF6" w:rsidRPr="008B3782">
        <w:rPr>
          <w:i/>
          <w:iCs/>
          <w:color w:val="000000"/>
          <w:szCs w:val="24"/>
        </w:rPr>
        <w:t>,</w:t>
      </w:r>
      <w:r w:rsidRPr="008B3782">
        <w:rPr>
          <w:i/>
          <w:iCs/>
          <w:color w:val="000000"/>
          <w:szCs w:val="24"/>
        </w:rPr>
        <w:t>3</w:t>
      </w:r>
      <w:r w:rsidR="00FF5FF6" w:rsidRPr="008B3782">
        <w:rPr>
          <w:i/>
          <w:iCs/>
          <w:color w:val="000000"/>
          <w:szCs w:val="24"/>
        </w:rPr>
        <w:noBreakHyphen/>
      </w:r>
      <w:r w:rsidRPr="008B3782">
        <w:rPr>
          <w:i/>
          <w:iCs/>
          <w:color w:val="000000"/>
          <w:szCs w:val="24"/>
        </w:rPr>
        <w:t>17</w:t>
      </w:r>
      <w:r w:rsidR="00FF5FF6" w:rsidRPr="008B3782">
        <w:rPr>
          <w:i/>
          <w:iCs/>
          <w:color w:val="000000"/>
          <w:szCs w:val="24"/>
        </w:rPr>
        <w:t>,</w:t>
      </w:r>
      <w:r w:rsidRPr="008B3782">
        <w:rPr>
          <w:i/>
          <w:iCs/>
          <w:color w:val="000000"/>
          <w:szCs w:val="24"/>
        </w:rPr>
        <w:t>7s</w:t>
      </w:r>
      <w:r w:rsidR="00FF5FF6" w:rsidRPr="008B3782">
        <w:rPr>
          <w:i/>
          <w:iCs/>
          <w:color w:val="000000"/>
          <w:szCs w:val="24"/>
        </w:rPr>
        <w:noBreakHyphen/>
      </w:r>
      <w:r w:rsidRPr="008B3782">
        <w:rPr>
          <w:i/>
          <w:iCs/>
          <w:color w:val="000000"/>
          <w:szCs w:val="24"/>
        </w:rPr>
        <w:t>E]</w:t>
      </w:r>
      <w:r w:rsidR="00FF5FF6" w:rsidRPr="008B3782">
        <w:rPr>
          <w:i/>
          <w:iCs/>
          <w:color w:val="000000"/>
          <w:szCs w:val="24"/>
        </w:rPr>
        <w:t> </w:t>
      </w:r>
      <w:r w:rsidRPr="008B3782">
        <w:rPr>
          <w:i/>
          <w:iCs/>
          <w:color w:val="000000"/>
          <w:szCs w:val="24"/>
        </w:rPr>
        <w:t>(CMR-19),</w:t>
      </w:r>
      <w:r w:rsidR="00075309" w:rsidRPr="008B3782">
        <w:rPr>
          <w:i/>
          <w:iCs/>
          <w:color w:val="000000"/>
          <w:szCs w:val="24"/>
        </w:rPr>
        <w:t xml:space="preserve"> </w:t>
      </w:r>
      <w:r w:rsidRPr="008B3782">
        <w:rPr>
          <w:i/>
          <w:iCs/>
          <w:color w:val="000000"/>
          <w:szCs w:val="24"/>
        </w:rPr>
        <w:t>et sans imposer de contraintes additionnelles.</w:t>
      </w:r>
    </w:p>
    <w:p w14:paraId="0F8ADFA0" w14:textId="77777777" w:rsidR="00060056" w:rsidRPr="00A2595B" w:rsidRDefault="00060056" w:rsidP="00176A1E">
      <w:pPr>
        <w:pBdr>
          <w:bottom w:val="single" w:sz="12" w:space="0" w:color="auto"/>
        </w:pBdr>
        <w:tabs>
          <w:tab w:val="left" w:pos="794"/>
          <w:tab w:val="left" w:pos="1191"/>
          <w:tab w:val="left" w:pos="1588"/>
          <w:tab w:val="left" w:pos="1985"/>
        </w:tabs>
        <w:rPr>
          <w:color w:val="000000"/>
          <w:sz w:val="16"/>
          <w:szCs w:val="16"/>
        </w:rPr>
      </w:pPr>
    </w:p>
    <w:p w14:paraId="5DB1BCE3" w14:textId="24050E13" w:rsidR="00060056" w:rsidRPr="008B3782" w:rsidRDefault="00795B7F" w:rsidP="00F50BFB">
      <w:pPr>
        <w:spacing w:before="100"/>
        <w:rPr>
          <w:szCs w:val="24"/>
        </w:rPr>
      </w:pPr>
      <w:r w:rsidRPr="008B3782">
        <w:rPr>
          <w:b/>
          <w:i/>
        </w:rPr>
        <w:t>Contexte/motif:</w:t>
      </w:r>
    </w:p>
    <w:p w14:paraId="06A84069" w14:textId="7AFCD5BB" w:rsidR="00060056" w:rsidRPr="008B3782" w:rsidRDefault="00795B7F" w:rsidP="00B23AFA">
      <w:r w:rsidRPr="008B3782">
        <w:t xml:space="preserve">La prise en compte de cette bande dans le sens espace vers Terre pour le SFS en plus du SRS dans la Région 2 permettrait de faire face à </w:t>
      </w:r>
      <w:r w:rsidR="00EA42EC" w:rsidRPr="008B3782">
        <w:t>l'</w:t>
      </w:r>
      <w:r w:rsidRPr="008B3782">
        <w:t>accroissement de la demande de connectivité dans la bande Ka pour les applications large bande, qui ne seront peut-être pas disponibles dans le cadre d</w:t>
      </w:r>
      <w:r w:rsidR="00FF5FF6" w:rsidRPr="008B3782">
        <w:t>'</w:t>
      </w:r>
      <w:r w:rsidRPr="008B3782">
        <w:t>une attribution au SRS. Il en résulterait également une plus grande souplesse dans la conception de nouveaux systèmes à satellites et une meilleure efficacité d</w:t>
      </w:r>
      <w:r w:rsidR="00FF5FF6" w:rsidRPr="008B3782">
        <w:t>'</w:t>
      </w:r>
      <w:r w:rsidRPr="008B3782">
        <w:t>utilisation du spectre.</w:t>
      </w:r>
    </w:p>
    <w:p w14:paraId="7FBBBDDA" w14:textId="77777777" w:rsidR="00060056" w:rsidRPr="00A2595B" w:rsidRDefault="00060056" w:rsidP="00176A1E">
      <w:pPr>
        <w:pBdr>
          <w:bottom w:val="single" w:sz="12" w:space="1" w:color="auto"/>
        </w:pBdr>
        <w:rPr>
          <w:color w:val="000000"/>
          <w:sz w:val="16"/>
          <w:szCs w:val="16"/>
        </w:rPr>
      </w:pPr>
    </w:p>
    <w:p w14:paraId="606F5FDC" w14:textId="7365D23B" w:rsidR="00060056" w:rsidRPr="008B3782" w:rsidRDefault="00795B7F" w:rsidP="00F50BFB">
      <w:pPr>
        <w:spacing w:before="100"/>
        <w:rPr>
          <w:bCs/>
          <w:color w:val="000000"/>
          <w:szCs w:val="24"/>
        </w:rPr>
      </w:pPr>
      <w:r w:rsidRPr="008B3782">
        <w:rPr>
          <w:b/>
          <w:i/>
        </w:rPr>
        <w:t>Services de radiocommunication concernés:</w:t>
      </w:r>
      <w:r w:rsidRPr="008B3782">
        <w:rPr>
          <w:bCs/>
          <w:iCs/>
        </w:rPr>
        <w:t xml:space="preserve"> service fixe</w:t>
      </w:r>
      <w:r w:rsidR="00075309" w:rsidRPr="008B3782">
        <w:rPr>
          <w:bCs/>
          <w:iCs/>
        </w:rPr>
        <w:t xml:space="preserve"> </w:t>
      </w:r>
      <w:r w:rsidRPr="008B3782">
        <w:rPr>
          <w:bCs/>
          <w:iCs/>
        </w:rPr>
        <w:t>par satellite, service de radiodiffusion par satellite</w:t>
      </w:r>
    </w:p>
    <w:p w14:paraId="2BBD6AF1" w14:textId="77777777" w:rsidR="00060056" w:rsidRPr="00A2595B" w:rsidRDefault="00060056" w:rsidP="00176A1E">
      <w:pPr>
        <w:pBdr>
          <w:bottom w:val="single" w:sz="12" w:space="1" w:color="auto"/>
        </w:pBdr>
        <w:rPr>
          <w:color w:val="000000"/>
          <w:sz w:val="16"/>
          <w:szCs w:val="16"/>
        </w:rPr>
      </w:pPr>
    </w:p>
    <w:p w14:paraId="1CBC683C" w14:textId="0FF13A26" w:rsidR="00060056" w:rsidRPr="008B3782" w:rsidRDefault="00795B7F" w:rsidP="00F50BFB">
      <w:pPr>
        <w:spacing w:before="100"/>
        <w:rPr>
          <w:b/>
          <w:bCs/>
          <w:i/>
          <w:color w:val="000000"/>
          <w:szCs w:val="24"/>
        </w:rPr>
      </w:pPr>
      <w:r w:rsidRPr="008B3782">
        <w:rPr>
          <w:b/>
          <w:i/>
        </w:rPr>
        <w:t>Indication des difficultés éventuelles:</w:t>
      </w:r>
      <w:r w:rsidRPr="008B3782">
        <w:rPr>
          <w:bCs/>
          <w:iCs/>
        </w:rPr>
        <w:t xml:space="preserve"> Aucune difficulté n</w:t>
      </w:r>
      <w:r w:rsidR="00FF5FF6" w:rsidRPr="008B3782">
        <w:rPr>
          <w:bCs/>
          <w:iCs/>
        </w:rPr>
        <w:t>'</w:t>
      </w:r>
      <w:r w:rsidRPr="008B3782">
        <w:rPr>
          <w:bCs/>
          <w:iCs/>
        </w:rPr>
        <w:t>est prévue</w:t>
      </w:r>
    </w:p>
    <w:p w14:paraId="02F7809F" w14:textId="77777777" w:rsidR="00060056" w:rsidRPr="00A2595B" w:rsidRDefault="00060056" w:rsidP="00176A1E">
      <w:pPr>
        <w:pBdr>
          <w:bottom w:val="single" w:sz="12" w:space="1" w:color="auto"/>
        </w:pBdr>
        <w:rPr>
          <w:color w:val="000000"/>
          <w:sz w:val="16"/>
          <w:szCs w:val="16"/>
        </w:rPr>
      </w:pPr>
    </w:p>
    <w:p w14:paraId="6C0DF76D" w14:textId="402F3CA6" w:rsidR="00060056" w:rsidRPr="008B3782" w:rsidRDefault="008B3782" w:rsidP="00F50BFB">
      <w:pPr>
        <w:spacing w:before="100"/>
        <w:rPr>
          <w:b/>
          <w:bCs/>
          <w:i/>
          <w:color w:val="000000"/>
          <w:szCs w:val="24"/>
        </w:rPr>
      </w:pPr>
      <w:r w:rsidRPr="008B3782">
        <w:rPr>
          <w:b/>
          <w:i/>
        </w:rPr>
        <w:t>Études</w:t>
      </w:r>
      <w:r w:rsidR="00795B7F" w:rsidRPr="008B3782">
        <w:rPr>
          <w:b/>
          <w:i/>
        </w:rPr>
        <w:t xml:space="preserve"> précédentes ou en cours sur la question:</w:t>
      </w:r>
      <w:r w:rsidR="00795B7F" w:rsidRPr="008B3782">
        <w:rPr>
          <w:bCs/>
          <w:iCs/>
        </w:rPr>
        <w:t xml:space="preserve"> </w:t>
      </w:r>
      <w:r w:rsidR="00C72953" w:rsidRPr="008B3782">
        <w:rPr>
          <w:color w:val="000000"/>
        </w:rPr>
        <w:t>Aucune à ce jour</w:t>
      </w:r>
    </w:p>
    <w:p w14:paraId="6ED9FC1F" w14:textId="77777777" w:rsidR="00060056" w:rsidRPr="00A2595B" w:rsidRDefault="00060056" w:rsidP="00176A1E">
      <w:pPr>
        <w:pBdr>
          <w:bottom w:val="single" w:sz="12" w:space="1" w:color="auto"/>
        </w:pBdr>
        <w:rPr>
          <w:color w:val="000000"/>
          <w:sz w:val="16"/>
          <w:szCs w:val="16"/>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060056" w:rsidRPr="008B3782" w14:paraId="52A0E75C" w14:textId="77777777" w:rsidTr="00A2595B">
        <w:trPr>
          <w:jc w:val="center"/>
        </w:trPr>
        <w:tc>
          <w:tcPr>
            <w:tcW w:w="3979" w:type="dxa"/>
            <w:tcBorders>
              <w:top w:val="nil"/>
              <w:left w:val="nil"/>
              <w:bottom w:val="single" w:sz="12" w:space="0" w:color="auto"/>
              <w:right w:val="single" w:sz="12" w:space="0" w:color="auto"/>
            </w:tcBorders>
            <w:tcMar>
              <w:left w:w="57" w:type="dxa"/>
            </w:tcMar>
            <w:hideMark/>
          </w:tcPr>
          <w:p w14:paraId="3BAA14D8" w14:textId="172FE8DC" w:rsidR="00060056" w:rsidRPr="008B3782" w:rsidRDefault="008B3782" w:rsidP="00F50BFB">
            <w:pPr>
              <w:framePr w:hSpace="181" w:wrap="notBeside" w:vAnchor="text" w:hAnchor="text" w:xAlign="center" w:y="1"/>
              <w:tabs>
                <w:tab w:val="left" w:pos="4366"/>
              </w:tabs>
              <w:spacing w:before="100"/>
              <w:rPr>
                <w:b/>
                <w:bCs/>
                <w:i/>
                <w:iCs/>
                <w:color w:val="000000"/>
                <w:szCs w:val="24"/>
              </w:rPr>
            </w:pPr>
            <w:r w:rsidRPr="008B3782">
              <w:rPr>
                <w:b/>
                <w:bCs/>
                <w:i/>
                <w:iCs/>
              </w:rPr>
              <w:t>Études</w:t>
            </w:r>
            <w:r w:rsidR="00795B7F" w:rsidRPr="008B3782">
              <w:rPr>
                <w:b/>
                <w:bCs/>
                <w:i/>
                <w:iCs/>
              </w:rPr>
              <w:t xml:space="preserve"> devant être réalisées par:</w:t>
            </w:r>
            <w:r w:rsidR="00795B7F" w:rsidRPr="008B3782">
              <w:rPr>
                <w:b/>
                <w:i/>
              </w:rPr>
              <w:t xml:space="preserve"> </w:t>
            </w:r>
            <w:r w:rsidR="00795B7F" w:rsidRPr="008B3782">
              <w:rPr>
                <w:bCs/>
                <w:iCs/>
                <w:color w:val="000000"/>
                <w:szCs w:val="24"/>
              </w:rPr>
              <w:t>CE</w:t>
            </w:r>
            <w:r w:rsidR="00060056" w:rsidRPr="008B3782">
              <w:rPr>
                <w:bCs/>
                <w:iCs/>
                <w:color w:val="000000"/>
                <w:szCs w:val="24"/>
              </w:rPr>
              <w:t>4</w:t>
            </w:r>
          </w:p>
        </w:tc>
        <w:tc>
          <w:tcPr>
            <w:tcW w:w="5357" w:type="dxa"/>
            <w:tcBorders>
              <w:top w:val="nil"/>
              <w:left w:val="single" w:sz="12" w:space="0" w:color="auto"/>
              <w:bottom w:val="single" w:sz="12" w:space="0" w:color="auto"/>
              <w:right w:val="nil"/>
            </w:tcBorders>
            <w:tcMar>
              <w:left w:w="57" w:type="dxa"/>
            </w:tcMar>
          </w:tcPr>
          <w:p w14:paraId="06EE6562" w14:textId="2127F344" w:rsidR="00060056" w:rsidRPr="008B3782" w:rsidRDefault="00795B7F" w:rsidP="00176A1E">
            <w:pPr>
              <w:framePr w:hSpace="181" w:wrap="notBeside" w:vAnchor="text" w:hAnchor="text" w:xAlign="center" w:y="1"/>
              <w:rPr>
                <w:b/>
                <w:i/>
                <w:iCs/>
                <w:color w:val="000000"/>
                <w:szCs w:val="24"/>
              </w:rPr>
            </w:pPr>
            <w:r w:rsidRPr="008B3782">
              <w:rPr>
                <w:b/>
                <w:bCs/>
                <w:i/>
                <w:iCs/>
              </w:rPr>
              <w:t>avec la participation de:</w:t>
            </w:r>
          </w:p>
          <w:p w14:paraId="02B41BF3" w14:textId="77777777" w:rsidR="00060056" w:rsidRPr="008B3782" w:rsidRDefault="00060056" w:rsidP="00176A1E">
            <w:pPr>
              <w:framePr w:hSpace="181" w:wrap="notBeside" w:vAnchor="text" w:hAnchor="text" w:xAlign="center" w:y="1"/>
              <w:tabs>
                <w:tab w:val="left" w:pos="4366"/>
              </w:tabs>
              <w:rPr>
                <w:b/>
                <w:i/>
                <w:iCs/>
                <w:color w:val="000000"/>
                <w:szCs w:val="24"/>
              </w:rPr>
            </w:pPr>
          </w:p>
        </w:tc>
      </w:tr>
    </w:tbl>
    <w:p w14:paraId="01D8831A" w14:textId="31CD103D" w:rsidR="00060056" w:rsidRPr="008B3782" w:rsidRDefault="00414F77" w:rsidP="00F50BFB">
      <w:pPr>
        <w:spacing w:before="100"/>
        <w:rPr>
          <w:bCs/>
          <w:color w:val="000000"/>
          <w:szCs w:val="24"/>
        </w:rPr>
      </w:pPr>
      <w:r w:rsidRPr="008B3782">
        <w:rPr>
          <w:b/>
          <w:i/>
        </w:rPr>
        <w:t>Commissions d'études de l'UIT-R concernées:</w:t>
      </w:r>
      <w:r w:rsidRPr="008B3782">
        <w:rPr>
          <w:bCs/>
          <w:iCs/>
        </w:rPr>
        <w:t xml:space="preserve"> </w:t>
      </w:r>
      <w:r w:rsidRPr="008B3782">
        <w:rPr>
          <w:b/>
          <w:bCs/>
          <w:i/>
          <w:iCs/>
          <w:color w:val="000000"/>
          <w:szCs w:val="24"/>
        </w:rPr>
        <w:t>CE</w:t>
      </w:r>
      <w:r w:rsidR="00484EE0">
        <w:rPr>
          <w:b/>
          <w:bCs/>
          <w:i/>
          <w:iCs/>
          <w:color w:val="000000"/>
          <w:szCs w:val="24"/>
        </w:rPr>
        <w:t> </w:t>
      </w:r>
      <w:r w:rsidR="00060056" w:rsidRPr="008B3782">
        <w:rPr>
          <w:b/>
          <w:bCs/>
          <w:i/>
          <w:iCs/>
          <w:color w:val="000000"/>
          <w:szCs w:val="24"/>
        </w:rPr>
        <w:t>5</w:t>
      </w:r>
    </w:p>
    <w:p w14:paraId="6A2A3C48" w14:textId="77777777" w:rsidR="00060056" w:rsidRPr="00F50BFB" w:rsidRDefault="00060056" w:rsidP="00176A1E">
      <w:pPr>
        <w:pBdr>
          <w:bottom w:val="single" w:sz="12" w:space="1" w:color="auto"/>
        </w:pBdr>
        <w:rPr>
          <w:color w:val="000000"/>
          <w:sz w:val="14"/>
          <w:szCs w:val="14"/>
        </w:rPr>
      </w:pPr>
    </w:p>
    <w:p w14:paraId="71578D11" w14:textId="7719EF66" w:rsidR="00060056" w:rsidRPr="008B3782" w:rsidRDefault="00060056" w:rsidP="00F50BFB">
      <w:pPr>
        <w:tabs>
          <w:tab w:val="left" w:pos="360"/>
          <w:tab w:val="left" w:pos="900"/>
        </w:tabs>
        <w:spacing w:before="100"/>
        <w:rPr>
          <w:i/>
          <w:iCs/>
          <w:color w:val="000000"/>
          <w:szCs w:val="24"/>
        </w:rPr>
      </w:pPr>
      <w:r w:rsidRPr="008B3782">
        <w:rPr>
          <w:b/>
          <w:bCs/>
          <w:i/>
          <w:iCs/>
          <w:color w:val="000000"/>
          <w:szCs w:val="24"/>
        </w:rPr>
        <w:t>Répercussions au niveau des ressources de l'UIT, y compris incidences financières (voir le numéro 126 de la Convention)</w:t>
      </w:r>
      <w:r w:rsidRPr="008B3782">
        <w:rPr>
          <w:i/>
          <w:iCs/>
          <w:color w:val="000000"/>
          <w:szCs w:val="24"/>
        </w:rPr>
        <w:t xml:space="preserve">: </w:t>
      </w:r>
      <w:r w:rsidR="00414F77" w:rsidRPr="008B3782">
        <w:rPr>
          <w:bCs/>
          <w:iCs/>
        </w:rPr>
        <w:t>minimes</w:t>
      </w:r>
    </w:p>
    <w:p w14:paraId="46CBC022" w14:textId="77777777" w:rsidR="00060056" w:rsidRPr="00F50BFB" w:rsidRDefault="00060056" w:rsidP="00176A1E">
      <w:pPr>
        <w:pBdr>
          <w:bottom w:val="single" w:sz="12" w:space="1" w:color="auto"/>
        </w:pBdr>
        <w:rPr>
          <w:color w:val="000000"/>
          <w:sz w:val="14"/>
          <w:szCs w:val="14"/>
        </w:rPr>
      </w:pPr>
    </w:p>
    <w:p w14:paraId="1196B50B" w14:textId="5A4D43BB" w:rsidR="00060056" w:rsidRPr="008B3782" w:rsidRDefault="00060056" w:rsidP="00F50BFB">
      <w:pPr>
        <w:tabs>
          <w:tab w:val="left" w:pos="4366"/>
        </w:tabs>
        <w:spacing w:before="100"/>
        <w:rPr>
          <w:color w:val="000000"/>
          <w:szCs w:val="24"/>
        </w:rPr>
      </w:pPr>
      <w:r w:rsidRPr="008B3782">
        <w:rPr>
          <w:b/>
          <w:bCs/>
          <w:i/>
          <w:iCs/>
          <w:color w:val="000000"/>
          <w:szCs w:val="24"/>
        </w:rPr>
        <w:t>Proposition régionale commune</w:t>
      </w:r>
      <w:r w:rsidRPr="008B3782">
        <w:rPr>
          <w:b/>
          <w:bCs/>
          <w:i/>
          <w:color w:val="000000"/>
          <w:szCs w:val="24"/>
        </w:rPr>
        <w:t xml:space="preserve">: </w:t>
      </w:r>
      <w:r w:rsidRPr="008B3782">
        <w:rPr>
          <w:bCs/>
          <w:iCs/>
          <w:color w:val="000000"/>
          <w:szCs w:val="24"/>
        </w:rPr>
        <w:t>Oui/Non</w:t>
      </w:r>
      <w:r w:rsidRPr="008B3782">
        <w:rPr>
          <w:color w:val="000000"/>
          <w:szCs w:val="24"/>
        </w:rPr>
        <w:tab/>
      </w:r>
      <w:r w:rsidRPr="008B3782">
        <w:rPr>
          <w:b/>
          <w:bCs/>
          <w:i/>
          <w:iCs/>
          <w:color w:val="000000"/>
          <w:szCs w:val="24"/>
        </w:rPr>
        <w:t>Proposition soumise par plusieurs pays</w:t>
      </w:r>
      <w:r w:rsidRPr="008B3782">
        <w:rPr>
          <w:b/>
          <w:bCs/>
          <w:i/>
          <w:color w:val="000000"/>
          <w:szCs w:val="24"/>
        </w:rPr>
        <w:t xml:space="preserve">: </w:t>
      </w:r>
      <w:r w:rsidRPr="008B3782">
        <w:rPr>
          <w:bCs/>
          <w:iCs/>
          <w:color w:val="000000"/>
          <w:szCs w:val="24"/>
        </w:rPr>
        <w:t>Oui/Non</w:t>
      </w:r>
    </w:p>
    <w:p w14:paraId="5DAC0E8F" w14:textId="62A40D7D" w:rsidR="00060056" w:rsidRPr="008B3782" w:rsidRDefault="00060056" w:rsidP="00176A1E">
      <w:pPr>
        <w:tabs>
          <w:tab w:val="left" w:pos="360"/>
          <w:tab w:val="left" w:pos="900"/>
          <w:tab w:val="left" w:pos="4366"/>
        </w:tabs>
        <w:rPr>
          <w:i/>
          <w:iCs/>
          <w:color w:val="000000"/>
          <w:szCs w:val="24"/>
        </w:rPr>
      </w:pPr>
      <w:r w:rsidRPr="008B3782">
        <w:rPr>
          <w:i/>
          <w:iCs/>
          <w:color w:val="000000"/>
          <w:szCs w:val="24"/>
        </w:rPr>
        <w:tab/>
      </w:r>
      <w:r w:rsidRPr="008B3782">
        <w:rPr>
          <w:b/>
          <w:bCs/>
          <w:i/>
          <w:iCs/>
          <w:color w:val="000000"/>
          <w:szCs w:val="24"/>
        </w:rPr>
        <w:t>Nombre de pays:</w:t>
      </w:r>
    </w:p>
    <w:p w14:paraId="2CB75A31" w14:textId="77777777" w:rsidR="00060056" w:rsidRPr="00F50BFB" w:rsidRDefault="00060056" w:rsidP="00176A1E">
      <w:pPr>
        <w:pBdr>
          <w:bottom w:val="single" w:sz="12" w:space="1" w:color="auto"/>
        </w:pBdr>
        <w:rPr>
          <w:color w:val="000000"/>
          <w:sz w:val="14"/>
          <w:szCs w:val="14"/>
        </w:rPr>
      </w:pPr>
    </w:p>
    <w:p w14:paraId="2239EF2C" w14:textId="77777777" w:rsidR="00F50BFB" w:rsidRDefault="00414F77" w:rsidP="00F50BFB">
      <w:pPr>
        <w:spacing w:before="100" w:after="60"/>
        <w:rPr>
          <w:b/>
          <w:i/>
        </w:rPr>
      </w:pPr>
      <w:r w:rsidRPr="008B3782">
        <w:rPr>
          <w:b/>
          <w:i/>
        </w:rPr>
        <w:t>Observations:</w:t>
      </w:r>
    </w:p>
    <w:p w14:paraId="5A723B52" w14:textId="103A28BF" w:rsidR="007964C7" w:rsidRPr="008B3782" w:rsidRDefault="00060056" w:rsidP="00F50BFB">
      <w:pPr>
        <w:spacing w:before="100" w:after="60"/>
        <w:jc w:val="center"/>
      </w:pPr>
      <w:r w:rsidRPr="008B3782">
        <w:t>______________</w:t>
      </w:r>
    </w:p>
    <w:sectPr w:rsidR="007964C7" w:rsidRPr="008B3782">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F32A6" w14:textId="77777777" w:rsidR="0070076C" w:rsidRDefault="0070076C">
      <w:r>
        <w:separator/>
      </w:r>
    </w:p>
  </w:endnote>
  <w:endnote w:type="continuationSeparator" w:id="0">
    <w:p w14:paraId="7A04DE49"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FCF8" w14:textId="0D61D525" w:rsidR="00936D25" w:rsidRDefault="00936D25">
    <w:pPr>
      <w:rPr>
        <w:lang w:val="en-US"/>
      </w:rPr>
    </w:pPr>
    <w:r>
      <w:fldChar w:fldCharType="begin"/>
    </w:r>
    <w:r>
      <w:rPr>
        <w:lang w:val="en-US"/>
      </w:rPr>
      <w:instrText xml:space="preserve"> FILENAME \p  \* MERGEFORMAT </w:instrText>
    </w:r>
    <w:r>
      <w:fldChar w:fldCharType="separate"/>
    </w:r>
    <w:r w:rsidR="00484EE0">
      <w:rPr>
        <w:noProof/>
        <w:lang w:val="en-US"/>
      </w:rPr>
      <w:t>P:\FRA\ITU-R\CONF-R\CMR19\000\011ADD24ADD12F.docx</w:t>
    </w:r>
    <w:r>
      <w:fldChar w:fldCharType="end"/>
    </w:r>
    <w:r>
      <w:rPr>
        <w:lang w:val="en-US"/>
      </w:rPr>
      <w:tab/>
    </w:r>
    <w:r>
      <w:fldChar w:fldCharType="begin"/>
    </w:r>
    <w:r>
      <w:instrText xml:space="preserve"> SAVEDATE \@ DD.MM.YY </w:instrText>
    </w:r>
    <w:r>
      <w:fldChar w:fldCharType="separate"/>
    </w:r>
    <w:r w:rsidR="00484EE0">
      <w:rPr>
        <w:noProof/>
      </w:rPr>
      <w:t>08.10.19</w:t>
    </w:r>
    <w:r>
      <w:fldChar w:fldCharType="end"/>
    </w:r>
    <w:r>
      <w:rPr>
        <w:lang w:val="en-US"/>
      </w:rPr>
      <w:tab/>
    </w:r>
    <w:r>
      <w:fldChar w:fldCharType="begin"/>
    </w:r>
    <w:r>
      <w:instrText xml:space="preserve"> PRINTDATE \@ DD.MM.YY </w:instrText>
    </w:r>
    <w:r>
      <w:fldChar w:fldCharType="separate"/>
    </w:r>
    <w:r w:rsidR="00484EE0">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5C40E" w14:textId="4D94465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84EE0">
      <w:rPr>
        <w:lang w:val="en-US"/>
      </w:rPr>
      <w:t>P:\FRA\ITU-R\CONF-R\CMR19\000\011ADD24ADD12F.docx</w:t>
    </w:r>
    <w:r>
      <w:fldChar w:fldCharType="end"/>
    </w:r>
    <w:r w:rsidR="002630B2" w:rsidRPr="00CA4F94">
      <w:rPr>
        <w:lang w:val="en-US"/>
      </w:rPr>
      <w:t xml:space="preserve"> (460777)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0FA46" w14:textId="79167BDA"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84EE0">
      <w:rPr>
        <w:lang w:val="en-US"/>
      </w:rPr>
      <w:t>P:\FRA\ITU-R\CONF-R\CMR19\000\011ADD24ADD12F.docx</w:t>
    </w:r>
    <w:r>
      <w:fldChar w:fldCharType="end"/>
    </w:r>
    <w:r w:rsidR="002630B2" w:rsidRPr="00CA4F94">
      <w:rPr>
        <w:lang w:val="en-US"/>
      </w:rPr>
      <w:t xml:space="preserve"> (460777)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27D7F" w14:textId="77777777" w:rsidR="0070076C" w:rsidRDefault="0070076C">
      <w:r>
        <w:rPr>
          <w:b/>
        </w:rPr>
        <w:t>_______________</w:t>
      </w:r>
    </w:p>
  </w:footnote>
  <w:footnote w:type="continuationSeparator" w:id="0">
    <w:p w14:paraId="7CF7C2BF"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2B82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2BFD3A9" w14:textId="77777777" w:rsidR="004F1F8E" w:rsidRDefault="004F1F8E" w:rsidP="00FD7AA3">
    <w:pPr>
      <w:pStyle w:val="Header"/>
    </w:pPr>
    <w:r>
      <w:t>CMR1</w:t>
    </w:r>
    <w:r w:rsidR="00FD7AA3">
      <w:t>9</w:t>
    </w:r>
    <w:r>
      <w:t>/</w:t>
    </w:r>
    <w:r w:rsidR="006A4B45">
      <w:t>11(Add.24)(Add.12)-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B43BC45-7788-48A4-8E96-F0CACEA74AEA}"/>
    <w:docVar w:name="dgnword-eventsink" w:val="1611766276288"/>
  </w:docVars>
  <w:rsids>
    <w:rsidRoot w:val="00BB1D82"/>
    <w:rsid w:val="00007EC7"/>
    <w:rsid w:val="00010B43"/>
    <w:rsid w:val="00016648"/>
    <w:rsid w:val="000327F1"/>
    <w:rsid w:val="0003522F"/>
    <w:rsid w:val="00060056"/>
    <w:rsid w:val="00063A1F"/>
    <w:rsid w:val="00066F42"/>
    <w:rsid w:val="00075309"/>
    <w:rsid w:val="00080E2C"/>
    <w:rsid w:val="00081366"/>
    <w:rsid w:val="000863B3"/>
    <w:rsid w:val="000A4755"/>
    <w:rsid w:val="000A55AE"/>
    <w:rsid w:val="000B2E0C"/>
    <w:rsid w:val="000B3D0C"/>
    <w:rsid w:val="001167B9"/>
    <w:rsid w:val="001267A0"/>
    <w:rsid w:val="00147563"/>
    <w:rsid w:val="0015203F"/>
    <w:rsid w:val="00160C64"/>
    <w:rsid w:val="00176A1E"/>
    <w:rsid w:val="0018169B"/>
    <w:rsid w:val="0019352B"/>
    <w:rsid w:val="001960D0"/>
    <w:rsid w:val="001A11F6"/>
    <w:rsid w:val="001F17E8"/>
    <w:rsid w:val="00204306"/>
    <w:rsid w:val="00232FD2"/>
    <w:rsid w:val="002630B2"/>
    <w:rsid w:val="0026554E"/>
    <w:rsid w:val="002A4622"/>
    <w:rsid w:val="002A6F8F"/>
    <w:rsid w:val="002B17E5"/>
    <w:rsid w:val="002B22DF"/>
    <w:rsid w:val="002C0EBF"/>
    <w:rsid w:val="002C28A4"/>
    <w:rsid w:val="002D02B6"/>
    <w:rsid w:val="002D7E0A"/>
    <w:rsid w:val="00305485"/>
    <w:rsid w:val="00315AFE"/>
    <w:rsid w:val="003503A8"/>
    <w:rsid w:val="003606A6"/>
    <w:rsid w:val="00361278"/>
    <w:rsid w:val="003646E4"/>
    <w:rsid w:val="0036650C"/>
    <w:rsid w:val="00393ACD"/>
    <w:rsid w:val="003A1252"/>
    <w:rsid w:val="003A583E"/>
    <w:rsid w:val="003A5F02"/>
    <w:rsid w:val="003E112B"/>
    <w:rsid w:val="003E1D1C"/>
    <w:rsid w:val="003E7B05"/>
    <w:rsid w:val="003F3719"/>
    <w:rsid w:val="003F6F2D"/>
    <w:rsid w:val="00414F77"/>
    <w:rsid w:val="0042246C"/>
    <w:rsid w:val="00466211"/>
    <w:rsid w:val="00483196"/>
    <w:rsid w:val="004834A9"/>
    <w:rsid w:val="00484EE0"/>
    <w:rsid w:val="00487D1C"/>
    <w:rsid w:val="004B5040"/>
    <w:rsid w:val="004B7D8A"/>
    <w:rsid w:val="004C6DD6"/>
    <w:rsid w:val="004D01FC"/>
    <w:rsid w:val="004E28C3"/>
    <w:rsid w:val="004E76FB"/>
    <w:rsid w:val="004F1F8E"/>
    <w:rsid w:val="00512A32"/>
    <w:rsid w:val="005343DA"/>
    <w:rsid w:val="00534942"/>
    <w:rsid w:val="00560874"/>
    <w:rsid w:val="00586CF2"/>
    <w:rsid w:val="005A7C75"/>
    <w:rsid w:val="005C3768"/>
    <w:rsid w:val="005C6C3F"/>
    <w:rsid w:val="005E0F37"/>
    <w:rsid w:val="005F566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774F9"/>
    <w:rsid w:val="00786598"/>
    <w:rsid w:val="00790C74"/>
    <w:rsid w:val="00795B7F"/>
    <w:rsid w:val="007964C7"/>
    <w:rsid w:val="007A04E8"/>
    <w:rsid w:val="007B2C34"/>
    <w:rsid w:val="007D60DE"/>
    <w:rsid w:val="008241C3"/>
    <w:rsid w:val="00830086"/>
    <w:rsid w:val="00851625"/>
    <w:rsid w:val="00863C0A"/>
    <w:rsid w:val="00865B63"/>
    <w:rsid w:val="008A3120"/>
    <w:rsid w:val="008A4B97"/>
    <w:rsid w:val="008A5F18"/>
    <w:rsid w:val="008B3782"/>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249D1"/>
    <w:rsid w:val="00A2595B"/>
    <w:rsid w:val="00A37105"/>
    <w:rsid w:val="00A606C3"/>
    <w:rsid w:val="00A83B09"/>
    <w:rsid w:val="00A84541"/>
    <w:rsid w:val="00AC4EAC"/>
    <w:rsid w:val="00AE36A0"/>
    <w:rsid w:val="00B00294"/>
    <w:rsid w:val="00B04F8C"/>
    <w:rsid w:val="00B23AFA"/>
    <w:rsid w:val="00B3749C"/>
    <w:rsid w:val="00B64FD0"/>
    <w:rsid w:val="00B7795F"/>
    <w:rsid w:val="00BA4A7F"/>
    <w:rsid w:val="00BA5BD0"/>
    <w:rsid w:val="00BB1D82"/>
    <w:rsid w:val="00BD51C5"/>
    <w:rsid w:val="00BF26E7"/>
    <w:rsid w:val="00C53FCA"/>
    <w:rsid w:val="00C72953"/>
    <w:rsid w:val="00C76BAF"/>
    <w:rsid w:val="00C814B9"/>
    <w:rsid w:val="00CA4F94"/>
    <w:rsid w:val="00CD516F"/>
    <w:rsid w:val="00CF7937"/>
    <w:rsid w:val="00D119A7"/>
    <w:rsid w:val="00D25FBA"/>
    <w:rsid w:val="00D32B28"/>
    <w:rsid w:val="00D42954"/>
    <w:rsid w:val="00D66EAC"/>
    <w:rsid w:val="00D730DF"/>
    <w:rsid w:val="00D772F0"/>
    <w:rsid w:val="00D77BDC"/>
    <w:rsid w:val="00DA533E"/>
    <w:rsid w:val="00DC402B"/>
    <w:rsid w:val="00DE0932"/>
    <w:rsid w:val="00E03A27"/>
    <w:rsid w:val="00E049F1"/>
    <w:rsid w:val="00E328C4"/>
    <w:rsid w:val="00E37A25"/>
    <w:rsid w:val="00E537FF"/>
    <w:rsid w:val="00E6539B"/>
    <w:rsid w:val="00E70A31"/>
    <w:rsid w:val="00E723A7"/>
    <w:rsid w:val="00EA3F38"/>
    <w:rsid w:val="00EA42EC"/>
    <w:rsid w:val="00EA5AB6"/>
    <w:rsid w:val="00EC7615"/>
    <w:rsid w:val="00ED16AA"/>
    <w:rsid w:val="00ED464A"/>
    <w:rsid w:val="00ED6B8D"/>
    <w:rsid w:val="00EE3D7B"/>
    <w:rsid w:val="00EF662E"/>
    <w:rsid w:val="00F10064"/>
    <w:rsid w:val="00F148F1"/>
    <w:rsid w:val="00F50939"/>
    <w:rsid w:val="00F50BFB"/>
    <w:rsid w:val="00F711A7"/>
    <w:rsid w:val="00F848FA"/>
    <w:rsid w:val="00F921C0"/>
    <w:rsid w:val="00FA3BBF"/>
    <w:rsid w:val="00FC41F8"/>
    <w:rsid w:val="00FD7AA3"/>
    <w:rsid w:val="00FF1C40"/>
    <w:rsid w:val="00FF5F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93506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R16-WRC19-C-0011!A24-A12!MSW-F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AFE3E989-0B83-42C0-8B37-EFD389787452}">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996b2e75-67fd-4955-a3b0-5ab9934cb50b"/>
    <ds:schemaRef ds:uri="http://www.w3.org/XML/1998/namespace"/>
    <ds:schemaRef ds:uri="http://purl.org/dc/terms/"/>
    <ds:schemaRef ds:uri="http://purl.org/dc/elements/1.1/"/>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CC6A7C13-D05D-48CF-9D32-3EDCD0AD8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6364E-8402-439F-99F3-8C2017612B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1260</Words>
  <Characters>7007</Characters>
  <Application>Microsoft Office Word</Application>
  <DocSecurity>0</DocSecurity>
  <Lines>148</Lines>
  <Paragraphs>61</Paragraphs>
  <ScaleCrop>false</ScaleCrop>
  <HeadingPairs>
    <vt:vector size="2" baseType="variant">
      <vt:variant>
        <vt:lpstr>Title</vt:lpstr>
      </vt:variant>
      <vt:variant>
        <vt:i4>1</vt:i4>
      </vt:variant>
    </vt:vector>
  </HeadingPairs>
  <TitlesOfParts>
    <vt:vector size="1" baseType="lpstr">
      <vt:lpstr>R16-WRC19-C-0011!A24-A12!MSW-F</vt:lpstr>
    </vt:vector>
  </TitlesOfParts>
  <Manager>Secrétariat général - Pool</Manager>
  <Company>Union internationale des télécommunications (UIT)</Company>
  <LinksUpToDate>false</LinksUpToDate>
  <CharactersWithSpaces>8208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R16-WRC19-C-0011!A24-A12!MSW-F</dc:title>
  <dc:subject>Conférence mondiale des radiocommunications - 2019</dc:subject>
  <dc:creator>Documents Proposals Manager (DPM)</dc:creator>
  <cp:keywords>DPM_v2019.9.18.2_prod</cp:keywords>
  <dc:description/>
  <cp:lastModifiedBy>Royer, Veronique</cp:lastModifiedBy>
  <cp:revision>14</cp:revision>
  <cp:lastPrinted>2019-10-08T13:54:00Z</cp:lastPrinted>
  <dcterms:created xsi:type="dcterms:W3CDTF">2019-10-08T08:15:00Z</dcterms:created>
  <dcterms:modified xsi:type="dcterms:W3CDTF">2019-10-08T13:54:00Z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