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2A6F8F" w14:paraId="6A1F75CA" w14:textId="77777777" w:rsidTr="00107FBE">
        <w:trPr>
          <w:cantSplit/>
        </w:trPr>
        <w:tc>
          <w:tcPr>
            <w:tcW w:w="6804" w:type="dxa"/>
          </w:tcPr>
          <w:p w14:paraId="4A37A026" w14:textId="77777777" w:rsidR="00BB1D82" w:rsidRPr="00930FFD" w:rsidRDefault="00851625" w:rsidP="00107FBE">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227" w:type="dxa"/>
          </w:tcPr>
          <w:p w14:paraId="5307B7B5" w14:textId="77777777" w:rsidR="00BB1D82" w:rsidRPr="002A6F8F" w:rsidRDefault="000A55AE" w:rsidP="00107FBE">
            <w:pPr>
              <w:spacing w:before="0"/>
              <w:jc w:val="right"/>
              <w:rPr>
                <w:lang w:val="en-US"/>
              </w:rPr>
            </w:pPr>
            <w:bookmarkStart w:id="0" w:name="ditulogo"/>
            <w:bookmarkEnd w:id="0"/>
            <w:r>
              <w:rPr>
                <w:rFonts w:ascii="Verdana" w:hAnsi="Verdana"/>
                <w:b/>
                <w:bCs/>
                <w:noProof/>
                <w:lang w:val="en-US" w:eastAsia="zh-CN"/>
              </w:rPr>
              <w:drawing>
                <wp:inline distT="0" distB="0" distL="0" distR="0" wp14:anchorId="46946D4F" wp14:editId="4732381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69EE45D0" w14:textId="77777777" w:rsidTr="00107FBE">
        <w:trPr>
          <w:cantSplit/>
        </w:trPr>
        <w:tc>
          <w:tcPr>
            <w:tcW w:w="6804" w:type="dxa"/>
            <w:tcBorders>
              <w:bottom w:val="single" w:sz="12" w:space="0" w:color="auto"/>
            </w:tcBorders>
          </w:tcPr>
          <w:p w14:paraId="53F6BAD2" w14:textId="77777777" w:rsidR="00BB1D82" w:rsidRPr="002A6F8F" w:rsidRDefault="00BB1D82" w:rsidP="00107FBE">
            <w:pPr>
              <w:spacing w:before="0" w:after="48"/>
              <w:rPr>
                <w:b/>
                <w:smallCaps/>
                <w:szCs w:val="24"/>
                <w:lang w:val="en-US"/>
              </w:rPr>
            </w:pPr>
            <w:bookmarkStart w:id="1" w:name="dhead"/>
          </w:p>
        </w:tc>
        <w:tc>
          <w:tcPr>
            <w:tcW w:w="3227" w:type="dxa"/>
            <w:tcBorders>
              <w:bottom w:val="single" w:sz="12" w:space="0" w:color="auto"/>
            </w:tcBorders>
          </w:tcPr>
          <w:p w14:paraId="3B69EE78" w14:textId="77777777" w:rsidR="00BB1D82" w:rsidRPr="002A6F8F" w:rsidRDefault="00BB1D82" w:rsidP="00107FBE">
            <w:pPr>
              <w:spacing w:before="0"/>
              <w:rPr>
                <w:rFonts w:ascii="Verdana" w:hAnsi="Verdana"/>
                <w:szCs w:val="24"/>
                <w:lang w:val="en-US"/>
              </w:rPr>
            </w:pPr>
          </w:p>
        </w:tc>
      </w:tr>
      <w:tr w:rsidR="00BB1D82" w:rsidRPr="002A6F8F" w14:paraId="7BE4EDB5" w14:textId="77777777" w:rsidTr="00107FBE">
        <w:trPr>
          <w:cantSplit/>
        </w:trPr>
        <w:tc>
          <w:tcPr>
            <w:tcW w:w="6804" w:type="dxa"/>
            <w:tcBorders>
              <w:top w:val="single" w:sz="12" w:space="0" w:color="auto"/>
            </w:tcBorders>
          </w:tcPr>
          <w:p w14:paraId="74F91CB1" w14:textId="77777777" w:rsidR="00BB1D82" w:rsidRPr="002A6F8F" w:rsidRDefault="00BB1D82" w:rsidP="00107FBE">
            <w:pPr>
              <w:spacing w:before="0" w:after="48"/>
              <w:rPr>
                <w:rFonts w:ascii="Verdana" w:hAnsi="Verdana"/>
                <w:b/>
                <w:smallCaps/>
                <w:sz w:val="20"/>
                <w:lang w:val="en-US"/>
              </w:rPr>
            </w:pPr>
          </w:p>
        </w:tc>
        <w:tc>
          <w:tcPr>
            <w:tcW w:w="3227" w:type="dxa"/>
            <w:tcBorders>
              <w:top w:val="single" w:sz="12" w:space="0" w:color="auto"/>
            </w:tcBorders>
          </w:tcPr>
          <w:p w14:paraId="13CEB43B" w14:textId="77777777" w:rsidR="00BB1D82" w:rsidRPr="002A6F8F" w:rsidRDefault="00BB1D82" w:rsidP="00107FBE">
            <w:pPr>
              <w:spacing w:before="0"/>
              <w:rPr>
                <w:rFonts w:ascii="Verdana" w:hAnsi="Verdana"/>
                <w:sz w:val="20"/>
                <w:lang w:val="en-US"/>
              </w:rPr>
            </w:pPr>
          </w:p>
        </w:tc>
      </w:tr>
      <w:tr w:rsidR="00BB1D82" w:rsidRPr="002A6F8F" w14:paraId="3D97AAA6" w14:textId="77777777" w:rsidTr="00107FBE">
        <w:trPr>
          <w:cantSplit/>
        </w:trPr>
        <w:tc>
          <w:tcPr>
            <w:tcW w:w="6804" w:type="dxa"/>
          </w:tcPr>
          <w:p w14:paraId="18803463" w14:textId="77777777" w:rsidR="00BB1D82" w:rsidRPr="00930FFD" w:rsidRDefault="006D4724" w:rsidP="00107FBE">
            <w:pPr>
              <w:spacing w:before="0"/>
              <w:rPr>
                <w:rFonts w:ascii="Verdana" w:hAnsi="Verdana"/>
                <w:b/>
                <w:sz w:val="20"/>
                <w:lang w:val="en-US"/>
              </w:rPr>
            </w:pPr>
            <w:r w:rsidRPr="00930FFD">
              <w:rPr>
                <w:rFonts w:ascii="Verdana" w:hAnsi="Verdana"/>
                <w:b/>
                <w:sz w:val="20"/>
                <w:lang w:val="en-US"/>
              </w:rPr>
              <w:t>SÉANCE PLÉNIÈRE</w:t>
            </w:r>
          </w:p>
        </w:tc>
        <w:tc>
          <w:tcPr>
            <w:tcW w:w="3227" w:type="dxa"/>
          </w:tcPr>
          <w:p w14:paraId="096688B8" w14:textId="77777777" w:rsidR="00BB1D82" w:rsidRPr="00822130" w:rsidRDefault="006D4724" w:rsidP="00107FBE">
            <w:pPr>
              <w:spacing w:before="0"/>
              <w:rPr>
                <w:rFonts w:ascii="Verdana" w:hAnsi="Verdana"/>
                <w:sz w:val="20"/>
                <w:lang w:val="fr-CH"/>
              </w:rPr>
            </w:pPr>
            <w:r w:rsidRPr="00822130">
              <w:rPr>
                <w:rFonts w:ascii="Verdana" w:hAnsi="Verdana"/>
                <w:b/>
                <w:sz w:val="20"/>
                <w:lang w:val="fr-CH"/>
              </w:rPr>
              <w:t>Addendum 16 au</w:t>
            </w:r>
            <w:r w:rsidRPr="00822130">
              <w:rPr>
                <w:rFonts w:ascii="Verdana" w:hAnsi="Verdana"/>
                <w:b/>
                <w:sz w:val="20"/>
                <w:lang w:val="fr-CH"/>
              </w:rPr>
              <w:br/>
              <w:t>Document 11(Add.24)</w:t>
            </w:r>
            <w:r w:rsidR="00BB1D82" w:rsidRPr="00822130">
              <w:rPr>
                <w:rFonts w:ascii="Verdana" w:hAnsi="Verdana"/>
                <w:b/>
                <w:sz w:val="20"/>
                <w:lang w:val="fr-CH"/>
              </w:rPr>
              <w:t>-</w:t>
            </w:r>
            <w:r w:rsidRPr="00822130">
              <w:rPr>
                <w:rFonts w:ascii="Verdana" w:hAnsi="Verdana"/>
                <w:b/>
                <w:sz w:val="20"/>
                <w:lang w:val="fr-CH"/>
              </w:rPr>
              <w:t>F</w:t>
            </w:r>
          </w:p>
        </w:tc>
      </w:tr>
      <w:bookmarkEnd w:id="1"/>
      <w:tr w:rsidR="00690C7B" w:rsidRPr="002A6F8F" w14:paraId="6E4E5943" w14:textId="77777777" w:rsidTr="00107FBE">
        <w:trPr>
          <w:cantSplit/>
        </w:trPr>
        <w:tc>
          <w:tcPr>
            <w:tcW w:w="6804" w:type="dxa"/>
          </w:tcPr>
          <w:p w14:paraId="7E7A77CB" w14:textId="77777777" w:rsidR="00690C7B" w:rsidRPr="00822130" w:rsidRDefault="00690C7B" w:rsidP="00107FBE">
            <w:pPr>
              <w:spacing w:before="0"/>
              <w:rPr>
                <w:rFonts w:ascii="Verdana" w:hAnsi="Verdana"/>
                <w:b/>
                <w:sz w:val="20"/>
                <w:lang w:val="fr-CH"/>
              </w:rPr>
            </w:pPr>
          </w:p>
        </w:tc>
        <w:tc>
          <w:tcPr>
            <w:tcW w:w="3227" w:type="dxa"/>
          </w:tcPr>
          <w:p w14:paraId="3B52B09D" w14:textId="77777777" w:rsidR="00690C7B" w:rsidRPr="002A6F8F" w:rsidRDefault="00690C7B" w:rsidP="00107FBE">
            <w:pPr>
              <w:spacing w:before="0"/>
              <w:rPr>
                <w:rFonts w:ascii="Verdana" w:hAnsi="Verdana"/>
                <w:b/>
                <w:sz w:val="20"/>
                <w:lang w:val="en-US"/>
              </w:rPr>
            </w:pPr>
            <w:r w:rsidRPr="002A6F8F">
              <w:rPr>
                <w:rFonts w:ascii="Verdana" w:hAnsi="Verdana"/>
                <w:b/>
                <w:sz w:val="20"/>
                <w:lang w:val="en-US"/>
              </w:rPr>
              <w:t>17 septembre 2019</w:t>
            </w:r>
          </w:p>
        </w:tc>
      </w:tr>
      <w:tr w:rsidR="00690C7B" w:rsidRPr="002A6F8F" w14:paraId="46ECA66D" w14:textId="77777777" w:rsidTr="00107FBE">
        <w:trPr>
          <w:cantSplit/>
        </w:trPr>
        <w:tc>
          <w:tcPr>
            <w:tcW w:w="6804" w:type="dxa"/>
          </w:tcPr>
          <w:p w14:paraId="4EC36490" w14:textId="77777777" w:rsidR="00690C7B" w:rsidRPr="002A6F8F" w:rsidRDefault="00690C7B" w:rsidP="00107FBE">
            <w:pPr>
              <w:spacing w:before="0" w:after="48"/>
              <w:rPr>
                <w:rFonts w:ascii="Verdana" w:hAnsi="Verdana"/>
                <w:b/>
                <w:smallCaps/>
                <w:sz w:val="20"/>
                <w:lang w:val="en-US"/>
              </w:rPr>
            </w:pPr>
          </w:p>
        </w:tc>
        <w:tc>
          <w:tcPr>
            <w:tcW w:w="3227" w:type="dxa"/>
          </w:tcPr>
          <w:p w14:paraId="38F5C0A7" w14:textId="26B9CCE5" w:rsidR="00690C7B" w:rsidRPr="002A6F8F" w:rsidRDefault="00690C7B" w:rsidP="00107FBE">
            <w:pPr>
              <w:spacing w:before="0"/>
              <w:rPr>
                <w:rFonts w:ascii="Verdana" w:hAnsi="Verdana"/>
                <w:b/>
                <w:sz w:val="20"/>
                <w:lang w:val="en-US"/>
              </w:rPr>
            </w:pPr>
            <w:r w:rsidRPr="002A6F8F">
              <w:rPr>
                <w:rFonts w:ascii="Verdana" w:hAnsi="Verdana"/>
                <w:b/>
                <w:sz w:val="20"/>
                <w:lang w:val="en-US"/>
              </w:rPr>
              <w:t>Original: anglais</w:t>
            </w:r>
            <w:r w:rsidR="00256544">
              <w:rPr>
                <w:rFonts w:ascii="Verdana" w:hAnsi="Verdana"/>
                <w:b/>
                <w:sz w:val="20"/>
                <w:lang w:val="en-US"/>
              </w:rPr>
              <w:t>/espagnol</w:t>
            </w:r>
          </w:p>
        </w:tc>
      </w:tr>
      <w:tr w:rsidR="00690C7B" w:rsidRPr="002A6F8F" w14:paraId="0AD73A4F" w14:textId="77777777" w:rsidTr="004F0DEB">
        <w:trPr>
          <w:cantSplit/>
        </w:trPr>
        <w:tc>
          <w:tcPr>
            <w:tcW w:w="10031" w:type="dxa"/>
            <w:gridSpan w:val="2"/>
          </w:tcPr>
          <w:p w14:paraId="7FB982AE" w14:textId="77777777" w:rsidR="00690C7B" w:rsidRPr="002A6F8F" w:rsidRDefault="00690C7B" w:rsidP="00107FBE">
            <w:pPr>
              <w:spacing w:before="0"/>
              <w:rPr>
                <w:rFonts w:ascii="Verdana" w:hAnsi="Verdana"/>
                <w:b/>
                <w:sz w:val="20"/>
                <w:lang w:val="en-US"/>
              </w:rPr>
            </w:pPr>
          </w:p>
        </w:tc>
      </w:tr>
      <w:tr w:rsidR="00690C7B" w:rsidRPr="002A6F8F" w14:paraId="48FA1CFB" w14:textId="77777777" w:rsidTr="004F0DEB">
        <w:trPr>
          <w:cantSplit/>
        </w:trPr>
        <w:tc>
          <w:tcPr>
            <w:tcW w:w="10031" w:type="dxa"/>
            <w:gridSpan w:val="2"/>
          </w:tcPr>
          <w:p w14:paraId="7DE4AE27" w14:textId="77777777" w:rsidR="00690C7B" w:rsidRPr="00822130" w:rsidRDefault="00690C7B" w:rsidP="00107FBE">
            <w:pPr>
              <w:pStyle w:val="Source"/>
              <w:rPr>
                <w:lang w:val="fr-CH"/>
              </w:rPr>
            </w:pPr>
            <w:bookmarkStart w:id="2" w:name="dsource" w:colFirst="0" w:colLast="0"/>
            <w:r w:rsidRPr="00822130">
              <w:rPr>
                <w:lang w:val="fr-CH"/>
              </w:rPr>
              <w:t>États Membres de la Commission interaméricaine des télécommunications (CITEL)</w:t>
            </w:r>
          </w:p>
        </w:tc>
      </w:tr>
      <w:tr w:rsidR="00690C7B" w:rsidRPr="00822130" w14:paraId="524F60E2" w14:textId="77777777" w:rsidTr="004F0DEB">
        <w:trPr>
          <w:cantSplit/>
        </w:trPr>
        <w:tc>
          <w:tcPr>
            <w:tcW w:w="10031" w:type="dxa"/>
            <w:gridSpan w:val="2"/>
          </w:tcPr>
          <w:p w14:paraId="3E36AB1E" w14:textId="0D934151" w:rsidR="00690C7B" w:rsidRPr="00822130" w:rsidRDefault="00822130" w:rsidP="00107FBE">
            <w:pPr>
              <w:pStyle w:val="Title1"/>
              <w:rPr>
                <w:lang w:val="fr-CH"/>
              </w:rPr>
            </w:pPr>
            <w:bookmarkStart w:id="3" w:name="dtitle1" w:colFirst="0" w:colLast="0"/>
            <w:bookmarkEnd w:id="2"/>
            <w:r w:rsidRPr="00822130">
              <w:rPr>
                <w:lang w:val="fr-CH"/>
              </w:rPr>
              <w:t>Proposition</w:t>
            </w:r>
            <w:r>
              <w:rPr>
                <w:lang w:val="fr-CH"/>
              </w:rPr>
              <w:t>s</w:t>
            </w:r>
            <w:r w:rsidRPr="00822130">
              <w:rPr>
                <w:lang w:val="fr-CH"/>
              </w:rPr>
              <w:t xml:space="preserve"> pour les travaux de la conférence</w:t>
            </w:r>
            <w:r w:rsidR="00107FBE">
              <w:rPr>
                <w:lang w:val="fr-CH"/>
              </w:rPr>
              <w:t xml:space="preserve"> </w:t>
            </w:r>
          </w:p>
        </w:tc>
      </w:tr>
      <w:tr w:rsidR="00690C7B" w:rsidRPr="00822130" w14:paraId="46BEF09E" w14:textId="77777777" w:rsidTr="004F0DEB">
        <w:trPr>
          <w:cantSplit/>
        </w:trPr>
        <w:tc>
          <w:tcPr>
            <w:tcW w:w="10031" w:type="dxa"/>
            <w:gridSpan w:val="2"/>
          </w:tcPr>
          <w:p w14:paraId="4A44A6C7" w14:textId="77777777" w:rsidR="00690C7B" w:rsidRPr="00822130" w:rsidRDefault="00690C7B" w:rsidP="001239FC">
            <w:pPr>
              <w:pStyle w:val="Title2"/>
              <w:spacing w:before="120"/>
              <w:rPr>
                <w:lang w:val="fr-CH"/>
              </w:rPr>
            </w:pPr>
            <w:bookmarkStart w:id="4" w:name="dtitle2" w:colFirst="0" w:colLast="0"/>
            <w:bookmarkEnd w:id="3"/>
          </w:p>
        </w:tc>
      </w:tr>
      <w:tr w:rsidR="00690C7B" w14:paraId="74E18374" w14:textId="77777777" w:rsidTr="004F0DEB">
        <w:trPr>
          <w:cantSplit/>
        </w:trPr>
        <w:tc>
          <w:tcPr>
            <w:tcW w:w="10031" w:type="dxa"/>
            <w:gridSpan w:val="2"/>
          </w:tcPr>
          <w:p w14:paraId="2621AC73" w14:textId="77777777" w:rsidR="00690C7B" w:rsidRDefault="00690C7B" w:rsidP="001239FC">
            <w:pPr>
              <w:pStyle w:val="Agendaitem"/>
              <w:spacing w:before="200"/>
            </w:pPr>
            <w:bookmarkStart w:id="5" w:name="dtitle3" w:colFirst="0" w:colLast="0"/>
            <w:bookmarkEnd w:id="4"/>
            <w:r w:rsidRPr="006D4724">
              <w:t>Point 10 de l'ordre du jour</w:t>
            </w:r>
          </w:p>
        </w:tc>
      </w:tr>
    </w:tbl>
    <w:bookmarkEnd w:id="5"/>
    <w:p w14:paraId="563E2D3C" w14:textId="536527B2" w:rsidR="004F0DEB" w:rsidRDefault="00A16C58" w:rsidP="001239FC">
      <w:pPr>
        <w:spacing w:line="228" w:lineRule="auto"/>
      </w:pPr>
      <w:r w:rsidRPr="009B46DD">
        <w:t>10</w:t>
      </w:r>
      <w:r w:rsidRPr="009B46DD">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r w:rsidR="00107FBE">
        <w:t>.</w:t>
      </w:r>
    </w:p>
    <w:p w14:paraId="419304AB" w14:textId="6A0BFDEF" w:rsidR="00CC7D27" w:rsidRPr="00700561" w:rsidRDefault="00822130" w:rsidP="001239FC">
      <w:pPr>
        <w:pStyle w:val="Headingb"/>
        <w:spacing w:line="228" w:lineRule="auto"/>
        <w:rPr>
          <w:lang w:val="fr-CH"/>
        </w:rPr>
      </w:pPr>
      <w:r w:rsidRPr="00700561">
        <w:rPr>
          <w:lang w:val="fr-CH"/>
        </w:rPr>
        <w:t>Rappel</w:t>
      </w:r>
    </w:p>
    <w:p w14:paraId="4026DA41" w14:textId="33242381" w:rsidR="00CC7D27" w:rsidRPr="00822130" w:rsidRDefault="00822130" w:rsidP="001239FC">
      <w:pPr>
        <w:spacing w:line="228" w:lineRule="auto"/>
        <w:rPr>
          <w:lang w:val="fr-CH"/>
        </w:rPr>
      </w:pPr>
      <w:r w:rsidRPr="00822130">
        <w:rPr>
          <w:lang w:val="fr-CH"/>
        </w:rPr>
        <w:t xml:space="preserve">La </w:t>
      </w:r>
      <w:r w:rsidR="00CC7D27" w:rsidRPr="00822130">
        <w:rPr>
          <w:lang w:val="fr-CH"/>
        </w:rPr>
        <w:t xml:space="preserve">CITEL </w:t>
      </w:r>
      <w:r w:rsidRPr="00822130">
        <w:rPr>
          <w:lang w:val="fr-CH"/>
        </w:rPr>
        <w:t>estime qu</w:t>
      </w:r>
      <w:r w:rsidR="00107FBE">
        <w:rPr>
          <w:lang w:val="fr-CH"/>
        </w:rPr>
        <w:t>'</w:t>
      </w:r>
      <w:r w:rsidRPr="00822130">
        <w:rPr>
          <w:lang w:val="fr-CH"/>
        </w:rPr>
        <w:t xml:space="preserve">il est nécessaire </w:t>
      </w:r>
      <w:r w:rsidR="002543EE">
        <w:rPr>
          <w:lang w:val="fr-CH"/>
        </w:rPr>
        <w:t>d'inscrire à</w:t>
      </w:r>
      <w:r w:rsidRPr="00822130">
        <w:rPr>
          <w:lang w:val="fr-CH"/>
        </w:rPr>
        <w:t xml:space="preserve"> l</w:t>
      </w:r>
      <w:r w:rsidR="00107FBE">
        <w:rPr>
          <w:lang w:val="fr-CH"/>
        </w:rPr>
        <w:t>'</w:t>
      </w:r>
      <w:r w:rsidRPr="00822130">
        <w:rPr>
          <w:lang w:val="fr-CH"/>
        </w:rPr>
        <w:t>ordre du jour de la CMR</w:t>
      </w:r>
      <w:r w:rsidR="00CC7D27" w:rsidRPr="00822130">
        <w:rPr>
          <w:lang w:val="fr-CH"/>
        </w:rPr>
        <w:t xml:space="preserve">-23 </w:t>
      </w:r>
      <w:r w:rsidR="002543EE">
        <w:rPr>
          <w:lang w:val="fr-CH"/>
        </w:rPr>
        <w:t>un point visant à</w:t>
      </w:r>
      <w:r>
        <w:rPr>
          <w:lang w:val="fr-CH"/>
        </w:rPr>
        <w:t xml:space="preserve"> examiner les mesures réglementaires à prendre afin de permettre l</w:t>
      </w:r>
      <w:r w:rsidR="00107FBE">
        <w:rPr>
          <w:lang w:val="fr-CH"/>
        </w:rPr>
        <w:t>'</w:t>
      </w:r>
      <w:r>
        <w:rPr>
          <w:lang w:val="fr-CH"/>
        </w:rPr>
        <w:t>utilisation des liaisons inter</w:t>
      </w:r>
      <w:r w:rsidR="00700561">
        <w:rPr>
          <w:lang w:val="fr-CH"/>
        </w:rPr>
        <w:noBreakHyphen/>
      </w:r>
      <w:r>
        <w:rPr>
          <w:lang w:val="fr-CH"/>
        </w:rPr>
        <w:t>satellites dans diverses bandes de fréquences.</w:t>
      </w:r>
    </w:p>
    <w:p w14:paraId="2D8FCA0E" w14:textId="6AB0CB0D" w:rsidR="00CC7D27" w:rsidRPr="00480CE7" w:rsidRDefault="00480CE7" w:rsidP="001239FC">
      <w:pPr>
        <w:spacing w:line="228" w:lineRule="auto"/>
        <w:rPr>
          <w:lang w:val="fr-CH"/>
        </w:rPr>
      </w:pPr>
      <w:r>
        <w:rPr>
          <w:lang w:val="fr-CH"/>
        </w:rPr>
        <w:t xml:space="preserve">Il a été déterminé que des liaisons </w:t>
      </w:r>
      <w:r w:rsidRPr="00480CE7">
        <w:rPr>
          <w:lang w:val="fr-CH"/>
        </w:rPr>
        <w:t>intersatellites</w:t>
      </w:r>
      <w:r>
        <w:rPr>
          <w:lang w:val="fr-CH"/>
        </w:rPr>
        <w:t xml:space="preserve"> étaient nécessaires pour tenir compte de deux questions importantes</w:t>
      </w:r>
      <w:r w:rsidR="00CC7D27" w:rsidRPr="00480CE7">
        <w:rPr>
          <w:lang w:val="fr-CH"/>
        </w:rPr>
        <w:t>.</w:t>
      </w:r>
    </w:p>
    <w:p w14:paraId="004737C8" w14:textId="68E7F157" w:rsidR="00CC7D27" w:rsidRPr="00700561" w:rsidRDefault="00480CE7" w:rsidP="001239FC">
      <w:pPr>
        <w:pStyle w:val="Headingb"/>
        <w:spacing w:line="228" w:lineRule="auto"/>
        <w:rPr>
          <w:lang w:val="fr-CH"/>
        </w:rPr>
      </w:pPr>
      <w:r w:rsidRPr="00700561">
        <w:rPr>
          <w:lang w:val="fr-CH"/>
        </w:rPr>
        <w:t>Question</w:t>
      </w:r>
      <w:r w:rsidR="00107FBE" w:rsidRPr="00700561">
        <w:rPr>
          <w:lang w:val="fr-CH"/>
        </w:rPr>
        <w:t xml:space="preserve"> </w:t>
      </w:r>
      <w:r w:rsidR="00CC7D27" w:rsidRPr="00700561">
        <w:rPr>
          <w:lang w:val="fr-CH"/>
        </w:rPr>
        <w:t>A</w:t>
      </w:r>
    </w:p>
    <w:p w14:paraId="34475044" w14:textId="2A2D7860" w:rsidR="00107FBE" w:rsidRDefault="00480CE7" w:rsidP="001239FC">
      <w:pPr>
        <w:spacing w:line="228" w:lineRule="auto"/>
        <w:rPr>
          <w:lang w:val="fr-CH"/>
        </w:rPr>
      </w:pPr>
      <w:r w:rsidRPr="00480CE7">
        <w:rPr>
          <w:lang w:val="fr-CH"/>
        </w:rPr>
        <w:t>Grâce à des capteurs optiques peu coûteux, il est désormais possible de capter des images présentant une résolution spatiale et spectrale extrêmement fine</w:t>
      </w:r>
      <w:r>
        <w:rPr>
          <w:lang w:val="fr-CH"/>
        </w:rPr>
        <w:t>, et les progrès réalisés dans le domaine des radars à ouverture synthétique</w:t>
      </w:r>
      <w:r w:rsidRPr="00480CE7">
        <w:rPr>
          <w:lang w:val="fr-CH"/>
        </w:rPr>
        <w:t xml:space="preserve"> </w:t>
      </w:r>
      <w:r w:rsidR="00CC7D27" w:rsidRPr="00480CE7">
        <w:rPr>
          <w:lang w:val="fr-CH"/>
        </w:rPr>
        <w:t xml:space="preserve">(SAR) </w:t>
      </w:r>
      <w:r>
        <w:rPr>
          <w:lang w:val="fr-CH"/>
        </w:rPr>
        <w:t>permettent aujourd</w:t>
      </w:r>
      <w:r w:rsidR="00107FBE">
        <w:rPr>
          <w:lang w:val="fr-CH"/>
        </w:rPr>
        <w:t>'</w:t>
      </w:r>
      <w:r>
        <w:rPr>
          <w:lang w:val="fr-CH"/>
        </w:rPr>
        <w:t>hui d</w:t>
      </w:r>
      <w:r w:rsidR="00107FBE">
        <w:rPr>
          <w:lang w:val="fr-CH"/>
        </w:rPr>
        <w:t>'</w:t>
      </w:r>
      <w:r>
        <w:rPr>
          <w:lang w:val="fr-CH"/>
        </w:rPr>
        <w:t>obtenir des images de nuit et à travers les nuages. Grâce à ces deux techniques, il est possible d</w:t>
      </w:r>
      <w:r w:rsidR="00107FBE">
        <w:rPr>
          <w:lang w:val="fr-CH"/>
        </w:rPr>
        <w:t>'</w:t>
      </w:r>
      <w:r>
        <w:rPr>
          <w:lang w:val="fr-CH"/>
        </w:rPr>
        <w:t xml:space="preserve">obtenir de très grandes quantités de </w:t>
      </w:r>
      <w:r w:rsidRPr="00F536AD">
        <w:rPr>
          <w:spacing w:val="-2"/>
          <w:lang w:val="fr-CH"/>
        </w:rPr>
        <w:t>données à chaque passage d</w:t>
      </w:r>
      <w:r w:rsidR="00107FBE" w:rsidRPr="00F536AD">
        <w:rPr>
          <w:spacing w:val="-2"/>
          <w:lang w:val="fr-CH"/>
        </w:rPr>
        <w:t>'</w:t>
      </w:r>
      <w:r w:rsidRPr="00F536AD">
        <w:rPr>
          <w:spacing w:val="-2"/>
          <w:lang w:val="fr-CH"/>
        </w:rPr>
        <w:t xml:space="preserve">un satellite. Ainsi, les satellites </w:t>
      </w:r>
      <w:r w:rsidR="00CC7D27" w:rsidRPr="00F536AD">
        <w:rPr>
          <w:spacing w:val="-2"/>
          <w:lang w:val="fr-CH"/>
        </w:rPr>
        <w:t>SAR</w:t>
      </w:r>
      <w:r w:rsidR="00107FBE" w:rsidRPr="00F536AD">
        <w:rPr>
          <w:spacing w:val="-2"/>
          <w:lang w:val="fr-CH"/>
        </w:rPr>
        <w:t xml:space="preserve"> </w:t>
      </w:r>
      <w:r w:rsidRPr="00F536AD">
        <w:rPr>
          <w:spacing w:val="-2"/>
          <w:lang w:val="fr-CH"/>
        </w:rPr>
        <w:t>génèrent des volumes considérables</w:t>
      </w:r>
      <w:r w:rsidRPr="00480CE7">
        <w:rPr>
          <w:lang w:val="fr-CH"/>
        </w:rPr>
        <w:t xml:space="preserve"> </w:t>
      </w:r>
      <w:r w:rsidRPr="00F536AD">
        <w:rPr>
          <w:spacing w:val="-2"/>
          <w:lang w:val="fr-CH"/>
        </w:rPr>
        <w:t>d</w:t>
      </w:r>
      <w:r w:rsidR="00107FBE" w:rsidRPr="00F536AD">
        <w:rPr>
          <w:spacing w:val="-2"/>
          <w:lang w:val="fr-CH"/>
        </w:rPr>
        <w:t>'</w:t>
      </w:r>
      <w:r w:rsidRPr="00F536AD">
        <w:rPr>
          <w:spacing w:val="-2"/>
          <w:lang w:val="fr-CH"/>
        </w:rPr>
        <w:t>informations, qui sont passé</w:t>
      </w:r>
      <w:r w:rsidR="00700561" w:rsidRPr="00F536AD">
        <w:rPr>
          <w:spacing w:val="-2"/>
          <w:lang w:val="fr-CH"/>
        </w:rPr>
        <w:t>e</w:t>
      </w:r>
      <w:r w:rsidRPr="00F536AD">
        <w:rPr>
          <w:spacing w:val="-2"/>
          <w:lang w:val="fr-CH"/>
        </w:rPr>
        <w:t>s de</w:t>
      </w:r>
      <w:r w:rsidR="00107FBE" w:rsidRPr="00F536AD">
        <w:rPr>
          <w:spacing w:val="-2"/>
          <w:lang w:val="fr-CH"/>
        </w:rPr>
        <w:t xml:space="preserve"> </w:t>
      </w:r>
      <w:r w:rsidR="00CC7D27" w:rsidRPr="00F536AD">
        <w:rPr>
          <w:spacing w:val="-2"/>
          <w:lang w:val="fr-CH"/>
        </w:rPr>
        <w:t>85 M</w:t>
      </w:r>
      <w:r w:rsidRPr="00F536AD">
        <w:rPr>
          <w:spacing w:val="-2"/>
          <w:lang w:val="fr-CH"/>
        </w:rPr>
        <w:t>bit/s</w:t>
      </w:r>
      <w:r w:rsidR="00CC7D27" w:rsidRPr="00F536AD">
        <w:rPr>
          <w:spacing w:val="-2"/>
          <w:lang w:val="fr-CH"/>
        </w:rPr>
        <w:t xml:space="preserve"> </w:t>
      </w:r>
      <w:r w:rsidRPr="00F536AD">
        <w:rPr>
          <w:spacing w:val="-2"/>
          <w:lang w:val="fr-CH"/>
        </w:rPr>
        <w:t>e</w:t>
      </w:r>
      <w:r w:rsidR="00CC7D27" w:rsidRPr="00F536AD">
        <w:rPr>
          <w:spacing w:val="-2"/>
          <w:lang w:val="fr-CH"/>
        </w:rPr>
        <w:t>n 1995</w:t>
      </w:r>
      <w:r w:rsidR="00CC7D27" w:rsidRPr="00F536AD">
        <w:rPr>
          <w:spacing w:val="-2"/>
          <w:vertAlign w:val="superscript"/>
          <w:lang w:val="en-US"/>
        </w:rPr>
        <w:footnoteReference w:id="1"/>
      </w:r>
      <w:r w:rsidR="00CC7D27" w:rsidRPr="00F536AD">
        <w:rPr>
          <w:spacing w:val="-2"/>
          <w:vertAlign w:val="superscript"/>
          <w:lang w:val="fr-CH"/>
        </w:rPr>
        <w:t xml:space="preserve"> </w:t>
      </w:r>
      <w:r w:rsidRPr="00F536AD">
        <w:rPr>
          <w:spacing w:val="-2"/>
          <w:lang w:val="fr-CH"/>
        </w:rPr>
        <w:t xml:space="preserve">à </w:t>
      </w:r>
      <w:r w:rsidR="00CC7D27" w:rsidRPr="00F536AD">
        <w:rPr>
          <w:spacing w:val="-2"/>
          <w:lang w:val="fr-CH"/>
        </w:rPr>
        <w:t>1</w:t>
      </w:r>
      <w:r w:rsidR="00700561" w:rsidRPr="00F536AD">
        <w:rPr>
          <w:spacing w:val="-2"/>
          <w:lang w:val="fr-CH"/>
        </w:rPr>
        <w:t>,</w:t>
      </w:r>
      <w:r w:rsidR="00CC7D27" w:rsidRPr="00F536AD">
        <w:rPr>
          <w:spacing w:val="-2"/>
          <w:lang w:val="fr-CH"/>
        </w:rPr>
        <w:t>5 G</w:t>
      </w:r>
      <w:r w:rsidRPr="00F536AD">
        <w:rPr>
          <w:spacing w:val="-2"/>
          <w:lang w:val="fr-CH"/>
        </w:rPr>
        <w:t>bit/s aujourd</w:t>
      </w:r>
      <w:r w:rsidR="00107FBE" w:rsidRPr="00F536AD">
        <w:rPr>
          <w:spacing w:val="-2"/>
          <w:lang w:val="fr-CH"/>
        </w:rPr>
        <w:t>'</w:t>
      </w:r>
      <w:r w:rsidRPr="00F536AD">
        <w:rPr>
          <w:spacing w:val="-2"/>
          <w:lang w:val="fr-CH"/>
        </w:rPr>
        <w:t>hui</w:t>
      </w:r>
      <w:r w:rsidR="00CC7D27" w:rsidRPr="00F536AD">
        <w:rPr>
          <w:spacing w:val="-2"/>
          <w:vertAlign w:val="superscript"/>
          <w:lang w:val="en-US"/>
        </w:rPr>
        <w:footnoteReference w:id="2"/>
      </w:r>
      <w:r w:rsidR="00CC7D27" w:rsidRPr="00F536AD">
        <w:rPr>
          <w:spacing w:val="-2"/>
          <w:lang w:val="fr-CH"/>
        </w:rPr>
        <w:t xml:space="preserve">. </w:t>
      </w:r>
      <w:r w:rsidR="00734589" w:rsidRPr="00F536AD">
        <w:rPr>
          <w:spacing w:val="-2"/>
          <w:lang w:val="fr-CH"/>
        </w:rPr>
        <w:t>Bien qu</w:t>
      </w:r>
      <w:r w:rsidR="00107FBE" w:rsidRPr="00F536AD">
        <w:rPr>
          <w:spacing w:val="-2"/>
          <w:lang w:val="fr-CH"/>
        </w:rPr>
        <w:t>'</w:t>
      </w:r>
      <w:r w:rsidR="00734589" w:rsidRPr="00F536AD">
        <w:rPr>
          <w:spacing w:val="-2"/>
          <w:lang w:val="fr-CH"/>
        </w:rPr>
        <w:t>ils n</w:t>
      </w:r>
      <w:r w:rsidR="00107FBE" w:rsidRPr="00F536AD">
        <w:rPr>
          <w:spacing w:val="-2"/>
          <w:lang w:val="fr-CH"/>
        </w:rPr>
        <w:t>'</w:t>
      </w:r>
      <w:r w:rsidR="00734589" w:rsidRPr="00F536AD">
        <w:rPr>
          <w:spacing w:val="-2"/>
          <w:lang w:val="fr-CH"/>
        </w:rPr>
        <w:t>offrent</w:t>
      </w:r>
      <w:r w:rsidR="00734589" w:rsidRPr="00734589">
        <w:rPr>
          <w:lang w:val="fr-CH"/>
        </w:rPr>
        <w:t xml:space="preserve"> pas des débits de données aussi importants que les satellites</w:t>
      </w:r>
      <w:r w:rsidR="007C76ED" w:rsidRPr="007C76ED">
        <w:t xml:space="preserve"> </w:t>
      </w:r>
      <w:r w:rsidR="007C76ED" w:rsidRPr="007C76ED">
        <w:rPr>
          <w:lang w:val="fr-CH"/>
        </w:rPr>
        <w:t>d'imagerie</w:t>
      </w:r>
      <w:r w:rsidR="00CC7D27" w:rsidRPr="00734589">
        <w:rPr>
          <w:lang w:val="fr-CH"/>
        </w:rPr>
        <w:t xml:space="preserve">, </w:t>
      </w:r>
      <w:r w:rsidR="00734589">
        <w:rPr>
          <w:lang w:val="fr-CH"/>
        </w:rPr>
        <w:t xml:space="preserve">les </w:t>
      </w:r>
      <w:r w:rsidR="00CC7D27" w:rsidRPr="00734589">
        <w:rPr>
          <w:lang w:val="fr-CH"/>
        </w:rPr>
        <w:t>satellites</w:t>
      </w:r>
      <w:r w:rsidR="00000E66">
        <w:rPr>
          <w:lang w:val="fr-CH"/>
        </w:rPr>
        <w:t xml:space="preserve"> qui fournissent des services à des protocoles de poursuite</w:t>
      </w:r>
      <w:r w:rsidR="00107FBE">
        <w:rPr>
          <w:lang w:val="fr-CH"/>
        </w:rPr>
        <w:t xml:space="preserve"> </w:t>
      </w:r>
      <w:r w:rsidR="00000E66">
        <w:rPr>
          <w:lang w:val="fr-CH"/>
        </w:rPr>
        <w:t>tels que les protocoles</w:t>
      </w:r>
      <w:r w:rsidR="00107FBE">
        <w:rPr>
          <w:lang w:val="fr-CH"/>
        </w:rPr>
        <w:t xml:space="preserve"> </w:t>
      </w:r>
      <w:r w:rsidR="00CC7D27" w:rsidRPr="00734589">
        <w:rPr>
          <w:lang w:val="fr-CH"/>
        </w:rPr>
        <w:t>AIS, ADS-B</w:t>
      </w:r>
      <w:r w:rsidR="00000E66">
        <w:rPr>
          <w:lang w:val="fr-CH"/>
        </w:rPr>
        <w:t xml:space="preserve"> et</w:t>
      </w:r>
      <w:r w:rsidR="00107FBE">
        <w:rPr>
          <w:lang w:val="fr-CH"/>
        </w:rPr>
        <w:t xml:space="preserve"> </w:t>
      </w:r>
      <w:r w:rsidR="00CC7D27" w:rsidRPr="00734589">
        <w:rPr>
          <w:lang w:val="fr-CH"/>
        </w:rPr>
        <w:t>GNSS-RO/R</w:t>
      </w:r>
      <w:r w:rsidR="00000E66">
        <w:rPr>
          <w:lang w:val="fr-CH"/>
        </w:rPr>
        <w:t xml:space="preserve"> sont davantage tributaires d</w:t>
      </w:r>
      <w:r w:rsidR="00107FBE">
        <w:rPr>
          <w:lang w:val="fr-CH"/>
        </w:rPr>
        <w:t>'</w:t>
      </w:r>
      <w:r w:rsidR="00000E66">
        <w:rPr>
          <w:lang w:val="fr-CH"/>
        </w:rPr>
        <w:t>un</w:t>
      </w:r>
      <w:r w:rsidR="00107FBE">
        <w:rPr>
          <w:lang w:val="fr-CH"/>
        </w:rPr>
        <w:t xml:space="preserve"> </w:t>
      </w:r>
      <w:r w:rsidR="002543EE">
        <w:rPr>
          <w:lang w:val="fr-CH"/>
        </w:rPr>
        <w:t xml:space="preserve">faible </w:t>
      </w:r>
      <w:r w:rsidR="00000E66">
        <w:rPr>
          <w:lang w:val="fr-CH"/>
        </w:rPr>
        <w:t>temps de latence pour être utiles aux</w:t>
      </w:r>
      <w:r w:rsidR="00107FBE">
        <w:rPr>
          <w:lang w:val="fr-CH"/>
        </w:rPr>
        <w:t xml:space="preserve"> </w:t>
      </w:r>
      <w:r w:rsidR="00000E66">
        <w:rPr>
          <w:lang w:val="fr-CH"/>
        </w:rPr>
        <w:t>parties concernées. Les nouvelles fonctionnalités que constitue</w:t>
      </w:r>
      <w:r w:rsidR="007C76ED">
        <w:rPr>
          <w:lang w:val="fr-CH"/>
        </w:rPr>
        <w:t>nt</w:t>
      </w:r>
      <w:r w:rsidR="00000E66">
        <w:rPr>
          <w:lang w:val="fr-CH"/>
        </w:rPr>
        <w:t xml:space="preserve"> l</w:t>
      </w:r>
      <w:r w:rsidR="00107FBE">
        <w:rPr>
          <w:lang w:val="fr-CH"/>
        </w:rPr>
        <w:t>'</w:t>
      </w:r>
      <w:r w:rsidR="00000E66">
        <w:rPr>
          <w:lang w:val="fr-CH"/>
        </w:rPr>
        <w:t>intensité accrue des données de la charge utile et la</w:t>
      </w:r>
      <w:r w:rsidR="009354C2">
        <w:rPr>
          <w:lang w:val="fr-CH"/>
        </w:rPr>
        <w:t xml:space="preserve"> transmission </w:t>
      </w:r>
      <w:r w:rsidR="00000E66">
        <w:rPr>
          <w:lang w:val="fr-CH"/>
        </w:rPr>
        <w:t>de données à très faible temps de latence</w:t>
      </w:r>
      <w:r w:rsidR="007C76ED">
        <w:rPr>
          <w:lang w:val="fr-CH"/>
        </w:rPr>
        <w:t xml:space="preserve"> représentent un défi </w:t>
      </w:r>
      <w:r w:rsidR="009354C2">
        <w:rPr>
          <w:color w:val="000000"/>
        </w:rPr>
        <w:t xml:space="preserve">grandissant </w:t>
      </w:r>
      <w:r w:rsidR="007C76ED">
        <w:rPr>
          <w:lang w:val="fr-CH"/>
        </w:rPr>
        <w:t>pour les satellites.</w:t>
      </w:r>
    </w:p>
    <w:p w14:paraId="245D4C7E" w14:textId="6A4F4F34" w:rsidR="00CC7D27" w:rsidRPr="009354C2" w:rsidRDefault="007C76ED" w:rsidP="00107FBE">
      <w:pPr>
        <w:rPr>
          <w:lang w:val="fr-CH"/>
        </w:rPr>
      </w:pPr>
      <w:r w:rsidRPr="007C76ED">
        <w:rPr>
          <w:lang w:val="fr-CH"/>
        </w:rPr>
        <w:lastRenderedPageBreak/>
        <w:t>En raison de l</w:t>
      </w:r>
      <w:r w:rsidR="00107FBE">
        <w:rPr>
          <w:lang w:val="fr-CH"/>
        </w:rPr>
        <w:t>'</w:t>
      </w:r>
      <w:r w:rsidRPr="007C76ED">
        <w:rPr>
          <w:lang w:val="fr-CH"/>
        </w:rPr>
        <w:t>encombrement des fréquences et des contraintes géographiques liées à l</w:t>
      </w:r>
      <w:r w:rsidR="00107FBE">
        <w:rPr>
          <w:lang w:val="fr-CH"/>
        </w:rPr>
        <w:t>'</w:t>
      </w:r>
      <w:r w:rsidRPr="007C76ED">
        <w:rPr>
          <w:lang w:val="fr-CH"/>
        </w:rPr>
        <w:t xml:space="preserve">emplacement à partir duquel </w:t>
      </w:r>
      <w:r w:rsidR="002543EE">
        <w:rPr>
          <w:lang w:val="fr-CH"/>
        </w:rPr>
        <w:t>ils peuvent fonctionner en</w:t>
      </w:r>
      <w:r w:rsidRPr="007C76ED">
        <w:rPr>
          <w:lang w:val="fr-CH"/>
        </w:rPr>
        <w:t xml:space="preserve"> liaison descendante</w:t>
      </w:r>
      <w:r>
        <w:rPr>
          <w:lang w:val="fr-CH"/>
        </w:rPr>
        <w:t>,</w:t>
      </w:r>
      <w:r w:rsidR="00107FBE">
        <w:rPr>
          <w:lang w:val="fr-CH"/>
        </w:rPr>
        <w:t xml:space="preserve"> </w:t>
      </w:r>
      <w:r>
        <w:rPr>
          <w:lang w:val="fr-CH"/>
        </w:rPr>
        <w:t>les satellites d</w:t>
      </w:r>
      <w:r w:rsidR="00107FBE">
        <w:rPr>
          <w:lang w:val="fr-CH"/>
        </w:rPr>
        <w:t>'</w:t>
      </w:r>
      <w:r>
        <w:rPr>
          <w:lang w:val="fr-CH"/>
        </w:rPr>
        <w:t>imagerie et les satellites de poursuite</w:t>
      </w:r>
      <w:r w:rsidR="00107FBE">
        <w:rPr>
          <w:lang w:val="fr-CH"/>
        </w:rPr>
        <w:t xml:space="preserve"> </w:t>
      </w:r>
      <w:r>
        <w:rPr>
          <w:lang w:val="fr-CH"/>
        </w:rPr>
        <w:t>éprouvent des difficultés à décharger le volume croissant de données qu</w:t>
      </w:r>
      <w:r w:rsidR="00107FBE">
        <w:rPr>
          <w:lang w:val="fr-CH"/>
        </w:rPr>
        <w:t>'</w:t>
      </w:r>
      <w:r>
        <w:rPr>
          <w:lang w:val="fr-CH"/>
        </w:rPr>
        <w:t>ils captent dans les délais et avec efficacité.</w:t>
      </w:r>
      <w:r w:rsidR="00107FBE">
        <w:rPr>
          <w:lang w:val="fr-CH"/>
        </w:rPr>
        <w:t xml:space="preserve"> </w:t>
      </w:r>
      <w:r w:rsidRPr="009354C2">
        <w:rPr>
          <w:lang w:val="fr-CH"/>
        </w:rPr>
        <w:t>La connectivité limitée qui en résulte crée un goulet d</w:t>
      </w:r>
      <w:r w:rsidR="00107FBE">
        <w:rPr>
          <w:lang w:val="fr-CH"/>
        </w:rPr>
        <w:t>'</w:t>
      </w:r>
      <w:r w:rsidRPr="009354C2">
        <w:rPr>
          <w:lang w:val="fr-CH"/>
        </w:rPr>
        <w:t>étranglement sur la liaison descendante</w:t>
      </w:r>
      <w:r w:rsidR="009354C2">
        <w:rPr>
          <w:lang w:val="fr-CH"/>
        </w:rPr>
        <w:t>, qui</w:t>
      </w:r>
      <w:r w:rsidR="00107FBE">
        <w:rPr>
          <w:lang w:val="fr-CH"/>
        </w:rPr>
        <w:t xml:space="preserve"> </w:t>
      </w:r>
      <w:r w:rsidR="009354C2" w:rsidRPr="009354C2">
        <w:rPr>
          <w:lang w:val="fr-CH"/>
        </w:rPr>
        <w:t>limite considérablement l</w:t>
      </w:r>
      <w:r w:rsidR="00107FBE">
        <w:rPr>
          <w:lang w:val="fr-CH"/>
        </w:rPr>
        <w:t>'</w:t>
      </w:r>
      <w:r w:rsidR="009354C2" w:rsidRPr="009354C2">
        <w:rPr>
          <w:lang w:val="fr-CH"/>
        </w:rPr>
        <w:t>utilisation d</w:t>
      </w:r>
      <w:r w:rsidR="009354C2">
        <w:rPr>
          <w:lang w:val="fr-CH"/>
        </w:rPr>
        <w:t xml:space="preserve">es </w:t>
      </w:r>
      <w:r w:rsidR="009354C2" w:rsidRPr="009354C2">
        <w:rPr>
          <w:lang w:val="fr-CH"/>
        </w:rPr>
        <w:t>satellite</w:t>
      </w:r>
      <w:r w:rsidR="009354C2">
        <w:rPr>
          <w:lang w:val="fr-CH"/>
        </w:rPr>
        <w:t>s</w:t>
      </w:r>
      <w:r w:rsidR="009354C2" w:rsidRPr="009354C2">
        <w:rPr>
          <w:lang w:val="fr-CH"/>
        </w:rPr>
        <w:t xml:space="preserve"> et</w:t>
      </w:r>
      <w:r w:rsidR="00CC7D27" w:rsidRPr="009354C2">
        <w:rPr>
          <w:lang w:val="fr-CH"/>
        </w:rPr>
        <w:t xml:space="preserve"> </w:t>
      </w:r>
      <w:r w:rsidR="009354C2">
        <w:rPr>
          <w:lang w:val="fr-CH"/>
        </w:rPr>
        <w:t>compromet la capacité des opérateurs de fournir des informations véritablement utiles aux parties intéressées, tant du secteur public que du secteur privé.</w:t>
      </w:r>
    </w:p>
    <w:p w14:paraId="2A4C3BBE" w14:textId="79657699" w:rsidR="00CC7D27" w:rsidRPr="00786CFD" w:rsidRDefault="009354C2" w:rsidP="00107FBE">
      <w:pPr>
        <w:rPr>
          <w:lang w:val="fr-CH"/>
        </w:rPr>
      </w:pPr>
      <w:r w:rsidRPr="009354C2">
        <w:rPr>
          <w:color w:val="000000"/>
          <w:lang w:val="fr-CH"/>
        </w:rPr>
        <w:t>Les liaisons inter-satellites</w:t>
      </w:r>
      <w:r w:rsidRPr="009354C2">
        <w:rPr>
          <w:lang w:val="fr-CH"/>
        </w:rPr>
        <w:t xml:space="preserve"> </w:t>
      </w:r>
      <w:r w:rsidR="00CC7D27" w:rsidRPr="009354C2">
        <w:rPr>
          <w:lang w:val="fr-CH"/>
        </w:rPr>
        <w:t>(</w:t>
      </w:r>
      <w:r w:rsidR="00700561" w:rsidRPr="00700561">
        <w:rPr>
          <w:sz w:val="28"/>
          <w:lang w:val="fr-CH"/>
        </w:rPr>
        <w:t>«</w:t>
      </w:r>
      <w:r w:rsidR="00CC7D27" w:rsidRPr="009354C2">
        <w:rPr>
          <w:lang w:val="fr-CH"/>
        </w:rPr>
        <w:t>ISL</w:t>
      </w:r>
      <w:r w:rsidR="00700561">
        <w:rPr>
          <w:lang w:val="fr-CH"/>
        </w:rPr>
        <w:t>»</w:t>
      </w:r>
      <w:r w:rsidR="00CC7D27" w:rsidRPr="009354C2">
        <w:rPr>
          <w:lang w:val="fr-CH"/>
        </w:rPr>
        <w:t xml:space="preserve">) </w:t>
      </w:r>
      <w:r w:rsidRPr="009354C2">
        <w:rPr>
          <w:lang w:val="fr-CH"/>
        </w:rPr>
        <w:t>permettent non seulement d</w:t>
      </w:r>
      <w:r w:rsidR="00107FBE">
        <w:rPr>
          <w:lang w:val="fr-CH"/>
        </w:rPr>
        <w:t>'</w:t>
      </w:r>
      <w:r w:rsidRPr="009354C2">
        <w:rPr>
          <w:lang w:val="fr-CH"/>
        </w:rPr>
        <w:t>atténuer ce problème, mais aussi d</w:t>
      </w:r>
      <w:r w:rsidR="00107FBE">
        <w:rPr>
          <w:lang w:val="fr-CH"/>
        </w:rPr>
        <w:t>'</w:t>
      </w:r>
      <w:r w:rsidRPr="009354C2">
        <w:rPr>
          <w:lang w:val="fr-CH"/>
        </w:rPr>
        <w:t xml:space="preserve">améliorer la </w:t>
      </w:r>
      <w:r>
        <w:rPr>
          <w:lang w:val="fr-CH"/>
        </w:rPr>
        <w:t>transmission de données grâce aux gains d</w:t>
      </w:r>
      <w:r w:rsidR="00107FBE">
        <w:rPr>
          <w:lang w:val="fr-CH"/>
        </w:rPr>
        <w:t>'</w:t>
      </w:r>
      <w:r>
        <w:rPr>
          <w:lang w:val="fr-CH"/>
        </w:rPr>
        <w:t>efficacité réalisés dans le réseau.</w:t>
      </w:r>
      <w:r w:rsidR="00107FBE">
        <w:rPr>
          <w:lang w:val="fr-CH"/>
        </w:rPr>
        <w:t xml:space="preserve"> </w:t>
      </w:r>
      <w:r w:rsidRPr="009354C2">
        <w:rPr>
          <w:lang w:val="fr-CH"/>
        </w:rPr>
        <w:t>Autoriser les liaisons ISL dans les bandes prenant</w:t>
      </w:r>
      <w:r w:rsidR="00107FBE">
        <w:rPr>
          <w:lang w:val="fr-CH"/>
        </w:rPr>
        <w:t xml:space="preserve"> </w:t>
      </w:r>
      <w:r w:rsidRPr="009354C2">
        <w:rPr>
          <w:lang w:val="fr-CH"/>
        </w:rPr>
        <w:t>déjà en charge les liaisons descendantes espace</w:t>
      </w:r>
      <w:r>
        <w:rPr>
          <w:lang w:val="fr-CH"/>
        </w:rPr>
        <w:t xml:space="preserve"> </w:t>
      </w:r>
      <w:r w:rsidRPr="009354C2">
        <w:rPr>
          <w:lang w:val="fr-CH"/>
        </w:rPr>
        <w:t xml:space="preserve">vers Terre </w:t>
      </w:r>
      <w:r>
        <w:rPr>
          <w:lang w:val="fr-CH"/>
        </w:rPr>
        <w:t>se traduirait par une plus grande efficacité d</w:t>
      </w:r>
      <w:r w:rsidR="00107FBE">
        <w:rPr>
          <w:lang w:val="fr-CH"/>
        </w:rPr>
        <w:t>'</w:t>
      </w:r>
      <w:r>
        <w:rPr>
          <w:lang w:val="fr-CH"/>
        </w:rPr>
        <w:t xml:space="preserve">utilisation du spectre, </w:t>
      </w:r>
      <w:r w:rsidRPr="009354C2">
        <w:rPr>
          <w:lang w:val="fr-CH"/>
        </w:rPr>
        <w:t>du fait de la rationalisation des données</w:t>
      </w:r>
      <w:r w:rsidR="00107FBE">
        <w:rPr>
          <w:lang w:val="fr-CH"/>
        </w:rPr>
        <w:t xml:space="preserve"> </w:t>
      </w:r>
      <w:r>
        <w:rPr>
          <w:lang w:val="fr-CH"/>
        </w:rPr>
        <w:t>dans les réseaux d</w:t>
      </w:r>
      <w:r w:rsidR="00107FBE">
        <w:rPr>
          <w:lang w:val="fr-CH"/>
        </w:rPr>
        <w:t>'</w:t>
      </w:r>
      <w:r>
        <w:rPr>
          <w:lang w:val="fr-CH"/>
        </w:rPr>
        <w:t>accès continu aux stations au sol. Au lieu de dépendre de la synchronisation orbitale pour communiquer avec les satellites, les opérateurs</w:t>
      </w:r>
      <w:r w:rsidR="003F6BF7">
        <w:rPr>
          <w:lang w:val="fr-CH"/>
        </w:rPr>
        <w:t xml:space="preserve"> autorisés à</w:t>
      </w:r>
      <w:r w:rsidR="00107FBE">
        <w:rPr>
          <w:lang w:val="fr-CH"/>
        </w:rPr>
        <w:t xml:space="preserve"> </w:t>
      </w:r>
      <w:r w:rsidR="003F6BF7">
        <w:rPr>
          <w:lang w:val="fr-CH"/>
        </w:rPr>
        <w:t xml:space="preserve">exploiter des liaisons </w:t>
      </w:r>
      <w:r w:rsidR="00CC7D27" w:rsidRPr="009354C2">
        <w:rPr>
          <w:lang w:val="fr-CH"/>
        </w:rPr>
        <w:t>ISL</w:t>
      </w:r>
      <w:r w:rsidR="003F6BF7">
        <w:rPr>
          <w:lang w:val="fr-CH"/>
        </w:rPr>
        <w:t xml:space="preserve"> pourraient interagir instantanément avec leurs satellites et leurs données de poursuite.</w:t>
      </w:r>
      <w:r w:rsidR="00107FBE">
        <w:rPr>
          <w:lang w:val="fr-CH"/>
        </w:rPr>
        <w:t xml:space="preserve"> </w:t>
      </w:r>
      <w:r w:rsidR="003F6BF7">
        <w:rPr>
          <w:lang w:val="fr-CH"/>
        </w:rPr>
        <w:t xml:space="preserve">Les progrès des techniques de communication </w:t>
      </w:r>
      <w:r w:rsidR="005D1A42">
        <w:rPr>
          <w:lang w:val="fr-CH"/>
        </w:rPr>
        <w:t>liés aux</w:t>
      </w:r>
      <w:r w:rsidR="003F6BF7">
        <w:rPr>
          <w:lang w:val="fr-CH"/>
        </w:rPr>
        <w:t xml:space="preserve"> antennes</w:t>
      </w:r>
      <w:r w:rsidR="003F6BF7" w:rsidRPr="003F6BF7">
        <w:rPr>
          <w:color w:val="000000"/>
        </w:rPr>
        <w:t xml:space="preserve"> </w:t>
      </w:r>
      <w:r w:rsidR="003F6BF7">
        <w:rPr>
          <w:color w:val="000000"/>
        </w:rPr>
        <w:t>déployables à gain élevé,</w:t>
      </w:r>
      <w:r w:rsidR="00107FBE">
        <w:rPr>
          <w:lang w:val="fr-CH"/>
        </w:rPr>
        <w:t xml:space="preserve"> </w:t>
      </w:r>
      <w:r w:rsidR="005D1A42">
        <w:rPr>
          <w:lang w:val="fr-CH"/>
        </w:rPr>
        <w:t>à</w:t>
      </w:r>
      <w:r w:rsidR="003F6BF7">
        <w:rPr>
          <w:lang w:val="fr-CH"/>
        </w:rPr>
        <w:t xml:space="preserve"> la </w:t>
      </w:r>
      <w:r w:rsidR="003F6BF7">
        <w:rPr>
          <w:color w:val="000000"/>
        </w:rPr>
        <w:t xml:space="preserve">miniaturisation des ordinateurs et </w:t>
      </w:r>
      <w:r w:rsidR="005D1A42">
        <w:rPr>
          <w:color w:val="000000"/>
        </w:rPr>
        <w:t>à</w:t>
      </w:r>
      <w:r w:rsidR="003F6BF7">
        <w:rPr>
          <w:color w:val="000000"/>
        </w:rPr>
        <w:t xml:space="preserve"> la généralisation</w:t>
      </w:r>
      <w:r w:rsidR="00CC7D27" w:rsidRPr="003F6BF7">
        <w:rPr>
          <w:lang w:val="fr-CH"/>
        </w:rPr>
        <w:t xml:space="preserve"> </w:t>
      </w:r>
      <w:r w:rsidR="003F6BF7">
        <w:rPr>
          <w:lang w:val="fr-CH"/>
        </w:rPr>
        <w:t>des</w:t>
      </w:r>
      <w:r w:rsidR="00107FBE">
        <w:rPr>
          <w:lang w:val="fr-CH"/>
        </w:rPr>
        <w:t xml:space="preserve"> </w:t>
      </w:r>
      <w:r w:rsidR="003F6BF7">
        <w:rPr>
          <w:color w:val="000000"/>
        </w:rPr>
        <w:t>systèmes de radiocommunication pilotés par logiciel</w:t>
      </w:r>
      <w:r w:rsidR="003F6BF7" w:rsidRPr="003F6BF7">
        <w:rPr>
          <w:lang w:val="fr-CH"/>
        </w:rPr>
        <w:t xml:space="preserve"> </w:t>
      </w:r>
      <w:r w:rsidR="00CC7D27" w:rsidRPr="003F6BF7">
        <w:rPr>
          <w:lang w:val="fr-CH"/>
        </w:rPr>
        <w:t xml:space="preserve">(SDR) </w:t>
      </w:r>
      <w:r w:rsidR="003F6BF7">
        <w:rPr>
          <w:lang w:val="fr-CH"/>
        </w:rPr>
        <w:t>font que les liaisons</w:t>
      </w:r>
      <w:r w:rsidR="00107FBE">
        <w:rPr>
          <w:lang w:val="fr-CH"/>
        </w:rPr>
        <w:t xml:space="preserve"> </w:t>
      </w:r>
      <w:r w:rsidR="00CC7D27" w:rsidRPr="003F6BF7">
        <w:rPr>
          <w:lang w:val="fr-CH"/>
        </w:rPr>
        <w:t>ISL</w:t>
      </w:r>
      <w:r w:rsidR="003F6BF7">
        <w:rPr>
          <w:lang w:val="fr-CH"/>
        </w:rPr>
        <w:t xml:space="preserve"> </w:t>
      </w:r>
      <w:r w:rsidR="005D1A42">
        <w:rPr>
          <w:lang w:val="fr-CH"/>
        </w:rPr>
        <w:t>constituent</w:t>
      </w:r>
      <w:r w:rsidR="003F6BF7">
        <w:rPr>
          <w:lang w:val="fr-CH"/>
        </w:rPr>
        <w:t xml:space="preserve"> une méthode commercialement viable</w:t>
      </w:r>
      <w:r w:rsidR="003F6BF7" w:rsidRPr="003F6BF7">
        <w:t xml:space="preserve"> </w:t>
      </w:r>
      <w:r w:rsidR="003F6BF7">
        <w:t xml:space="preserve">à laquelle les entités </w:t>
      </w:r>
      <w:r w:rsidR="003F6BF7" w:rsidRPr="003F6BF7">
        <w:rPr>
          <w:lang w:val="fr-CH"/>
        </w:rPr>
        <w:t>s'intéressent de près</w:t>
      </w:r>
      <w:r w:rsidR="003F6BF7">
        <w:rPr>
          <w:lang w:val="fr-CH"/>
        </w:rPr>
        <w:t xml:space="preserve">. </w:t>
      </w:r>
      <w:r w:rsidR="00786CFD">
        <w:rPr>
          <w:lang w:val="fr-CH"/>
        </w:rPr>
        <w:t>Cependant, même si les liaisons</w:t>
      </w:r>
      <w:r w:rsidR="00786CFD" w:rsidRPr="00786CFD">
        <w:rPr>
          <w:lang w:val="fr-CH"/>
        </w:rPr>
        <w:t xml:space="preserve"> </w:t>
      </w:r>
      <w:r w:rsidR="00786CFD" w:rsidRPr="003F6BF7">
        <w:rPr>
          <w:lang w:val="fr-CH"/>
        </w:rPr>
        <w:t>ISL</w:t>
      </w:r>
      <w:r w:rsidR="00786CFD">
        <w:rPr>
          <w:lang w:val="fr-CH"/>
        </w:rPr>
        <w:t xml:space="preserve"> permettent d</w:t>
      </w:r>
      <w:r w:rsidR="00107FBE">
        <w:rPr>
          <w:lang w:val="fr-CH"/>
        </w:rPr>
        <w:t>'</w:t>
      </w:r>
      <w:r w:rsidR="00786CFD">
        <w:rPr>
          <w:lang w:val="fr-CH"/>
        </w:rPr>
        <w:t>améliorer le transfert de données et de remédier au problème de l</w:t>
      </w:r>
      <w:r w:rsidR="00107FBE">
        <w:rPr>
          <w:lang w:val="fr-CH"/>
        </w:rPr>
        <w:t>'</w:t>
      </w:r>
      <w:r w:rsidR="00786CFD">
        <w:rPr>
          <w:lang w:val="fr-CH"/>
        </w:rPr>
        <w:t>encombrement des fréquences, il n</w:t>
      </w:r>
      <w:r w:rsidR="00107FBE">
        <w:rPr>
          <w:lang w:val="fr-CH"/>
        </w:rPr>
        <w:t>'</w:t>
      </w:r>
      <w:r w:rsidR="00786CFD">
        <w:rPr>
          <w:lang w:val="fr-CH"/>
        </w:rPr>
        <w:t>existe pas suffisamment d</w:t>
      </w:r>
      <w:r w:rsidR="00107FBE">
        <w:rPr>
          <w:lang w:val="fr-CH"/>
        </w:rPr>
        <w:t>'</w:t>
      </w:r>
      <w:r w:rsidR="00786CFD">
        <w:rPr>
          <w:lang w:val="fr-CH"/>
        </w:rPr>
        <w:t>attributions permettant l</w:t>
      </w:r>
      <w:r w:rsidR="00107FBE">
        <w:rPr>
          <w:lang w:val="fr-CH"/>
        </w:rPr>
        <w:t>'</w:t>
      </w:r>
      <w:r w:rsidR="00786CFD">
        <w:rPr>
          <w:lang w:val="fr-CH"/>
        </w:rPr>
        <w:t>utilisation par les satellites de</w:t>
      </w:r>
      <w:r w:rsidR="005D1A42">
        <w:rPr>
          <w:lang w:val="fr-CH"/>
        </w:rPr>
        <w:t xml:space="preserve"> ce</w:t>
      </w:r>
      <w:r w:rsidR="00786CFD">
        <w:rPr>
          <w:lang w:val="fr-CH"/>
        </w:rPr>
        <w:t xml:space="preserve">s liaisons dans les bandes au-dessous de </w:t>
      </w:r>
      <w:r w:rsidR="00CC7D27" w:rsidRPr="00786CFD">
        <w:rPr>
          <w:lang w:val="fr-CH"/>
        </w:rPr>
        <w:t>12</w:t>
      </w:r>
      <w:r w:rsidR="00704D57">
        <w:rPr>
          <w:lang w:val="fr-CH"/>
        </w:rPr>
        <w:t>,</w:t>
      </w:r>
      <w:r w:rsidR="00CC7D27" w:rsidRPr="00786CFD">
        <w:rPr>
          <w:lang w:val="fr-CH"/>
        </w:rPr>
        <w:t>2 GHz</w:t>
      </w:r>
      <w:r w:rsidR="00786CFD">
        <w:rPr>
          <w:lang w:val="fr-CH"/>
        </w:rPr>
        <w:t>.</w:t>
      </w:r>
      <w:r w:rsidR="00107FBE">
        <w:rPr>
          <w:lang w:val="fr-CH"/>
        </w:rPr>
        <w:t xml:space="preserve"> </w:t>
      </w:r>
      <w:r w:rsidR="00786CFD" w:rsidRPr="00786CFD">
        <w:rPr>
          <w:lang w:val="fr-CH"/>
        </w:rPr>
        <w:t>Les bandes de fréquences au-dessous de</w:t>
      </w:r>
      <w:r w:rsidR="00107FBE">
        <w:rPr>
          <w:lang w:val="fr-CH"/>
        </w:rPr>
        <w:t xml:space="preserve"> </w:t>
      </w:r>
      <w:r w:rsidR="00CC7D27" w:rsidRPr="00786CFD">
        <w:rPr>
          <w:lang w:val="fr-CH"/>
        </w:rPr>
        <w:t>12</w:t>
      </w:r>
      <w:r w:rsidR="005B24F5">
        <w:rPr>
          <w:lang w:val="fr-CH"/>
        </w:rPr>
        <w:t>,</w:t>
      </w:r>
      <w:r w:rsidR="00CC7D27" w:rsidRPr="00786CFD">
        <w:rPr>
          <w:lang w:val="fr-CH"/>
        </w:rPr>
        <w:t xml:space="preserve">2 GHz </w:t>
      </w:r>
      <w:r w:rsidR="00786CFD" w:rsidRPr="00786CFD">
        <w:rPr>
          <w:lang w:val="fr-CH"/>
        </w:rPr>
        <w:t>sont particulièrement intéressantes pour permettre l</w:t>
      </w:r>
      <w:r w:rsidR="00107FBE">
        <w:rPr>
          <w:lang w:val="fr-CH"/>
        </w:rPr>
        <w:t>'</w:t>
      </w:r>
      <w:r w:rsidR="00786CFD" w:rsidRPr="00786CFD">
        <w:rPr>
          <w:lang w:val="fr-CH"/>
        </w:rPr>
        <w:t>utilisation des liaisons ISL par les petits satellites,</w:t>
      </w:r>
      <w:r w:rsidR="00107FBE">
        <w:rPr>
          <w:lang w:val="fr-CH"/>
        </w:rPr>
        <w:t xml:space="preserve"> </w:t>
      </w:r>
      <w:r w:rsidR="00786CFD">
        <w:rPr>
          <w:lang w:val="fr-CH"/>
        </w:rPr>
        <w:t>même s</w:t>
      </w:r>
      <w:r w:rsidR="00107FBE">
        <w:rPr>
          <w:lang w:val="fr-CH"/>
        </w:rPr>
        <w:t>'</w:t>
      </w:r>
      <w:r w:rsidR="00786CFD">
        <w:rPr>
          <w:lang w:val="fr-CH"/>
        </w:rPr>
        <w:t>il est admis que ces bandes sont très utilisées par d</w:t>
      </w:r>
      <w:r w:rsidR="00107FBE">
        <w:rPr>
          <w:lang w:val="fr-CH"/>
        </w:rPr>
        <w:t>'</w:t>
      </w:r>
      <w:r w:rsidR="00786CFD">
        <w:rPr>
          <w:lang w:val="fr-CH"/>
        </w:rPr>
        <w:t>autres services.</w:t>
      </w:r>
    </w:p>
    <w:p w14:paraId="499CA3D1" w14:textId="4E589980" w:rsidR="00CC7D27" w:rsidRPr="009E1032" w:rsidRDefault="00871ED4" w:rsidP="00107FBE">
      <w:pPr>
        <w:rPr>
          <w:lang w:val="fr-CH"/>
        </w:rPr>
      </w:pPr>
      <w:r w:rsidRPr="00871ED4">
        <w:rPr>
          <w:lang w:val="fr-CH"/>
        </w:rPr>
        <w:t>Pour remédier au problème de la quantité de spectre</w:t>
      </w:r>
      <w:r w:rsidR="00107FBE">
        <w:rPr>
          <w:lang w:val="fr-CH"/>
        </w:rPr>
        <w:t xml:space="preserve"> </w:t>
      </w:r>
      <w:r w:rsidRPr="00871ED4">
        <w:rPr>
          <w:lang w:val="fr-CH"/>
        </w:rPr>
        <w:t>qui pourrait être nécessaire, il est important de bien comprendre la différence entre le transfert de données d</w:t>
      </w:r>
      <w:r w:rsidR="00107FBE">
        <w:rPr>
          <w:lang w:val="fr-CH"/>
        </w:rPr>
        <w:t>'</w:t>
      </w:r>
      <w:r w:rsidRPr="00871ED4">
        <w:rPr>
          <w:lang w:val="fr-CH"/>
        </w:rPr>
        <w:t>une constellation à l</w:t>
      </w:r>
      <w:r w:rsidR="00107FBE">
        <w:rPr>
          <w:lang w:val="fr-CH"/>
        </w:rPr>
        <w:t>'</w:t>
      </w:r>
      <w:r w:rsidRPr="00871ED4">
        <w:rPr>
          <w:lang w:val="fr-CH"/>
        </w:rPr>
        <w:t xml:space="preserve">autre et </w:t>
      </w:r>
      <w:r>
        <w:rPr>
          <w:lang w:val="fr-CH"/>
        </w:rPr>
        <w:t xml:space="preserve">la retransmission de données entre constellations. </w:t>
      </w:r>
      <w:r w:rsidRPr="00871ED4">
        <w:rPr>
          <w:lang w:val="fr-CH"/>
        </w:rPr>
        <w:t>Le transfert de données d</w:t>
      </w:r>
      <w:r w:rsidR="00107FBE">
        <w:rPr>
          <w:lang w:val="fr-CH"/>
        </w:rPr>
        <w:t>'</w:t>
      </w:r>
      <w:r w:rsidRPr="00871ED4">
        <w:rPr>
          <w:lang w:val="fr-CH"/>
        </w:rPr>
        <w:t>une constellation à l</w:t>
      </w:r>
      <w:r w:rsidR="00107FBE">
        <w:rPr>
          <w:lang w:val="fr-CH"/>
        </w:rPr>
        <w:t>'</w:t>
      </w:r>
      <w:r w:rsidRPr="00871ED4">
        <w:rPr>
          <w:lang w:val="fr-CH"/>
        </w:rPr>
        <w:t>autre</w:t>
      </w:r>
      <w:r w:rsidR="00107FBE">
        <w:rPr>
          <w:lang w:val="fr-CH"/>
        </w:rPr>
        <w:t xml:space="preserve"> </w:t>
      </w:r>
      <w:r w:rsidRPr="00871ED4">
        <w:rPr>
          <w:lang w:val="fr-CH"/>
        </w:rPr>
        <w:t>désigne le transfert de données d</w:t>
      </w:r>
      <w:r w:rsidR="005D1A42">
        <w:rPr>
          <w:lang w:val="fr-CH"/>
        </w:rPr>
        <w:t xml:space="preserve">epuis </w:t>
      </w:r>
      <w:r w:rsidRPr="00871ED4">
        <w:rPr>
          <w:lang w:val="fr-CH"/>
        </w:rPr>
        <w:t xml:space="preserve">une constellation </w:t>
      </w:r>
      <w:r>
        <w:rPr>
          <w:lang w:val="fr-CH"/>
        </w:rPr>
        <w:t xml:space="preserve">qui a essentiellement pour but de recueillir des données, par exemple des images de la Terre, vers une seconde constellation qui est utilisée </w:t>
      </w:r>
      <w:r w:rsidR="005D1A42">
        <w:rPr>
          <w:lang w:val="fr-CH"/>
        </w:rPr>
        <w:t>principalement</w:t>
      </w:r>
      <w:r>
        <w:rPr>
          <w:lang w:val="fr-CH"/>
        </w:rPr>
        <w:t xml:space="preserve"> pour transmettre des données </w:t>
      </w:r>
      <w:r w:rsidR="009E1032">
        <w:rPr>
          <w:lang w:val="fr-CH"/>
        </w:rPr>
        <w:t>vers la Terre.</w:t>
      </w:r>
      <w:r w:rsidR="00107FBE">
        <w:rPr>
          <w:lang w:val="fr-CH"/>
        </w:rPr>
        <w:t xml:space="preserve"> </w:t>
      </w:r>
      <w:r w:rsidR="009E1032">
        <w:rPr>
          <w:lang w:val="fr-CH"/>
        </w:rPr>
        <w:t>Ce transfert ne nécessitera sans doute pas une</w:t>
      </w:r>
      <w:r w:rsidR="00107FBE">
        <w:rPr>
          <w:lang w:val="fr-CH"/>
        </w:rPr>
        <w:t xml:space="preserve"> </w:t>
      </w:r>
      <w:r w:rsidR="009E1032">
        <w:rPr>
          <w:lang w:val="fr-CH"/>
        </w:rPr>
        <w:t>grande quantité de spectre, étant donné que peu de satellites</w:t>
      </w:r>
      <w:r w:rsidR="00107FBE">
        <w:rPr>
          <w:lang w:val="fr-CH"/>
        </w:rPr>
        <w:t xml:space="preserve"> </w:t>
      </w:r>
      <w:r w:rsidR="009E1032" w:rsidRPr="009E1032">
        <w:rPr>
          <w:lang w:val="fr-CH"/>
        </w:rPr>
        <w:t>déchargent leurs données</w:t>
      </w:r>
      <w:r w:rsidR="009E1032">
        <w:rPr>
          <w:lang w:val="fr-CH"/>
        </w:rPr>
        <w:t xml:space="preserve"> vers un seul satellite de </w:t>
      </w:r>
      <w:r w:rsidR="009E1032" w:rsidRPr="009E1032">
        <w:rPr>
          <w:lang w:val="fr-CH"/>
        </w:rPr>
        <w:t>la constellation relais</w:t>
      </w:r>
      <w:r w:rsidR="009E1032">
        <w:rPr>
          <w:lang w:val="fr-CH"/>
        </w:rPr>
        <w:t xml:space="preserve">. </w:t>
      </w:r>
      <w:r w:rsidR="009E1032" w:rsidRPr="009E1032">
        <w:rPr>
          <w:lang w:val="fr-CH"/>
        </w:rPr>
        <w:t>Il y a plus de chances que la transmission de données entre les réseaux existants s</w:t>
      </w:r>
      <w:r w:rsidR="00107FBE">
        <w:rPr>
          <w:lang w:val="fr-CH"/>
        </w:rPr>
        <w:t>'</w:t>
      </w:r>
      <w:r w:rsidR="009E1032" w:rsidRPr="009E1032">
        <w:rPr>
          <w:lang w:val="fr-CH"/>
        </w:rPr>
        <w:t>effectue dans des gammes de fréquences inférieures, et il est plus probable que la connexion en série de ces données</w:t>
      </w:r>
      <w:r w:rsidR="009E1032">
        <w:rPr>
          <w:lang w:val="fr-CH"/>
        </w:rPr>
        <w:t xml:space="preserve"> dans le réseau de retransmission s</w:t>
      </w:r>
      <w:r w:rsidR="00107FBE">
        <w:rPr>
          <w:lang w:val="fr-CH"/>
        </w:rPr>
        <w:t>'</w:t>
      </w:r>
      <w:r w:rsidR="009E1032">
        <w:rPr>
          <w:lang w:val="fr-CH"/>
        </w:rPr>
        <w:t>effectue dans de plus grandes largeurs de bande</w:t>
      </w:r>
      <w:r w:rsidR="005D1A42">
        <w:rPr>
          <w:lang w:val="fr-CH"/>
        </w:rPr>
        <w:t>,</w:t>
      </w:r>
      <w:r w:rsidR="00107FBE">
        <w:rPr>
          <w:lang w:val="fr-CH"/>
        </w:rPr>
        <w:t xml:space="preserve"> </w:t>
      </w:r>
      <w:r w:rsidR="009E1032">
        <w:rPr>
          <w:lang w:val="fr-CH"/>
        </w:rPr>
        <w:t>en raison de l</w:t>
      </w:r>
      <w:r w:rsidR="00107FBE">
        <w:rPr>
          <w:lang w:val="fr-CH"/>
        </w:rPr>
        <w:t>'</w:t>
      </w:r>
      <w:r w:rsidR="009E1032">
        <w:rPr>
          <w:lang w:val="fr-CH"/>
        </w:rPr>
        <w:t>augmentation des besoins de spectre.</w:t>
      </w:r>
    </w:p>
    <w:p w14:paraId="194560D2" w14:textId="0CC997CA" w:rsidR="00CC7D27" w:rsidRPr="00700561" w:rsidRDefault="003D3BA5" w:rsidP="00107FBE">
      <w:pPr>
        <w:pStyle w:val="Headingb"/>
        <w:rPr>
          <w:lang w:val="fr-CH"/>
        </w:rPr>
      </w:pPr>
      <w:r w:rsidRPr="00700561">
        <w:rPr>
          <w:lang w:val="fr-CH"/>
        </w:rPr>
        <w:t xml:space="preserve">Question </w:t>
      </w:r>
      <w:r w:rsidR="00CC7D27" w:rsidRPr="00700561">
        <w:rPr>
          <w:lang w:val="fr-CH"/>
        </w:rPr>
        <w:t>B</w:t>
      </w:r>
    </w:p>
    <w:p w14:paraId="15A00E3E" w14:textId="747E3E60" w:rsidR="00CC7D27" w:rsidRPr="00822130" w:rsidRDefault="003D3BA5" w:rsidP="00107FBE">
      <w:pPr>
        <w:rPr>
          <w:lang w:val="fr-CH"/>
        </w:rPr>
      </w:pPr>
      <w:r w:rsidRPr="003D3BA5">
        <w:rPr>
          <w:lang w:val="fr-CH"/>
        </w:rPr>
        <w:t>Comme indiqué par le Directeur du Bureau des radiocommunications</w:t>
      </w:r>
      <w:r w:rsidR="00107FBE">
        <w:rPr>
          <w:lang w:val="fr-CH"/>
        </w:rPr>
        <w:t xml:space="preserve"> </w:t>
      </w:r>
      <w:r w:rsidR="003B739C">
        <w:rPr>
          <w:lang w:val="fr-CH"/>
        </w:rPr>
        <w:t>dans son rapport</w:t>
      </w:r>
      <w:r w:rsidRPr="003D3BA5">
        <w:rPr>
          <w:lang w:val="fr-CH"/>
        </w:rPr>
        <w:t xml:space="preserve"> à la seconde session de la RPC en vue de la </w:t>
      </w:r>
      <w:r w:rsidR="00822130" w:rsidRPr="003D3BA5">
        <w:rPr>
          <w:lang w:val="fr-CH"/>
        </w:rPr>
        <w:t>CMR</w:t>
      </w:r>
      <w:r w:rsidR="00CC7D27" w:rsidRPr="003D3BA5">
        <w:rPr>
          <w:lang w:val="fr-CH"/>
        </w:rPr>
        <w:t>-19,</w:t>
      </w:r>
      <w:r w:rsidRPr="003D3BA5">
        <w:rPr>
          <w:lang w:val="fr-CH"/>
        </w:rPr>
        <w:t xml:space="preserve"> depuis </w:t>
      </w:r>
      <w:r w:rsidR="00CC7D27" w:rsidRPr="003D3BA5">
        <w:rPr>
          <w:lang w:val="fr-CH"/>
        </w:rPr>
        <w:t>2014,</w:t>
      </w:r>
      <w:r w:rsidR="00107FBE">
        <w:rPr>
          <w:lang w:val="fr-CH"/>
        </w:rPr>
        <w:t xml:space="preserve"> </w:t>
      </w:r>
      <w:r w:rsidR="00CC7D27" w:rsidRPr="003D3BA5">
        <w:rPr>
          <w:lang w:val="fr-CH"/>
        </w:rPr>
        <w:t xml:space="preserve">27 </w:t>
      </w:r>
      <w:r w:rsidR="003B739C">
        <w:rPr>
          <w:lang w:val="fr-CH"/>
        </w:rPr>
        <w:t>soumissions de renseignements pour la publication anticipée ont été présentées concernant des systèmes à satellites non OSG au titre du</w:t>
      </w:r>
      <w:r w:rsidR="00107FBE">
        <w:rPr>
          <w:lang w:val="fr-CH"/>
        </w:rPr>
        <w:t xml:space="preserve"> </w:t>
      </w:r>
      <w:r w:rsidRPr="003D3BA5">
        <w:rPr>
          <w:color w:val="000000"/>
          <w:lang w:val="fr-CH"/>
        </w:rPr>
        <w:t>numéro 4.4 du Règlement des radiocommunications</w:t>
      </w:r>
      <w:r w:rsidR="003B739C">
        <w:rPr>
          <w:color w:val="000000"/>
          <w:lang w:val="fr-CH"/>
        </w:rPr>
        <w:t>, en vue de l</w:t>
      </w:r>
      <w:r w:rsidR="00107FBE">
        <w:rPr>
          <w:color w:val="000000"/>
          <w:lang w:val="fr-CH"/>
        </w:rPr>
        <w:t>'</w:t>
      </w:r>
      <w:r w:rsidR="003B739C">
        <w:rPr>
          <w:color w:val="000000"/>
          <w:lang w:val="fr-CH"/>
        </w:rPr>
        <w:t xml:space="preserve">utilisation, par un service spatial </w:t>
      </w:r>
      <w:r w:rsidR="003B739C" w:rsidRPr="002B427F">
        <w:t xml:space="preserve">ne bénéficiant pas </w:t>
      </w:r>
      <w:r w:rsidR="003B739C">
        <w:rPr>
          <w:color w:val="000000"/>
          <w:lang w:val="fr-CH"/>
        </w:rPr>
        <w:t>d</w:t>
      </w:r>
      <w:r w:rsidR="00107FBE">
        <w:rPr>
          <w:color w:val="000000"/>
          <w:lang w:val="fr-CH"/>
        </w:rPr>
        <w:t>'</w:t>
      </w:r>
      <w:r w:rsidR="003B739C">
        <w:rPr>
          <w:color w:val="000000"/>
          <w:lang w:val="fr-CH"/>
        </w:rPr>
        <w:t xml:space="preserve">attributions, </w:t>
      </w:r>
      <w:r w:rsidR="003B739C">
        <w:rPr>
          <w:lang w:val="fr-CH"/>
        </w:rPr>
        <w:t>de bandes de fréquences attribuées à un autre service spatial.</w:t>
      </w:r>
      <w:r w:rsidR="00107FBE">
        <w:rPr>
          <w:lang w:val="fr-CH"/>
        </w:rPr>
        <w:t xml:space="preserve"> </w:t>
      </w:r>
      <w:r w:rsidR="003B739C">
        <w:rPr>
          <w:lang w:val="fr-CH"/>
        </w:rPr>
        <w:t>Voir le</w:t>
      </w:r>
      <w:r w:rsidR="00CC7D27" w:rsidRPr="00822130">
        <w:rPr>
          <w:lang w:val="fr-CH"/>
        </w:rPr>
        <w:t xml:space="preserve"> Document CPM19-2/17,</w:t>
      </w:r>
      <w:r w:rsidR="00107FBE">
        <w:rPr>
          <w:lang w:val="fr-CH"/>
        </w:rPr>
        <w:t xml:space="preserve"> </w:t>
      </w:r>
      <w:r w:rsidR="00822130">
        <w:rPr>
          <w:lang w:val="fr-CH"/>
        </w:rPr>
        <w:t>§</w:t>
      </w:r>
      <w:r w:rsidR="00107FBE">
        <w:rPr>
          <w:lang w:val="fr-CH"/>
        </w:rPr>
        <w:t xml:space="preserve"> </w:t>
      </w:r>
      <w:r w:rsidR="00CC7D27" w:rsidRPr="00822130">
        <w:rPr>
          <w:lang w:val="fr-CH"/>
        </w:rPr>
        <w:t>3.1.3.2 (</w:t>
      </w:r>
      <w:r w:rsidR="00CC7D27" w:rsidRPr="00CC7D27">
        <w:t xml:space="preserve">Avant-projet de </w:t>
      </w:r>
      <w:r w:rsidR="00700561">
        <w:t>R</w:t>
      </w:r>
      <w:r w:rsidR="00CC7D27" w:rsidRPr="00CC7D27">
        <w:t xml:space="preserve">apport du directeur </w:t>
      </w:r>
      <w:r w:rsidR="00CC7D27">
        <w:t>à</w:t>
      </w:r>
      <w:r w:rsidR="00CC7D27" w:rsidRPr="00CC7D27">
        <w:t xml:space="preserve"> </w:t>
      </w:r>
      <w:r w:rsidR="00CC7D27">
        <w:t>la</w:t>
      </w:r>
      <w:r w:rsidR="00CC7D27" w:rsidRPr="00CC7D27">
        <w:t xml:space="preserve"> CMR-19 sur les activités du secteur des radiocommunications</w:t>
      </w:r>
      <w:r w:rsidR="00CC7D27" w:rsidRPr="00822130">
        <w:rPr>
          <w:lang w:val="fr-CH"/>
        </w:rPr>
        <w:t xml:space="preserve">). </w:t>
      </w:r>
      <w:r w:rsidR="003B739C">
        <w:rPr>
          <w:lang w:val="fr-CH"/>
        </w:rPr>
        <w:t>Les renseignements de notification ont par la suite été soumis pour les assignations de fréquence</w:t>
      </w:r>
      <w:r w:rsidR="00107FBE">
        <w:rPr>
          <w:lang w:val="fr-CH"/>
        </w:rPr>
        <w:t xml:space="preserve"> </w:t>
      </w:r>
      <w:r w:rsidR="007A7E3E">
        <w:rPr>
          <w:lang w:val="fr-CH"/>
        </w:rPr>
        <w:t>de</w:t>
      </w:r>
      <w:r w:rsidR="003B739C">
        <w:rPr>
          <w:lang w:val="fr-CH"/>
        </w:rPr>
        <w:t xml:space="preserve"> trois de ces systèmes.</w:t>
      </w:r>
      <w:r w:rsidR="00107FBE">
        <w:rPr>
          <w:lang w:val="fr-CH"/>
        </w:rPr>
        <w:t xml:space="preserve"> </w:t>
      </w:r>
      <w:r w:rsidR="003B739C">
        <w:rPr>
          <w:lang w:val="fr-CH"/>
        </w:rPr>
        <w:t>Il est souligné dans le projet de rapport du Directeur</w:t>
      </w:r>
      <w:r w:rsidR="00107FBE">
        <w:rPr>
          <w:lang w:val="fr-CH"/>
        </w:rPr>
        <w:t xml:space="preserve"> </w:t>
      </w:r>
      <w:r w:rsidR="00700561">
        <w:t>«</w:t>
      </w:r>
      <w:r w:rsidR="003B739C">
        <w:t>qu</w:t>
      </w:r>
      <w:r w:rsidR="00107FBE">
        <w:t>'</w:t>
      </w:r>
      <w:r w:rsidR="00CC7D27">
        <w:t>a</w:t>
      </w:r>
      <w:r w:rsidR="00CC7D27" w:rsidRPr="00CC7D27">
        <w:t>ucun cas de brouillages préjudiciables causés par ces assignations de fréquence à un service quelconque d'une autre administration n'a été signalé au BR</w:t>
      </w:r>
      <w:r w:rsidR="00700561">
        <w:rPr>
          <w:lang w:val="fr-CH"/>
        </w:rPr>
        <w:t>»</w:t>
      </w:r>
      <w:r w:rsidR="00CC7D27" w:rsidRPr="00822130">
        <w:rPr>
          <w:lang w:val="fr-CH"/>
        </w:rPr>
        <w:t xml:space="preserve"> </w:t>
      </w:r>
      <w:r w:rsidR="003B739C">
        <w:rPr>
          <w:lang w:val="fr-CH"/>
        </w:rPr>
        <w:t>(</w:t>
      </w:r>
      <w:r w:rsidR="00CC7D27" w:rsidRPr="00822130">
        <w:rPr>
          <w:lang w:val="fr-CH"/>
        </w:rPr>
        <w:t>Document</w:t>
      </w:r>
      <w:r w:rsidR="00700561">
        <w:rPr>
          <w:lang w:val="fr-CH"/>
        </w:rPr>
        <w:t> </w:t>
      </w:r>
      <w:r w:rsidR="00CC7D27" w:rsidRPr="00822130">
        <w:rPr>
          <w:lang w:val="fr-CH"/>
        </w:rPr>
        <w:t>CPM19-2/17,</w:t>
      </w:r>
      <w:r w:rsidR="00107FBE">
        <w:rPr>
          <w:lang w:val="fr-CH"/>
        </w:rPr>
        <w:t xml:space="preserve"> </w:t>
      </w:r>
      <w:r w:rsidR="00822130">
        <w:rPr>
          <w:lang w:val="fr-CH"/>
        </w:rPr>
        <w:t>§</w:t>
      </w:r>
      <w:r w:rsidR="00107FBE">
        <w:rPr>
          <w:lang w:val="fr-CH"/>
        </w:rPr>
        <w:t xml:space="preserve"> </w:t>
      </w:r>
      <w:r w:rsidR="00CC7D27" w:rsidRPr="00822130">
        <w:rPr>
          <w:lang w:val="fr-CH"/>
        </w:rPr>
        <w:t>3.1.3.2</w:t>
      </w:r>
      <w:r w:rsidR="003B739C">
        <w:rPr>
          <w:lang w:val="fr-CH"/>
        </w:rPr>
        <w:t>)</w:t>
      </w:r>
      <w:r w:rsidR="00CC7D27" w:rsidRPr="00822130">
        <w:rPr>
          <w:lang w:val="fr-CH"/>
        </w:rPr>
        <w:t>.</w:t>
      </w:r>
    </w:p>
    <w:p w14:paraId="384F0B9C" w14:textId="6DADE45E" w:rsidR="00CC7D27" w:rsidRPr="00AA09BA" w:rsidRDefault="00357BFA" w:rsidP="00107FBE">
      <w:pPr>
        <w:rPr>
          <w:lang w:val="fr-CH"/>
        </w:rPr>
      </w:pPr>
      <w:r w:rsidRPr="00357BFA">
        <w:rPr>
          <w:lang w:val="fr-CH"/>
        </w:rPr>
        <w:t>Comme l</w:t>
      </w:r>
      <w:r w:rsidR="00107FBE">
        <w:rPr>
          <w:lang w:val="fr-CH"/>
        </w:rPr>
        <w:t>'</w:t>
      </w:r>
      <w:r w:rsidRPr="00357BFA">
        <w:rPr>
          <w:lang w:val="fr-CH"/>
        </w:rPr>
        <w:t xml:space="preserve">a reconnu le Directeur du Bureau des radiocommunications, </w:t>
      </w:r>
      <w:r w:rsidR="007A7E3E">
        <w:rPr>
          <w:lang w:val="fr-CH"/>
        </w:rPr>
        <w:t>la difficulté consiste à</w:t>
      </w:r>
      <w:r w:rsidRPr="00357BFA">
        <w:rPr>
          <w:lang w:val="fr-CH"/>
        </w:rPr>
        <w:t xml:space="preserve"> trouver un moyen de reconnaître</w:t>
      </w:r>
      <w:r>
        <w:rPr>
          <w:lang w:val="fr-CH"/>
        </w:rPr>
        <w:t xml:space="preserve"> ces utilisations</w:t>
      </w:r>
      <w:r w:rsidR="00107FBE">
        <w:rPr>
          <w:lang w:val="fr-CH"/>
        </w:rPr>
        <w:t xml:space="preserve"> </w:t>
      </w:r>
      <w:r w:rsidRPr="00357BFA">
        <w:rPr>
          <w:lang w:val="fr-CH"/>
        </w:rPr>
        <w:t>dans le Règlement des</w:t>
      </w:r>
      <w:r>
        <w:rPr>
          <w:lang w:val="fr-CH"/>
        </w:rPr>
        <w:t xml:space="preserve"> radiocommunications,</w:t>
      </w:r>
      <w:r w:rsidR="00107FBE">
        <w:rPr>
          <w:lang w:val="fr-CH"/>
        </w:rPr>
        <w:t xml:space="preserve"> </w:t>
      </w:r>
      <w:r>
        <w:rPr>
          <w:lang w:val="fr-CH"/>
        </w:rPr>
        <w:t xml:space="preserve">compte tenu </w:t>
      </w:r>
      <w:r>
        <w:rPr>
          <w:lang w:val="fr-CH"/>
        </w:rPr>
        <w:lastRenderedPageBreak/>
        <w:t>si possible des conditions techniques découlant des études de</w:t>
      </w:r>
      <w:r w:rsidR="00107FBE">
        <w:rPr>
          <w:lang w:val="fr-CH"/>
        </w:rPr>
        <w:t xml:space="preserve"> </w:t>
      </w:r>
      <w:r>
        <w:rPr>
          <w:lang w:val="fr-CH"/>
        </w:rPr>
        <w:t>l</w:t>
      </w:r>
      <w:r w:rsidR="00107FBE">
        <w:rPr>
          <w:lang w:val="fr-CH"/>
        </w:rPr>
        <w:t>'</w:t>
      </w:r>
      <w:r w:rsidR="00822130" w:rsidRPr="00357BFA">
        <w:rPr>
          <w:lang w:val="fr-CH"/>
        </w:rPr>
        <w:t>UIT</w:t>
      </w:r>
      <w:r w:rsidR="00CC7D27" w:rsidRPr="00357BFA">
        <w:rPr>
          <w:lang w:val="fr-CH"/>
        </w:rPr>
        <w:t>-R</w:t>
      </w:r>
      <w:r>
        <w:rPr>
          <w:lang w:val="fr-CH"/>
        </w:rPr>
        <w:t>.</w:t>
      </w:r>
      <w:r w:rsidR="00CC7D27" w:rsidRPr="00357BFA">
        <w:rPr>
          <w:lang w:val="fr-CH"/>
        </w:rPr>
        <w:t xml:space="preserve"> </w:t>
      </w:r>
      <w:r>
        <w:rPr>
          <w:lang w:val="fr-CH"/>
        </w:rPr>
        <w:t>Étant donné que les bandes de fréquences attribuées au</w:t>
      </w:r>
      <w:r w:rsidR="00107FBE">
        <w:rPr>
          <w:lang w:val="fr-CH"/>
        </w:rPr>
        <w:t xml:space="preserve"> </w:t>
      </w:r>
      <w:r>
        <w:rPr>
          <w:lang w:val="fr-CH"/>
        </w:rPr>
        <w:t>service</w:t>
      </w:r>
      <w:r w:rsidR="00107FBE">
        <w:rPr>
          <w:lang w:val="fr-CH"/>
        </w:rPr>
        <w:t xml:space="preserve"> </w:t>
      </w:r>
      <w:r>
        <w:rPr>
          <w:lang w:val="fr-CH"/>
        </w:rPr>
        <w:t>fixe</w:t>
      </w:r>
      <w:r w:rsidR="00107FBE">
        <w:rPr>
          <w:lang w:val="fr-CH"/>
        </w:rPr>
        <w:t xml:space="preserve"> </w:t>
      </w:r>
      <w:r>
        <w:rPr>
          <w:lang w:val="fr-CH"/>
        </w:rPr>
        <w:t>par satellite et au service mobile par satellite sont utilisées pour les liaisons entre les stations spatiales et les stations terriennes, il est nécessaire d</w:t>
      </w:r>
      <w:r w:rsidR="00107FBE">
        <w:rPr>
          <w:lang w:val="fr-CH"/>
        </w:rPr>
        <w:t>'</w:t>
      </w:r>
      <w:r>
        <w:rPr>
          <w:lang w:val="fr-CH"/>
        </w:rPr>
        <w:t>analyser l</w:t>
      </w:r>
      <w:r w:rsidR="00107FBE">
        <w:rPr>
          <w:lang w:val="fr-CH"/>
        </w:rPr>
        <w:t>'</w:t>
      </w:r>
      <w:r>
        <w:rPr>
          <w:lang w:val="fr-CH"/>
        </w:rPr>
        <w:t>utilisation des mêmes bandes pour les liaisons entre satellites, afin de garantir la compatibilité et d</w:t>
      </w:r>
      <w:r w:rsidR="00107FBE">
        <w:rPr>
          <w:lang w:val="fr-CH"/>
        </w:rPr>
        <w:t>'</w:t>
      </w:r>
      <w:r>
        <w:rPr>
          <w:lang w:val="fr-CH"/>
        </w:rPr>
        <w:t>éviter les brouillages préjudiciables.</w:t>
      </w:r>
      <w:r w:rsidR="00107FBE">
        <w:rPr>
          <w:lang w:val="fr-CH"/>
        </w:rPr>
        <w:t xml:space="preserve"> </w:t>
      </w:r>
      <w:r w:rsidR="00AA09BA">
        <w:rPr>
          <w:lang w:val="fr-CH"/>
        </w:rPr>
        <w:t>Le scénario de partage sera sans doute différent de l</w:t>
      </w:r>
      <w:r w:rsidR="00107FBE">
        <w:rPr>
          <w:lang w:val="fr-CH"/>
        </w:rPr>
        <w:t>'</w:t>
      </w:r>
      <w:r w:rsidR="00AA09BA">
        <w:rPr>
          <w:lang w:val="fr-CH"/>
        </w:rPr>
        <w:t>utilisation actuelle de ces bandes pour les transmissions espace vers Terre et Terre vers espace.</w:t>
      </w:r>
    </w:p>
    <w:p w14:paraId="4B7D2428" w14:textId="70128799" w:rsidR="00CC7D27" w:rsidRPr="00867F8D" w:rsidRDefault="004F0DEB" w:rsidP="00107FBE">
      <w:pPr>
        <w:rPr>
          <w:lang w:val="fr-CH"/>
        </w:rPr>
      </w:pPr>
      <w:r w:rsidRPr="004F0DEB">
        <w:rPr>
          <w:lang w:val="fr-CH"/>
        </w:rPr>
        <w:t>Les études préliminaires effectuées par le Groupe de travail</w:t>
      </w:r>
      <w:r w:rsidR="00107FBE">
        <w:rPr>
          <w:lang w:val="fr-CH"/>
        </w:rPr>
        <w:t xml:space="preserve"> </w:t>
      </w:r>
      <w:r w:rsidRPr="004F0DEB">
        <w:rPr>
          <w:lang w:val="fr-CH"/>
        </w:rPr>
        <w:t>4A de l</w:t>
      </w:r>
      <w:r w:rsidR="00107FBE">
        <w:rPr>
          <w:lang w:val="fr-CH"/>
        </w:rPr>
        <w:t>'</w:t>
      </w:r>
      <w:r w:rsidRPr="004F0DEB">
        <w:rPr>
          <w:lang w:val="fr-CH"/>
        </w:rPr>
        <w:t xml:space="preserve">UIT-R ont permis de mettre en évidence les facteurs à prendre en considération </w:t>
      </w:r>
      <w:r w:rsidR="008610F4">
        <w:rPr>
          <w:lang w:val="fr-CH"/>
        </w:rPr>
        <w:t>lors de l'</w:t>
      </w:r>
      <w:r w:rsidRPr="004F0DEB">
        <w:rPr>
          <w:lang w:val="fr-CH"/>
        </w:rPr>
        <w:t xml:space="preserve">analyse </w:t>
      </w:r>
      <w:r w:rsidR="008610F4">
        <w:rPr>
          <w:lang w:val="fr-CH"/>
        </w:rPr>
        <w:t xml:space="preserve">de </w:t>
      </w:r>
      <w:r w:rsidRPr="004F0DEB">
        <w:rPr>
          <w:lang w:val="fr-CH"/>
        </w:rPr>
        <w:t>la compatibilité entre</w:t>
      </w:r>
      <w:r>
        <w:rPr>
          <w:lang w:val="fr-CH"/>
        </w:rPr>
        <w:t>,</w:t>
      </w:r>
      <w:r w:rsidR="008610F4">
        <w:rPr>
          <w:lang w:val="fr-CH"/>
        </w:rPr>
        <w:t xml:space="preserve"> </w:t>
      </w:r>
      <w:r>
        <w:rPr>
          <w:lang w:val="fr-CH"/>
        </w:rPr>
        <w:t>d</w:t>
      </w:r>
      <w:r w:rsidR="00107FBE">
        <w:rPr>
          <w:lang w:val="fr-CH"/>
        </w:rPr>
        <w:t>'</w:t>
      </w:r>
      <w:r>
        <w:rPr>
          <w:lang w:val="fr-CH"/>
        </w:rPr>
        <w:t>une part,</w:t>
      </w:r>
      <w:r w:rsidRPr="004F0DEB">
        <w:rPr>
          <w:lang w:val="fr-CH"/>
        </w:rPr>
        <w:t xml:space="preserve"> </w:t>
      </w:r>
      <w:r w:rsidR="008610F4">
        <w:rPr>
          <w:lang w:val="fr-CH"/>
        </w:rPr>
        <w:t>l</w:t>
      </w:r>
      <w:r>
        <w:rPr>
          <w:lang w:val="fr-CH"/>
        </w:rPr>
        <w:t xml:space="preserve">es </w:t>
      </w:r>
      <w:r w:rsidRPr="004F0DEB">
        <w:rPr>
          <w:lang w:val="fr-CH"/>
        </w:rPr>
        <w:t>liaisons</w:t>
      </w:r>
      <w:r w:rsidR="00107FBE">
        <w:rPr>
          <w:lang w:val="fr-CH"/>
        </w:rPr>
        <w:t xml:space="preserve"> </w:t>
      </w:r>
      <w:r w:rsidR="008610F4">
        <w:rPr>
          <w:lang w:val="fr-CH"/>
        </w:rPr>
        <w:t xml:space="preserve">entre un </w:t>
      </w:r>
      <w:r>
        <w:rPr>
          <w:lang w:val="fr-CH"/>
        </w:rPr>
        <w:t xml:space="preserve">satellite non OSG </w:t>
      </w:r>
      <w:r w:rsidR="008610F4">
        <w:rPr>
          <w:lang w:val="fr-CH"/>
        </w:rPr>
        <w:t>et un</w:t>
      </w:r>
      <w:r>
        <w:rPr>
          <w:lang w:val="fr-CH"/>
        </w:rPr>
        <w:t xml:space="preserve"> satellite OSG dans le sens Terre vers espace, dans </w:t>
      </w:r>
      <w:r w:rsidRPr="00700561">
        <w:rPr>
          <w:spacing w:val="-2"/>
          <w:lang w:val="fr-CH"/>
        </w:rPr>
        <w:t>la bande de fréquences</w:t>
      </w:r>
      <w:r w:rsidR="00CC7D27" w:rsidRPr="00700561">
        <w:rPr>
          <w:spacing w:val="-2"/>
          <w:lang w:val="fr-CH"/>
        </w:rPr>
        <w:t xml:space="preserve"> 27</w:t>
      </w:r>
      <w:r w:rsidR="005B24F5" w:rsidRPr="00700561">
        <w:rPr>
          <w:spacing w:val="-2"/>
          <w:lang w:val="fr-CH"/>
        </w:rPr>
        <w:t>,</w:t>
      </w:r>
      <w:r w:rsidR="00CC7D27" w:rsidRPr="00700561">
        <w:rPr>
          <w:spacing w:val="-2"/>
          <w:lang w:val="fr-CH"/>
        </w:rPr>
        <w:t>5-30 GHz</w:t>
      </w:r>
      <w:r w:rsidRPr="00700561">
        <w:rPr>
          <w:spacing w:val="-2"/>
          <w:lang w:val="fr-CH"/>
        </w:rPr>
        <w:t>, et dans le sens espace vers Terre dans les bandes de fréquences</w:t>
      </w:r>
      <w:r w:rsidR="00107FBE">
        <w:rPr>
          <w:lang w:val="fr-CH"/>
        </w:rPr>
        <w:t xml:space="preserve"> </w:t>
      </w:r>
      <w:r w:rsidR="00CC7D27" w:rsidRPr="004F0DEB">
        <w:rPr>
          <w:lang w:val="fr-CH"/>
        </w:rPr>
        <w:t>17</w:t>
      </w:r>
      <w:r w:rsidR="005B24F5">
        <w:rPr>
          <w:lang w:val="fr-CH"/>
        </w:rPr>
        <w:t>,</w:t>
      </w:r>
      <w:r w:rsidR="00CC7D27" w:rsidRPr="004F0DEB">
        <w:rPr>
          <w:lang w:val="fr-CH"/>
        </w:rPr>
        <w:t>7-20</w:t>
      </w:r>
      <w:r w:rsidR="005B24F5">
        <w:rPr>
          <w:lang w:val="fr-CH"/>
        </w:rPr>
        <w:t>,</w:t>
      </w:r>
      <w:r w:rsidR="00CC7D27" w:rsidRPr="004F0DEB">
        <w:rPr>
          <w:lang w:val="fr-CH"/>
        </w:rPr>
        <w:t>2 GHz</w:t>
      </w:r>
      <w:r w:rsidR="00867F8D">
        <w:rPr>
          <w:lang w:val="fr-CH"/>
        </w:rPr>
        <w:t xml:space="preserve"> </w:t>
      </w:r>
      <w:r>
        <w:rPr>
          <w:lang w:val="fr-CH"/>
        </w:rPr>
        <w:t>et</w:t>
      </w:r>
      <w:r w:rsidR="00867F8D">
        <w:rPr>
          <w:lang w:val="fr-CH"/>
        </w:rPr>
        <w:t>,</w:t>
      </w:r>
      <w:r>
        <w:rPr>
          <w:lang w:val="fr-CH"/>
        </w:rPr>
        <w:t xml:space="preserve"> d</w:t>
      </w:r>
      <w:r w:rsidR="00107FBE">
        <w:rPr>
          <w:lang w:val="fr-CH"/>
        </w:rPr>
        <w:t>'</w:t>
      </w:r>
      <w:r>
        <w:rPr>
          <w:lang w:val="fr-CH"/>
        </w:rPr>
        <w:t>autre part, l</w:t>
      </w:r>
      <w:r w:rsidR="00107FBE">
        <w:rPr>
          <w:lang w:val="fr-CH"/>
        </w:rPr>
        <w:t>'</w:t>
      </w:r>
      <w:r>
        <w:rPr>
          <w:lang w:val="fr-CH"/>
        </w:rPr>
        <w:t>exploitation d</w:t>
      </w:r>
      <w:r w:rsidR="00107FBE">
        <w:rPr>
          <w:lang w:val="fr-CH"/>
        </w:rPr>
        <w:t>'</w:t>
      </w:r>
      <w:r>
        <w:rPr>
          <w:lang w:val="fr-CH"/>
        </w:rPr>
        <w:t>autres systèmes du SFS et d</w:t>
      </w:r>
      <w:r w:rsidR="00107FBE">
        <w:rPr>
          <w:lang w:val="fr-CH"/>
        </w:rPr>
        <w:t>'</w:t>
      </w:r>
      <w:r>
        <w:rPr>
          <w:lang w:val="fr-CH"/>
        </w:rPr>
        <w:t xml:space="preserve">autres services. </w:t>
      </w:r>
      <w:r w:rsidRPr="004F0DEB">
        <w:rPr>
          <w:lang w:val="fr-CH"/>
        </w:rPr>
        <w:t>De plus, au moins un opérateur de satellites a demandé</w:t>
      </w:r>
      <w:r w:rsidR="00107FBE">
        <w:rPr>
          <w:lang w:val="fr-CH"/>
        </w:rPr>
        <w:t xml:space="preserve"> </w:t>
      </w:r>
      <w:r w:rsidRPr="004F0DEB">
        <w:rPr>
          <w:lang w:val="fr-CH"/>
        </w:rPr>
        <w:t>l</w:t>
      </w:r>
      <w:r w:rsidR="00107FBE">
        <w:rPr>
          <w:lang w:val="fr-CH"/>
        </w:rPr>
        <w:t>'</w:t>
      </w:r>
      <w:r w:rsidRPr="004F0DEB">
        <w:rPr>
          <w:lang w:val="fr-CH"/>
        </w:rPr>
        <w:t xml:space="preserve">exploitation de liaisons </w:t>
      </w:r>
      <w:r w:rsidR="008610F4">
        <w:rPr>
          <w:lang w:val="fr-CH"/>
        </w:rPr>
        <w:t xml:space="preserve">entre un </w:t>
      </w:r>
      <w:r w:rsidRPr="004F0DEB">
        <w:rPr>
          <w:lang w:val="fr-CH"/>
        </w:rPr>
        <w:t xml:space="preserve">satellite non OSG </w:t>
      </w:r>
      <w:r w:rsidR="008610F4">
        <w:rPr>
          <w:lang w:val="fr-CH"/>
        </w:rPr>
        <w:t>et un</w:t>
      </w:r>
      <w:r w:rsidRPr="004F0DEB">
        <w:rPr>
          <w:lang w:val="fr-CH"/>
        </w:rPr>
        <w:t xml:space="preserve"> satellite OSG dans les bandes de fréquences </w:t>
      </w:r>
      <w:r w:rsidR="00CC7D27" w:rsidRPr="004F0DEB">
        <w:rPr>
          <w:lang w:val="fr-CH"/>
        </w:rPr>
        <w:t>47</w:t>
      </w:r>
      <w:r w:rsidR="005B24F5">
        <w:rPr>
          <w:lang w:val="fr-CH"/>
        </w:rPr>
        <w:t>,</w:t>
      </w:r>
      <w:r w:rsidR="00CC7D27" w:rsidRPr="004F0DEB">
        <w:rPr>
          <w:lang w:val="fr-CH"/>
        </w:rPr>
        <w:t>2-50</w:t>
      </w:r>
      <w:r w:rsidR="005B24F5">
        <w:rPr>
          <w:lang w:val="fr-CH"/>
        </w:rPr>
        <w:t>,</w:t>
      </w:r>
      <w:r w:rsidR="00CC7D27" w:rsidRPr="004F0DEB">
        <w:rPr>
          <w:lang w:val="fr-CH"/>
        </w:rPr>
        <w:t>2 GHz</w:t>
      </w:r>
      <w:r w:rsidR="00107FBE">
        <w:rPr>
          <w:lang w:val="fr-CH"/>
        </w:rPr>
        <w:t xml:space="preserve"> </w:t>
      </w:r>
      <w:r w:rsidRPr="004F0DEB">
        <w:rPr>
          <w:lang w:val="fr-CH"/>
        </w:rPr>
        <w:t xml:space="preserve">et </w:t>
      </w:r>
      <w:r w:rsidR="00CC7D27" w:rsidRPr="004F0DEB">
        <w:rPr>
          <w:lang w:val="fr-CH"/>
        </w:rPr>
        <w:t>50</w:t>
      </w:r>
      <w:r w:rsidR="005B24F5">
        <w:rPr>
          <w:lang w:val="fr-CH"/>
        </w:rPr>
        <w:t>,</w:t>
      </w:r>
      <w:r w:rsidR="00CC7D27" w:rsidRPr="004F0DEB">
        <w:rPr>
          <w:lang w:val="fr-CH"/>
        </w:rPr>
        <w:t>4-51</w:t>
      </w:r>
      <w:r w:rsidR="005B24F5">
        <w:rPr>
          <w:lang w:val="fr-CH"/>
        </w:rPr>
        <w:t>,</w:t>
      </w:r>
      <w:r w:rsidR="00CC7D27" w:rsidRPr="004F0DEB">
        <w:rPr>
          <w:lang w:val="fr-CH"/>
        </w:rPr>
        <w:t>4</w:t>
      </w:r>
      <w:r w:rsidR="00700561">
        <w:rPr>
          <w:lang w:val="fr-CH"/>
        </w:rPr>
        <w:t> </w:t>
      </w:r>
      <w:r w:rsidR="00CC7D27" w:rsidRPr="004F0DEB">
        <w:rPr>
          <w:lang w:val="fr-CH"/>
        </w:rPr>
        <w:t>GHz</w:t>
      </w:r>
      <w:r w:rsidRPr="004F0DEB">
        <w:rPr>
          <w:lang w:val="fr-CH"/>
        </w:rPr>
        <w:t>.</w:t>
      </w:r>
      <w:r w:rsidR="00CC7D27" w:rsidRPr="004F0DEB">
        <w:rPr>
          <w:lang w:val="fr-CH"/>
        </w:rPr>
        <w:t xml:space="preserve"> </w:t>
      </w:r>
      <w:r w:rsidRPr="004F0DEB">
        <w:rPr>
          <w:lang w:val="fr-CH"/>
        </w:rPr>
        <w:t>Les études préliminaires effectuées par le Groupe de travail</w:t>
      </w:r>
      <w:r w:rsidR="00107FBE">
        <w:rPr>
          <w:lang w:val="fr-CH"/>
        </w:rPr>
        <w:t xml:space="preserve"> </w:t>
      </w:r>
      <w:r w:rsidRPr="004F0DEB">
        <w:rPr>
          <w:lang w:val="fr-CH"/>
        </w:rPr>
        <w:t>4</w:t>
      </w:r>
      <w:r>
        <w:rPr>
          <w:lang w:val="fr-CH"/>
        </w:rPr>
        <w:t xml:space="preserve">C </w:t>
      </w:r>
      <w:r w:rsidRPr="004F0DEB">
        <w:rPr>
          <w:lang w:val="fr-CH"/>
        </w:rPr>
        <w:t>de l</w:t>
      </w:r>
      <w:r w:rsidR="00107FBE">
        <w:rPr>
          <w:lang w:val="fr-CH"/>
        </w:rPr>
        <w:t>'</w:t>
      </w:r>
      <w:r w:rsidRPr="004F0DEB">
        <w:rPr>
          <w:lang w:val="fr-CH"/>
        </w:rPr>
        <w:t>UIT-R ont permis de mettre en évidence les facteurs à prendre en considération lors</w:t>
      </w:r>
      <w:r w:rsidR="008610F4">
        <w:rPr>
          <w:lang w:val="fr-CH"/>
        </w:rPr>
        <w:t xml:space="preserve"> de l'</w:t>
      </w:r>
      <w:r w:rsidRPr="004F0DEB">
        <w:rPr>
          <w:lang w:val="fr-CH"/>
        </w:rPr>
        <w:t>analyse</w:t>
      </w:r>
      <w:r w:rsidR="008610F4">
        <w:rPr>
          <w:lang w:val="fr-CH"/>
        </w:rPr>
        <w:t xml:space="preserve"> de</w:t>
      </w:r>
      <w:r w:rsidRPr="004F0DEB">
        <w:rPr>
          <w:lang w:val="fr-CH"/>
        </w:rPr>
        <w:t xml:space="preserve"> la compatibilité </w:t>
      </w:r>
      <w:r w:rsidR="00867F8D">
        <w:rPr>
          <w:lang w:val="fr-CH"/>
        </w:rPr>
        <w:t xml:space="preserve">entre des satellites non géostationnaires exploitant des liaisons </w:t>
      </w:r>
      <w:r w:rsidR="00AA57E1">
        <w:rPr>
          <w:lang w:val="fr-CH"/>
        </w:rPr>
        <w:t>espace – espace</w:t>
      </w:r>
      <w:r w:rsidR="00867F8D">
        <w:rPr>
          <w:lang w:val="fr-CH"/>
        </w:rPr>
        <w:t xml:space="preserve"> dans des bandes attribuées au SMS dans la gamme de fréquences</w:t>
      </w:r>
      <w:r w:rsidR="00CC7D27" w:rsidRPr="004F0DEB">
        <w:rPr>
          <w:lang w:val="fr-CH"/>
        </w:rPr>
        <w:t xml:space="preserve"> 1-3 GHz</w:t>
      </w:r>
      <w:r w:rsidR="00867F8D">
        <w:rPr>
          <w:lang w:val="fr-CH"/>
        </w:rPr>
        <w:t xml:space="preserve"> et</w:t>
      </w:r>
      <w:r w:rsidR="00107FBE">
        <w:rPr>
          <w:lang w:val="fr-CH"/>
        </w:rPr>
        <w:t xml:space="preserve"> </w:t>
      </w:r>
      <w:r w:rsidR="00867F8D">
        <w:rPr>
          <w:lang w:val="fr-CH"/>
        </w:rPr>
        <w:t>l</w:t>
      </w:r>
      <w:r w:rsidR="00107FBE">
        <w:rPr>
          <w:lang w:val="fr-CH"/>
        </w:rPr>
        <w:t>'</w:t>
      </w:r>
      <w:r w:rsidR="00867F8D">
        <w:rPr>
          <w:lang w:val="fr-CH"/>
        </w:rPr>
        <w:t>exploitation d</w:t>
      </w:r>
      <w:r w:rsidR="00107FBE">
        <w:rPr>
          <w:lang w:val="fr-CH"/>
        </w:rPr>
        <w:t>'</w:t>
      </w:r>
      <w:r w:rsidR="00867F8D">
        <w:rPr>
          <w:lang w:val="fr-CH"/>
        </w:rPr>
        <w:t>autres systèmes du SMS et d</w:t>
      </w:r>
      <w:r w:rsidR="00107FBE">
        <w:rPr>
          <w:lang w:val="fr-CH"/>
        </w:rPr>
        <w:t>'</w:t>
      </w:r>
      <w:r w:rsidR="00867F8D">
        <w:rPr>
          <w:lang w:val="fr-CH"/>
        </w:rPr>
        <w:t xml:space="preserve">autres services. </w:t>
      </w:r>
      <w:r w:rsidR="00867F8D" w:rsidRPr="00867F8D">
        <w:rPr>
          <w:lang w:val="fr-CH"/>
        </w:rPr>
        <w:t>La poursuite et l</w:t>
      </w:r>
      <w:r w:rsidR="00107FBE">
        <w:rPr>
          <w:lang w:val="fr-CH"/>
        </w:rPr>
        <w:t>'</w:t>
      </w:r>
      <w:r w:rsidR="00867F8D" w:rsidRPr="00867F8D">
        <w:rPr>
          <w:lang w:val="fr-CH"/>
        </w:rPr>
        <w:t>achèvement de ces études, pour qu</w:t>
      </w:r>
      <w:r w:rsidR="00107FBE">
        <w:rPr>
          <w:lang w:val="fr-CH"/>
        </w:rPr>
        <w:t>'</w:t>
      </w:r>
      <w:r w:rsidR="00867F8D" w:rsidRPr="00867F8D">
        <w:rPr>
          <w:lang w:val="fr-CH"/>
        </w:rPr>
        <w:t>elles englobent les liaisons entre satellites non OSG, permettront d</w:t>
      </w:r>
      <w:r w:rsidR="00107FBE">
        <w:rPr>
          <w:lang w:val="fr-CH"/>
        </w:rPr>
        <w:t>'</w:t>
      </w:r>
      <w:r w:rsidR="00867F8D" w:rsidRPr="00867F8D">
        <w:rPr>
          <w:lang w:val="fr-CH"/>
        </w:rPr>
        <w:t>élaborer un texte réglementaire approprié de l</w:t>
      </w:r>
      <w:r w:rsidR="00107FBE">
        <w:rPr>
          <w:lang w:val="fr-CH"/>
        </w:rPr>
        <w:t>'</w:t>
      </w:r>
      <w:r w:rsidR="00822130" w:rsidRPr="00867F8D">
        <w:rPr>
          <w:lang w:val="fr-CH"/>
        </w:rPr>
        <w:t>UIT</w:t>
      </w:r>
      <w:r w:rsidR="00CC7D27" w:rsidRPr="00867F8D">
        <w:rPr>
          <w:lang w:val="fr-CH"/>
        </w:rPr>
        <w:t>-R</w:t>
      </w:r>
      <w:r w:rsidR="00867F8D">
        <w:rPr>
          <w:lang w:val="fr-CH"/>
        </w:rPr>
        <w:t>, l</w:t>
      </w:r>
      <w:r w:rsidR="00107FBE">
        <w:rPr>
          <w:lang w:val="fr-CH"/>
        </w:rPr>
        <w:t>'</w:t>
      </w:r>
      <w:r w:rsidR="00867F8D">
        <w:rPr>
          <w:lang w:val="fr-CH"/>
        </w:rPr>
        <w:t>objectif étant de définir les cas dans lesquels</w:t>
      </w:r>
      <w:r w:rsidR="00107FBE">
        <w:rPr>
          <w:lang w:val="fr-CH"/>
        </w:rPr>
        <w:t xml:space="preserve"> </w:t>
      </w:r>
      <w:r w:rsidR="00867F8D">
        <w:rPr>
          <w:lang w:val="fr-CH"/>
        </w:rPr>
        <w:t>ces transmissions peuvent être assurées, et de déterminer s</w:t>
      </w:r>
      <w:r w:rsidR="00107FBE">
        <w:rPr>
          <w:lang w:val="fr-CH"/>
        </w:rPr>
        <w:t>'</w:t>
      </w:r>
      <w:r w:rsidR="00867F8D">
        <w:rPr>
          <w:lang w:val="fr-CH"/>
        </w:rPr>
        <w:t xml:space="preserve">il est possible de reconnaître les liaisons compatibles </w:t>
      </w:r>
      <w:r w:rsidR="00E23F8B">
        <w:rPr>
          <w:lang w:val="fr-CH"/>
        </w:rPr>
        <w:t xml:space="preserve">en </w:t>
      </w:r>
      <w:r w:rsidR="00867F8D">
        <w:rPr>
          <w:lang w:val="fr-CH"/>
        </w:rPr>
        <w:t xml:space="preserve">apportant les modifications voulues aux attributions </w:t>
      </w:r>
      <w:r w:rsidR="00E23F8B">
        <w:rPr>
          <w:lang w:val="fr-CH"/>
        </w:rPr>
        <w:t>d</w:t>
      </w:r>
      <w:r w:rsidR="00867F8D">
        <w:rPr>
          <w:lang w:val="fr-CH"/>
        </w:rPr>
        <w:t xml:space="preserve">u SFS </w:t>
      </w:r>
      <w:r w:rsidR="00E23F8B">
        <w:rPr>
          <w:lang w:val="fr-CH"/>
        </w:rPr>
        <w:t xml:space="preserve">et du </w:t>
      </w:r>
      <w:r w:rsidR="00867F8D">
        <w:rPr>
          <w:lang w:val="fr-CH"/>
        </w:rPr>
        <w:t>SMS analysées dans</w:t>
      </w:r>
      <w:r w:rsidR="00CC7D27" w:rsidRPr="00867F8D">
        <w:rPr>
          <w:lang w:val="fr-CH"/>
        </w:rPr>
        <w:t xml:space="preserve"> </w:t>
      </w:r>
      <w:r w:rsidR="00867F8D">
        <w:rPr>
          <w:lang w:val="fr-CH"/>
        </w:rPr>
        <w:t>l</w:t>
      </w:r>
      <w:r w:rsidR="00107FBE">
        <w:rPr>
          <w:lang w:val="fr-CH"/>
        </w:rPr>
        <w:t>'</w:t>
      </w:r>
      <w:r w:rsidR="00CC7D27" w:rsidRPr="00867F8D">
        <w:rPr>
          <w:lang w:val="fr-CH"/>
        </w:rPr>
        <w:t>Article 5.</w:t>
      </w:r>
    </w:p>
    <w:p w14:paraId="6050B729" w14:textId="3B963D85" w:rsidR="0015203F" w:rsidRDefault="00D24AAF" w:rsidP="00107FBE">
      <w:pPr>
        <w:rPr>
          <w:lang w:val="fr-CH"/>
        </w:rPr>
      </w:pPr>
      <w:r w:rsidRPr="00D24AAF">
        <w:rPr>
          <w:lang w:val="fr-CH"/>
        </w:rPr>
        <w:t>Un examen de grande ampleur</w:t>
      </w:r>
      <w:r w:rsidR="00E23F8B">
        <w:rPr>
          <w:lang w:val="fr-CH"/>
        </w:rPr>
        <w:t xml:space="preserve"> </w:t>
      </w:r>
      <w:r w:rsidRPr="00D24AAF">
        <w:rPr>
          <w:lang w:val="fr-CH"/>
        </w:rPr>
        <w:t>par l</w:t>
      </w:r>
      <w:r w:rsidR="00107FBE">
        <w:rPr>
          <w:lang w:val="fr-CH"/>
        </w:rPr>
        <w:t>'</w:t>
      </w:r>
      <w:r w:rsidRPr="00D24AAF">
        <w:rPr>
          <w:lang w:val="fr-CH"/>
        </w:rPr>
        <w:t xml:space="preserve">UIT-R des bandes dans lesquelles il serait possible de faire une attribution additionnelle </w:t>
      </w:r>
      <w:r>
        <w:rPr>
          <w:lang w:val="fr-CH"/>
        </w:rPr>
        <w:t xml:space="preserve">aux </w:t>
      </w:r>
      <w:r w:rsidRPr="00D24AAF">
        <w:rPr>
          <w:lang w:val="fr-CH"/>
        </w:rPr>
        <w:t>liaisons</w:t>
      </w:r>
      <w:r w:rsidR="00107FBE">
        <w:rPr>
          <w:lang w:val="fr-CH"/>
        </w:rPr>
        <w:t xml:space="preserve"> </w:t>
      </w:r>
      <w:r w:rsidR="00CC7D27" w:rsidRPr="00D24AAF">
        <w:rPr>
          <w:lang w:val="fr-CH"/>
        </w:rPr>
        <w:t>ISL</w:t>
      </w:r>
      <w:r>
        <w:rPr>
          <w:lang w:val="fr-CH"/>
        </w:rPr>
        <w:t xml:space="preserve"> </w:t>
      </w:r>
      <w:r w:rsidR="00BC1011">
        <w:rPr>
          <w:lang w:val="fr-CH"/>
        </w:rPr>
        <w:t>assurerait une plus grande efficacité de la réglementation et apporterait</w:t>
      </w:r>
      <w:r w:rsidR="00BC1011" w:rsidRPr="00BC1011">
        <w:t xml:space="preserve"> </w:t>
      </w:r>
      <w:r w:rsidR="00BC1011" w:rsidRPr="00BC1011">
        <w:rPr>
          <w:lang w:val="fr-CH"/>
        </w:rPr>
        <w:t>davantage de clarté.</w:t>
      </w:r>
    </w:p>
    <w:p w14:paraId="17FFC689" w14:textId="4A7033F6" w:rsidR="00AA5D85" w:rsidRDefault="00AA5D85">
      <w:pPr>
        <w:tabs>
          <w:tab w:val="clear" w:pos="1134"/>
          <w:tab w:val="clear" w:pos="1871"/>
          <w:tab w:val="clear" w:pos="2268"/>
        </w:tabs>
        <w:overflowPunct/>
        <w:autoSpaceDE/>
        <w:autoSpaceDN/>
        <w:adjustRightInd/>
        <w:spacing w:before="0"/>
        <w:textAlignment w:val="auto"/>
        <w:rPr>
          <w:lang w:val="fr-CH"/>
        </w:rPr>
      </w:pPr>
      <w:r>
        <w:rPr>
          <w:lang w:val="fr-CH"/>
        </w:rPr>
        <w:br w:type="page"/>
      </w:r>
    </w:p>
    <w:p w14:paraId="138F9ADB" w14:textId="77777777" w:rsidR="00A303F2" w:rsidRDefault="00A16C58" w:rsidP="00AA5D85">
      <w:pPr>
        <w:pStyle w:val="Proposal"/>
      </w:pPr>
      <w:r>
        <w:lastRenderedPageBreak/>
        <w:t>ADD</w:t>
      </w:r>
      <w:r>
        <w:tab/>
        <w:t>IAP/11A24A16/1</w:t>
      </w:r>
    </w:p>
    <w:p w14:paraId="073479CF" w14:textId="5A448ABA" w:rsidR="00A303F2" w:rsidRDefault="00A16C58" w:rsidP="00AA5D85">
      <w:pPr>
        <w:pStyle w:val="ResNo"/>
      </w:pPr>
      <w:r>
        <w:t xml:space="preserve">Projet de nouvelle Résolution </w:t>
      </w:r>
      <w:r w:rsidR="00397939" w:rsidRPr="00822130">
        <w:rPr>
          <w:lang w:val="fr-CH"/>
        </w:rPr>
        <w:t>[IAP/10(P)-2023] (</w:t>
      </w:r>
      <w:r w:rsidR="00822130">
        <w:rPr>
          <w:lang w:val="fr-CH"/>
        </w:rPr>
        <w:t>CMR</w:t>
      </w:r>
      <w:r w:rsidR="00397939" w:rsidRPr="00822130">
        <w:rPr>
          <w:lang w:val="fr-CH"/>
        </w:rPr>
        <w:t>-19)]</w:t>
      </w:r>
    </w:p>
    <w:p w14:paraId="0331C129" w14:textId="0B744523" w:rsidR="00A303F2" w:rsidRDefault="00EB1634" w:rsidP="00AA5D85">
      <w:pPr>
        <w:pStyle w:val="Restitle"/>
      </w:pPr>
      <w:bookmarkStart w:id="6" w:name="_Toc445304261"/>
      <w:bookmarkStart w:id="7" w:name="_Toc445304578"/>
      <w:r w:rsidRPr="00EB1634">
        <w:t>Ordre du jour de la Conférence mondiale des radiocommunications de 20</w:t>
      </w:r>
      <w:bookmarkEnd w:id="6"/>
      <w:bookmarkEnd w:id="7"/>
      <w:r>
        <w:t>23</w:t>
      </w:r>
    </w:p>
    <w:p w14:paraId="068D037E" w14:textId="0BDD1A7E" w:rsidR="00EB1634" w:rsidRPr="00EB1634" w:rsidRDefault="00EB1634" w:rsidP="00AA5D85">
      <w:pPr>
        <w:pStyle w:val="Normalaftertitle"/>
      </w:pPr>
      <w:r w:rsidRPr="009000A8">
        <w:rPr>
          <w:lang w:val="fr-CH"/>
        </w:rPr>
        <w:t>La Conférence mondiale des radiocommunications (Charm el-Cheikh, 2019),</w:t>
      </w:r>
    </w:p>
    <w:p w14:paraId="64EDA8DF" w14:textId="77777777" w:rsidR="00EB1634" w:rsidRPr="00B42483" w:rsidRDefault="00EB1634" w:rsidP="00AA5D85">
      <w:pPr>
        <w:pStyle w:val="Call"/>
        <w:keepNext w:val="0"/>
        <w:keepLines w:val="0"/>
      </w:pPr>
      <w:r w:rsidRPr="00B42483">
        <w:t>considérant</w:t>
      </w:r>
    </w:p>
    <w:p w14:paraId="0C745EC3" w14:textId="77777777" w:rsidR="00EB1634" w:rsidRPr="00B42483" w:rsidRDefault="00EB1634" w:rsidP="00AA5D85">
      <w:r w:rsidRPr="00B42483">
        <w:rPr>
          <w:i/>
          <w:iCs/>
        </w:rPr>
        <w:t>a)</w:t>
      </w:r>
      <w:r w:rsidRPr="00B42483">
        <w:tab/>
        <w:t>que, conformément au numéro 118 de la Convention de l</w:t>
      </w:r>
      <w:r>
        <w:t>'</w:t>
      </w:r>
      <w:r w:rsidRPr="00B42483">
        <w:t>UIT, le cadre général de l</w:t>
      </w:r>
      <w:r>
        <w:t>'</w:t>
      </w:r>
      <w:r w:rsidRPr="00B42483">
        <w:t>ordre du jour d</w:t>
      </w:r>
      <w:r>
        <w:t>'</w:t>
      </w:r>
      <w:r w:rsidRPr="00B42483">
        <w:t>une conférence mondiale des radiocommunications devrait être fixé de quatre à six ans à l</w:t>
      </w:r>
      <w:r>
        <w:t>'</w:t>
      </w:r>
      <w:r w:rsidRPr="00B42483">
        <w:t>avance et que l</w:t>
      </w:r>
      <w:r>
        <w:t>'</w:t>
      </w:r>
      <w:r w:rsidRPr="00B42483">
        <w:t>ordre du jour définitif est fixé par le Conseil deux ans avant la conférence;</w:t>
      </w:r>
    </w:p>
    <w:p w14:paraId="676419F5" w14:textId="77777777" w:rsidR="00EB1634" w:rsidRPr="00B42483" w:rsidRDefault="00EB1634" w:rsidP="00AA5D85">
      <w:pPr>
        <w:rPr>
          <w:i/>
          <w:iCs/>
        </w:rPr>
      </w:pPr>
      <w:r w:rsidRPr="00B42483">
        <w:rPr>
          <w:i/>
          <w:iCs/>
        </w:rPr>
        <w:t>b)</w:t>
      </w:r>
      <w:r w:rsidRPr="00B42483">
        <w:rPr>
          <w:i/>
          <w:iCs/>
        </w:rPr>
        <w:tab/>
      </w:r>
      <w:r w:rsidRPr="00B42483">
        <w:t>l</w:t>
      </w:r>
      <w:r>
        <w:t>'</w:t>
      </w:r>
      <w:r w:rsidRPr="00B42483">
        <w:t>article 13 de la Constitution de l</w:t>
      </w:r>
      <w:r>
        <w:t>'</w:t>
      </w:r>
      <w:r w:rsidRPr="00B42483">
        <w:t>UIT, concernant la compétence et la fréquence des conférences mondiales des radiocommunications, et l</w:t>
      </w:r>
      <w:r>
        <w:t>'</w:t>
      </w:r>
      <w:r w:rsidRPr="00B42483">
        <w:t>article 7 de la Convention relatif à leur ordre du jour;</w:t>
      </w:r>
    </w:p>
    <w:p w14:paraId="26CBF5E6" w14:textId="5BF0409C" w:rsidR="00A303F2" w:rsidRDefault="00EB1634" w:rsidP="00AA5D85">
      <w:r w:rsidRPr="00B42483">
        <w:rPr>
          <w:i/>
          <w:iCs/>
        </w:rPr>
        <w:t>c)</w:t>
      </w:r>
      <w:r w:rsidRPr="00B42483">
        <w:tab/>
        <w:t>les résolutions et recommandations pertinentes des conférences administratives mondiales des radiocommunications (CAMR) et des conférences mondiales des radiocommunications (CMR) précédentes,</w:t>
      </w:r>
    </w:p>
    <w:p w14:paraId="5DAAFA00" w14:textId="77777777" w:rsidR="00065ABF" w:rsidRPr="00B42483" w:rsidRDefault="00065ABF" w:rsidP="00AA5D85">
      <w:pPr>
        <w:pStyle w:val="Call"/>
      </w:pPr>
      <w:r w:rsidRPr="00B42483">
        <w:t>décide</w:t>
      </w:r>
    </w:p>
    <w:p w14:paraId="0345B85B" w14:textId="30583775" w:rsidR="00065ABF" w:rsidRPr="00B42483" w:rsidRDefault="00065ABF" w:rsidP="00AA5D85">
      <w:r w:rsidRPr="00700561">
        <w:rPr>
          <w:spacing w:val="-3"/>
        </w:rPr>
        <w:t>de recommander au Conseil de convoquer en 20</w:t>
      </w:r>
      <w:r w:rsidR="00D27578" w:rsidRPr="00700561">
        <w:rPr>
          <w:spacing w:val="-3"/>
        </w:rPr>
        <w:t>23</w:t>
      </w:r>
      <w:r w:rsidRPr="00700561">
        <w:rPr>
          <w:spacing w:val="-3"/>
        </w:rPr>
        <w:t xml:space="preserve"> une </w:t>
      </w:r>
      <w:r w:rsidR="00700561" w:rsidRPr="00700561">
        <w:rPr>
          <w:spacing w:val="-3"/>
        </w:rPr>
        <w:t>C</w:t>
      </w:r>
      <w:r w:rsidRPr="00700561">
        <w:rPr>
          <w:spacing w:val="-3"/>
        </w:rPr>
        <w:t>onférence mondiale des radiocommunications</w:t>
      </w:r>
      <w:r w:rsidRPr="00B42483">
        <w:t xml:space="preserve"> d</w:t>
      </w:r>
      <w:r>
        <w:t>'</w:t>
      </w:r>
      <w:r w:rsidRPr="00B42483">
        <w:t xml:space="preserve">une durée </w:t>
      </w:r>
      <w:r>
        <w:t xml:space="preserve">maximale </w:t>
      </w:r>
      <w:r w:rsidRPr="00B42483">
        <w:t>de quatre semaines, dont l</w:t>
      </w:r>
      <w:r>
        <w:t>'</w:t>
      </w:r>
      <w:r w:rsidRPr="00B42483">
        <w:t>ordre du jour sera le suivant:</w:t>
      </w:r>
    </w:p>
    <w:p w14:paraId="2AEB77E4" w14:textId="46CDC64D" w:rsidR="00EB1634" w:rsidRDefault="00065ABF" w:rsidP="00AA5D85">
      <w:r w:rsidRPr="00B42483">
        <w:t>1</w:t>
      </w:r>
      <w:r w:rsidRPr="00B42483">
        <w:tab/>
        <w:t>sur la base des propositions des administrations, compte tenu des résultats de la CMR</w:t>
      </w:r>
      <w:r w:rsidRPr="00B42483">
        <w:noBreakHyphen/>
        <w:t>1</w:t>
      </w:r>
      <w:r w:rsidR="00D27578">
        <w:t>9</w:t>
      </w:r>
      <w:r w:rsidRPr="00B42483">
        <w:t xml:space="preserve"> ainsi que du </w:t>
      </w:r>
      <w:r>
        <w:t>r</w:t>
      </w:r>
      <w:r w:rsidRPr="00B42483">
        <w:t>apport de la Réunion de préparation à la Conférence et compte dûment tenu des besoins des services existants ou futurs dans les bandes</w:t>
      </w:r>
      <w:r>
        <w:t xml:space="preserve"> de fréquences</w:t>
      </w:r>
      <w:r w:rsidRPr="00B42483">
        <w:t xml:space="preserve"> considérées, examiner les points suivants et prendre les mesures appropriées:</w:t>
      </w:r>
    </w:p>
    <w:p w14:paraId="0471663F" w14:textId="77777777" w:rsidR="00D27578" w:rsidRPr="00700561" w:rsidRDefault="00D27578" w:rsidP="00AA5D85">
      <w:pPr>
        <w:rPr>
          <w:lang w:val="fr-CH"/>
        </w:rPr>
      </w:pPr>
      <w:r w:rsidRPr="00700561">
        <w:rPr>
          <w:lang w:val="fr-CH"/>
        </w:rPr>
        <w:t>…</w:t>
      </w:r>
    </w:p>
    <w:p w14:paraId="0D6C2DB8" w14:textId="0E65DAF6" w:rsidR="00D27578" w:rsidRPr="00BB4E30" w:rsidRDefault="00D27578" w:rsidP="00AA5D85">
      <w:pPr>
        <w:rPr>
          <w:lang w:val="fr-CH"/>
        </w:rPr>
      </w:pPr>
      <w:r w:rsidRPr="00BB4E30">
        <w:rPr>
          <w:lang w:val="fr-CH"/>
        </w:rPr>
        <w:t>[</w:t>
      </w:r>
      <w:r w:rsidR="00BB4E30" w:rsidRPr="00BB4E30">
        <w:rPr>
          <w:lang w:val="fr-CH"/>
        </w:rPr>
        <w:t>espace-espace</w:t>
      </w:r>
      <w:r w:rsidRPr="00BB4E30">
        <w:rPr>
          <w:lang w:val="fr-CH"/>
        </w:rPr>
        <w:t>]</w:t>
      </w:r>
      <w:r w:rsidR="00107FBE">
        <w:rPr>
          <w:lang w:val="fr-CH"/>
        </w:rPr>
        <w:t xml:space="preserve"> </w:t>
      </w:r>
      <w:r w:rsidR="00BB4E30" w:rsidRPr="00BB4E30">
        <w:rPr>
          <w:lang w:val="fr-CH"/>
        </w:rPr>
        <w:t>déterminer et prendre, sur la base des études menées par l</w:t>
      </w:r>
      <w:r w:rsidR="00107FBE">
        <w:rPr>
          <w:lang w:val="fr-CH"/>
        </w:rPr>
        <w:t>'</w:t>
      </w:r>
      <w:r w:rsidR="00BB4E30" w:rsidRPr="00BB4E30">
        <w:rPr>
          <w:lang w:val="fr-CH"/>
        </w:rPr>
        <w:t>UIT-R conformément à la Résolution</w:t>
      </w:r>
      <w:r w:rsidR="00107FBE">
        <w:rPr>
          <w:lang w:val="fr-CH"/>
        </w:rPr>
        <w:t xml:space="preserve"> </w:t>
      </w:r>
      <w:r w:rsidRPr="00BB4E30">
        <w:rPr>
          <w:b/>
          <w:lang w:val="fr-CH"/>
        </w:rPr>
        <w:t>[IAP/10(P)/SAT-TO-SAT] (</w:t>
      </w:r>
      <w:r w:rsidR="00822130" w:rsidRPr="00BB4E30">
        <w:rPr>
          <w:b/>
          <w:lang w:val="fr-CH"/>
        </w:rPr>
        <w:t>CMR</w:t>
      </w:r>
      <w:r w:rsidRPr="00BB4E30">
        <w:rPr>
          <w:b/>
          <w:lang w:val="fr-CH"/>
        </w:rPr>
        <w:t>-19)</w:t>
      </w:r>
      <w:r w:rsidRPr="00BB4E30">
        <w:rPr>
          <w:lang w:val="fr-CH"/>
        </w:rPr>
        <w:t xml:space="preserve">, </w:t>
      </w:r>
      <w:r w:rsidR="00BB4E30" w:rsidRPr="00BB4E30">
        <w:rPr>
          <w:lang w:val="fr-CH"/>
        </w:rPr>
        <w:t>les mesures réglementaires appropriées concernant l</w:t>
      </w:r>
      <w:r w:rsidR="009374E4">
        <w:rPr>
          <w:lang w:val="fr-CH"/>
        </w:rPr>
        <w:t xml:space="preserve">'établissement </w:t>
      </w:r>
      <w:r w:rsidR="00BB4E30" w:rsidRPr="00BB4E30">
        <w:rPr>
          <w:lang w:val="fr-CH"/>
        </w:rPr>
        <w:t xml:space="preserve">de liaisons inter-satellites dans certaines bandes de fréquences, </w:t>
      </w:r>
      <w:r w:rsidR="00BB4E30">
        <w:rPr>
          <w:color w:val="000000"/>
        </w:rPr>
        <w:t>ou dans des parties de ces bandes,</w:t>
      </w:r>
      <w:r w:rsidR="00BB4E30">
        <w:rPr>
          <w:lang w:val="fr-CH"/>
        </w:rPr>
        <w:t xml:space="preserve"> en ajoutant le sens </w:t>
      </w:r>
      <w:r w:rsidR="009374E4">
        <w:rPr>
          <w:lang w:val="fr-CH"/>
        </w:rPr>
        <w:t xml:space="preserve">de transmission </w:t>
      </w:r>
      <w:r w:rsidR="00AA57E1">
        <w:rPr>
          <w:lang w:val="fr-CH"/>
        </w:rPr>
        <w:t>espace – espace</w:t>
      </w:r>
      <w:r w:rsidR="00BB4E30">
        <w:rPr>
          <w:lang w:val="fr-CH"/>
        </w:rPr>
        <w:t xml:space="preserve"> à une attribution existante à un service par satellite</w:t>
      </w:r>
      <w:r w:rsidR="009374E4">
        <w:rPr>
          <w:lang w:val="fr-CH"/>
        </w:rPr>
        <w:t>, ou</w:t>
      </w:r>
      <w:r w:rsidR="00BB4E30">
        <w:rPr>
          <w:lang w:val="fr-CH"/>
        </w:rPr>
        <w:t xml:space="preserve"> en ajoutant une attribution au service </w:t>
      </w:r>
      <w:r w:rsidR="00BB4E30" w:rsidRPr="00BB4E30">
        <w:rPr>
          <w:lang w:val="fr-CH"/>
        </w:rPr>
        <w:t>inter-satellite</w:t>
      </w:r>
      <w:r w:rsidR="00BB4E30">
        <w:rPr>
          <w:lang w:val="fr-CH"/>
        </w:rPr>
        <w:t>s, s</w:t>
      </w:r>
      <w:r w:rsidR="00107FBE">
        <w:rPr>
          <w:lang w:val="fr-CH"/>
        </w:rPr>
        <w:t>'</w:t>
      </w:r>
      <w:r w:rsidR="00BB4E30">
        <w:rPr>
          <w:lang w:val="fr-CH"/>
        </w:rPr>
        <w:t>il y a lieu;</w:t>
      </w:r>
    </w:p>
    <w:p w14:paraId="0A22B37B" w14:textId="77777777" w:rsidR="00D27578" w:rsidRPr="00822130" w:rsidRDefault="00D27578" w:rsidP="00AA5D85">
      <w:pPr>
        <w:rPr>
          <w:lang w:val="fr-CH"/>
        </w:rPr>
      </w:pPr>
      <w:r w:rsidRPr="00822130">
        <w:rPr>
          <w:lang w:val="fr-CH"/>
        </w:rPr>
        <w:t>…</w:t>
      </w:r>
    </w:p>
    <w:p w14:paraId="6BC42BE8" w14:textId="77777777" w:rsidR="00D27578" w:rsidRPr="00D27578" w:rsidRDefault="00D27578" w:rsidP="00AA5D85">
      <w:pPr>
        <w:pStyle w:val="Call"/>
      </w:pPr>
      <w:r w:rsidRPr="00D27578">
        <w:t>décide en outre</w:t>
      </w:r>
    </w:p>
    <w:p w14:paraId="5FD559F8" w14:textId="77777777" w:rsidR="00D27578" w:rsidRPr="00B42483" w:rsidRDefault="00D27578" w:rsidP="00AA5D85">
      <w:r w:rsidRPr="00B42483">
        <w:t>d</w:t>
      </w:r>
      <w:r>
        <w:t>'</w:t>
      </w:r>
      <w:r w:rsidRPr="00B42483">
        <w:t>activer la Réunion de préparation à la Conférence,</w:t>
      </w:r>
    </w:p>
    <w:p w14:paraId="16E95C88" w14:textId="77777777" w:rsidR="00D27578" w:rsidRPr="00B42483" w:rsidRDefault="00D27578" w:rsidP="00AA5D85">
      <w:pPr>
        <w:pStyle w:val="Call"/>
      </w:pPr>
      <w:r w:rsidRPr="00B42483">
        <w:t>invite le Conseil</w:t>
      </w:r>
    </w:p>
    <w:p w14:paraId="118F944B" w14:textId="701DA5A6" w:rsidR="00D27578" w:rsidRPr="00B42483" w:rsidRDefault="00D27578" w:rsidP="00AA5D85">
      <w:r w:rsidRPr="00B42483">
        <w:t xml:space="preserve">à </w:t>
      </w:r>
      <w:r>
        <w:t>arrêter définitivement</w:t>
      </w:r>
      <w:r w:rsidRPr="00B42483">
        <w:t xml:space="preserve"> l</w:t>
      </w:r>
      <w:r>
        <w:t>'</w:t>
      </w:r>
      <w:r w:rsidRPr="00B42483">
        <w:t xml:space="preserve">ordre du jour, à prendre les dispositions nécessaires </w:t>
      </w:r>
      <w:r>
        <w:t>en vue de</w:t>
      </w:r>
      <w:r w:rsidRPr="00B42483">
        <w:t xml:space="preserve"> la convocation de la CMR</w:t>
      </w:r>
      <w:r w:rsidRPr="00B42483">
        <w:noBreakHyphen/>
      </w:r>
      <w:r>
        <w:t>23</w:t>
      </w:r>
      <w:r w:rsidRPr="00B42483">
        <w:t xml:space="preserve"> et à engager dès que possible les consultations nécessaires avec les </w:t>
      </w:r>
      <w:r>
        <w:t>É</w:t>
      </w:r>
      <w:r w:rsidRPr="00B42483">
        <w:t>tats</w:t>
      </w:r>
      <w:r>
        <w:t> </w:t>
      </w:r>
      <w:r w:rsidRPr="00B42483">
        <w:t>Membres,</w:t>
      </w:r>
    </w:p>
    <w:p w14:paraId="4C38AE47" w14:textId="77777777" w:rsidR="00D27578" w:rsidRPr="00D27578" w:rsidRDefault="00D27578" w:rsidP="001239FC">
      <w:pPr>
        <w:pStyle w:val="Call"/>
      </w:pPr>
      <w:r w:rsidRPr="00D27578">
        <w:lastRenderedPageBreak/>
        <w:t>charge le Directeur du Bureau des radiocommunications</w:t>
      </w:r>
    </w:p>
    <w:p w14:paraId="3582BA00" w14:textId="4C169103" w:rsidR="00D27578" w:rsidRPr="00B42483" w:rsidRDefault="00D27578" w:rsidP="001239FC">
      <w:pPr>
        <w:keepNext/>
        <w:keepLines/>
      </w:pPr>
      <w:r w:rsidRPr="00B42483">
        <w:t>de prendre les dispositions voulues pour la convocation des sessions de la Réunion de préparation à la Conférence et d</w:t>
      </w:r>
      <w:r>
        <w:t>'</w:t>
      </w:r>
      <w:r w:rsidRPr="00B42483">
        <w:t xml:space="preserve">élaborer un </w:t>
      </w:r>
      <w:r>
        <w:t>R</w:t>
      </w:r>
      <w:r w:rsidRPr="00B42483">
        <w:t>apport à l</w:t>
      </w:r>
      <w:r>
        <w:t>'</w:t>
      </w:r>
      <w:r w:rsidRPr="00B42483">
        <w:t>intention de la CMR</w:t>
      </w:r>
      <w:r w:rsidRPr="00B42483">
        <w:noBreakHyphen/>
      </w:r>
      <w:r>
        <w:t>23</w:t>
      </w:r>
      <w:r w:rsidRPr="00B42483">
        <w:t>,</w:t>
      </w:r>
    </w:p>
    <w:p w14:paraId="73267487" w14:textId="77777777" w:rsidR="00D27578" w:rsidRPr="00D27578" w:rsidRDefault="00D27578" w:rsidP="00AA5D85">
      <w:pPr>
        <w:pStyle w:val="Call"/>
      </w:pPr>
      <w:r w:rsidRPr="00D27578">
        <w:t>charge le Secrétaire général</w:t>
      </w:r>
    </w:p>
    <w:p w14:paraId="5F3D654B" w14:textId="255159C7" w:rsidR="00D27578" w:rsidRPr="00EB1634" w:rsidRDefault="00D27578" w:rsidP="00AA5D85">
      <w:pPr>
        <w:keepNext/>
        <w:keepLines/>
      </w:pPr>
      <w:r w:rsidRPr="00B42483">
        <w:t>de communiquer la présente Résolution aux organisations internationales ou régionales concernées.</w:t>
      </w:r>
    </w:p>
    <w:p w14:paraId="79A52E47" w14:textId="77777777" w:rsidR="00A303F2" w:rsidRDefault="00A303F2" w:rsidP="00AA5D85">
      <w:pPr>
        <w:pStyle w:val="Reasons"/>
      </w:pPr>
    </w:p>
    <w:p w14:paraId="50ED53B3" w14:textId="77777777" w:rsidR="00A303F2" w:rsidRDefault="00A16C58" w:rsidP="00AA5D85">
      <w:pPr>
        <w:pStyle w:val="Proposal"/>
      </w:pPr>
      <w:r>
        <w:t>ADD</w:t>
      </w:r>
      <w:r>
        <w:tab/>
        <w:t>IAP/11A24A16/2</w:t>
      </w:r>
    </w:p>
    <w:p w14:paraId="3BB0E83F" w14:textId="19E14E7B" w:rsidR="00A303F2" w:rsidRDefault="00A16C58" w:rsidP="00AA5D85">
      <w:pPr>
        <w:pStyle w:val="ResNo"/>
      </w:pPr>
      <w:r>
        <w:t xml:space="preserve">Projet de nouvelle Résolution </w:t>
      </w:r>
      <w:r w:rsidR="00D27578" w:rsidRPr="00822130">
        <w:rPr>
          <w:lang w:val="fr-CH"/>
        </w:rPr>
        <w:t>[IAP/10(P)/SAT-TO-SAT] (</w:t>
      </w:r>
      <w:r w:rsidR="00822130">
        <w:rPr>
          <w:lang w:val="fr-CH"/>
        </w:rPr>
        <w:t>CMR</w:t>
      </w:r>
      <w:r w:rsidR="00D27578" w:rsidRPr="00822130">
        <w:rPr>
          <w:lang w:val="fr-CH"/>
        </w:rPr>
        <w:noBreakHyphen/>
        <w:t>19)]</w:t>
      </w:r>
    </w:p>
    <w:p w14:paraId="20C0FB88" w14:textId="25C10465" w:rsidR="00FF35D1" w:rsidRDefault="00AA5D85" w:rsidP="00AA5D85">
      <w:pPr>
        <w:pStyle w:val="Restitle"/>
      </w:pPr>
      <w:r>
        <w:t>À</w:t>
      </w:r>
      <w:r w:rsidR="00FF35D1" w:rsidRPr="00FF35D1">
        <w:t xml:space="preserve"> déterminer</w:t>
      </w:r>
    </w:p>
    <w:p w14:paraId="2F360617" w14:textId="546AD02C" w:rsidR="00A303F2" w:rsidRDefault="00D27578" w:rsidP="00AA5D85">
      <w:pPr>
        <w:pStyle w:val="Normalaftertitle"/>
        <w:rPr>
          <w:lang w:val="fr-CH"/>
        </w:rPr>
      </w:pPr>
      <w:r w:rsidRPr="009000A8">
        <w:rPr>
          <w:lang w:val="fr-CH"/>
        </w:rPr>
        <w:t>La Conférence mondiale des radiocommunications (Charm el-Cheikh, 2019),</w:t>
      </w:r>
    </w:p>
    <w:p w14:paraId="6FB974DC" w14:textId="67316BCB" w:rsidR="00D27578" w:rsidRPr="00AA5D85" w:rsidRDefault="00AA5D85" w:rsidP="00AA5D85">
      <w:pPr>
        <w:pStyle w:val="Call"/>
      </w:pPr>
      <w:r w:rsidRPr="00AA5D85">
        <w:t>c</w:t>
      </w:r>
      <w:r w:rsidR="00FF35D1" w:rsidRPr="00AA5D85">
        <w:t>onsidérant</w:t>
      </w:r>
    </w:p>
    <w:p w14:paraId="38C519E1" w14:textId="6E013A16" w:rsidR="00D27578" w:rsidRPr="007E691F" w:rsidRDefault="00D27578" w:rsidP="00AA5D85">
      <w:pPr>
        <w:rPr>
          <w:lang w:val="fr-CH"/>
        </w:rPr>
      </w:pPr>
      <w:r w:rsidRPr="007E691F">
        <w:rPr>
          <w:i/>
          <w:iCs/>
          <w:lang w:val="fr-CH"/>
        </w:rPr>
        <w:t>a)</w:t>
      </w:r>
      <w:r w:rsidRPr="007E691F">
        <w:rPr>
          <w:lang w:val="fr-CH"/>
        </w:rPr>
        <w:tab/>
      </w:r>
      <w:r w:rsidR="00FF35D1" w:rsidRPr="007E691F">
        <w:rPr>
          <w:lang w:val="fr-CH"/>
        </w:rPr>
        <w:t>que l</w:t>
      </w:r>
      <w:r w:rsidR="00107FBE">
        <w:rPr>
          <w:lang w:val="fr-CH"/>
        </w:rPr>
        <w:t>'</w:t>
      </w:r>
      <w:r w:rsidR="00FF35D1" w:rsidRPr="007E691F">
        <w:rPr>
          <w:lang w:val="fr-CH"/>
        </w:rPr>
        <w:t>utilisation des bandes de fréquences attribuées au</w:t>
      </w:r>
      <w:r w:rsidR="00107FBE">
        <w:rPr>
          <w:lang w:val="fr-CH"/>
        </w:rPr>
        <w:t xml:space="preserve"> </w:t>
      </w:r>
      <w:r w:rsidR="00FF35D1" w:rsidRPr="007E691F">
        <w:rPr>
          <w:lang w:val="fr-CH"/>
        </w:rPr>
        <w:t>service</w:t>
      </w:r>
      <w:r w:rsidR="00107FBE">
        <w:rPr>
          <w:lang w:val="fr-CH"/>
        </w:rPr>
        <w:t xml:space="preserve"> </w:t>
      </w:r>
      <w:r w:rsidR="00FF35D1" w:rsidRPr="007E691F">
        <w:rPr>
          <w:lang w:val="fr-CH"/>
        </w:rPr>
        <w:t>fixe</w:t>
      </w:r>
      <w:r w:rsidR="00107FBE">
        <w:rPr>
          <w:lang w:val="fr-CH"/>
        </w:rPr>
        <w:t xml:space="preserve"> </w:t>
      </w:r>
      <w:r w:rsidR="00FF35D1" w:rsidRPr="007E691F">
        <w:rPr>
          <w:lang w:val="fr-CH"/>
        </w:rPr>
        <w:t>par satellite</w:t>
      </w:r>
      <w:r w:rsidR="00107FBE">
        <w:rPr>
          <w:lang w:val="fr-CH"/>
        </w:rPr>
        <w:t xml:space="preserve"> </w:t>
      </w:r>
      <w:r w:rsidRPr="007E691F">
        <w:rPr>
          <w:lang w:val="fr-CH"/>
        </w:rPr>
        <w:t>(</w:t>
      </w:r>
      <w:r w:rsidR="00822130" w:rsidRPr="007E691F">
        <w:rPr>
          <w:lang w:val="fr-CH"/>
        </w:rPr>
        <w:t>SFS</w:t>
      </w:r>
      <w:r w:rsidRPr="007E691F">
        <w:rPr>
          <w:lang w:val="fr-CH"/>
        </w:rPr>
        <w:t>) (</w:t>
      </w:r>
      <w:r w:rsidR="007E691F" w:rsidRPr="007E691F">
        <w:rPr>
          <w:lang w:val="fr-CH"/>
        </w:rPr>
        <w:t>Terre vers espace</w:t>
      </w:r>
      <w:r w:rsidRPr="007E691F">
        <w:rPr>
          <w:lang w:val="fr-CH"/>
        </w:rPr>
        <w:t>)</w:t>
      </w:r>
      <w:r w:rsidR="007E691F" w:rsidRPr="007E691F">
        <w:rPr>
          <w:lang w:val="fr-CH"/>
        </w:rPr>
        <w:t xml:space="preserve"> et au service mobile par satellite </w:t>
      </w:r>
      <w:r w:rsidRPr="007E691F">
        <w:rPr>
          <w:lang w:val="fr-CH"/>
        </w:rPr>
        <w:t>(</w:t>
      </w:r>
      <w:r w:rsidR="00822130" w:rsidRPr="007E691F">
        <w:rPr>
          <w:lang w:val="fr-CH"/>
        </w:rPr>
        <w:t>SMS</w:t>
      </w:r>
      <w:r w:rsidRPr="007E691F">
        <w:rPr>
          <w:lang w:val="fr-CH"/>
        </w:rPr>
        <w:t>) (</w:t>
      </w:r>
      <w:r w:rsidR="007E691F" w:rsidRPr="007E691F">
        <w:rPr>
          <w:lang w:val="fr-CH"/>
        </w:rPr>
        <w:t>Terre vers espace</w:t>
      </w:r>
      <w:r w:rsidRPr="007E691F">
        <w:rPr>
          <w:lang w:val="fr-CH"/>
        </w:rPr>
        <w:t>)</w:t>
      </w:r>
      <w:r w:rsidR="007E691F" w:rsidRPr="007E691F">
        <w:rPr>
          <w:lang w:val="fr-CH"/>
        </w:rPr>
        <w:t xml:space="preserve"> pour les transmissions dans le sens Terre vers espace</w:t>
      </w:r>
      <w:r w:rsidR="007E691F">
        <w:rPr>
          <w:lang w:val="fr-CH"/>
        </w:rPr>
        <w:t xml:space="preserve"> depuis des satellites sur l</w:t>
      </w:r>
      <w:r w:rsidR="00107FBE">
        <w:rPr>
          <w:lang w:val="fr-CH"/>
        </w:rPr>
        <w:t>'</w:t>
      </w:r>
      <w:r w:rsidR="007E691F">
        <w:rPr>
          <w:lang w:val="fr-CH"/>
        </w:rPr>
        <w:t>orbite des satellites non géostationnaires</w:t>
      </w:r>
      <w:r w:rsidR="00107FBE">
        <w:rPr>
          <w:lang w:val="fr-CH"/>
        </w:rPr>
        <w:t xml:space="preserve"> </w:t>
      </w:r>
      <w:r w:rsidRPr="007E691F">
        <w:rPr>
          <w:lang w:val="fr-CH"/>
        </w:rPr>
        <w:t>(non</w:t>
      </w:r>
      <w:r w:rsidR="007E691F">
        <w:rPr>
          <w:lang w:val="fr-CH"/>
        </w:rPr>
        <w:t xml:space="preserve"> </w:t>
      </w:r>
      <w:r w:rsidR="00822130" w:rsidRPr="007E691F">
        <w:rPr>
          <w:lang w:val="fr-CH"/>
        </w:rPr>
        <w:t>OSG</w:t>
      </w:r>
      <w:r w:rsidRPr="007E691F">
        <w:rPr>
          <w:lang w:val="fr-CH"/>
        </w:rPr>
        <w:t xml:space="preserve">) </w:t>
      </w:r>
      <w:r w:rsidR="007E691F">
        <w:rPr>
          <w:lang w:val="fr-CH"/>
        </w:rPr>
        <w:t>vers des satellites du</w:t>
      </w:r>
      <w:r w:rsidR="00107FBE">
        <w:rPr>
          <w:lang w:val="fr-CH"/>
        </w:rPr>
        <w:t xml:space="preserve"> </w:t>
      </w:r>
      <w:r w:rsidR="00822130" w:rsidRPr="007E691F">
        <w:rPr>
          <w:lang w:val="fr-CH"/>
        </w:rPr>
        <w:t>SFS</w:t>
      </w:r>
      <w:r w:rsidR="00107FBE">
        <w:rPr>
          <w:lang w:val="fr-CH"/>
        </w:rPr>
        <w:t xml:space="preserve"> </w:t>
      </w:r>
      <w:r w:rsidR="007E691F">
        <w:rPr>
          <w:lang w:val="fr-CH"/>
        </w:rPr>
        <w:t xml:space="preserve">et du </w:t>
      </w:r>
      <w:r w:rsidR="00822130" w:rsidRPr="007E691F">
        <w:rPr>
          <w:lang w:val="fr-CH"/>
        </w:rPr>
        <w:t>SMS</w:t>
      </w:r>
      <w:r w:rsidR="00107FBE">
        <w:rPr>
          <w:lang w:val="fr-CH"/>
        </w:rPr>
        <w:t xml:space="preserve"> </w:t>
      </w:r>
      <w:r w:rsidR="007E691F">
        <w:rPr>
          <w:lang w:val="fr-CH"/>
        </w:rPr>
        <w:t>fonctionnant à des altitudes orbitales plus élevées, y compris l</w:t>
      </w:r>
      <w:r w:rsidR="00107FBE">
        <w:rPr>
          <w:lang w:val="fr-CH"/>
        </w:rPr>
        <w:t>'</w:t>
      </w:r>
      <w:r w:rsidR="007E691F">
        <w:rPr>
          <w:lang w:val="fr-CH"/>
        </w:rPr>
        <w:t xml:space="preserve">orbite des satellites géostationnaires </w:t>
      </w:r>
      <w:r w:rsidRPr="007E691F">
        <w:rPr>
          <w:lang w:val="fr-CH"/>
        </w:rPr>
        <w:t>(</w:t>
      </w:r>
      <w:r w:rsidR="00822130" w:rsidRPr="007E691F">
        <w:rPr>
          <w:lang w:val="fr-CH"/>
        </w:rPr>
        <w:t>OSG</w:t>
      </w:r>
      <w:r w:rsidRPr="007E691F">
        <w:rPr>
          <w:lang w:val="fr-CH"/>
        </w:rPr>
        <w:t xml:space="preserve">), </w:t>
      </w:r>
      <w:r w:rsidR="007E691F">
        <w:rPr>
          <w:lang w:val="fr-CH"/>
        </w:rPr>
        <w:t>peut se traduire par</w:t>
      </w:r>
      <w:r w:rsidR="00107FBE">
        <w:rPr>
          <w:lang w:val="fr-CH"/>
        </w:rPr>
        <w:t xml:space="preserve"> </w:t>
      </w:r>
      <w:r w:rsidR="007E691F">
        <w:rPr>
          <w:color w:val="000000"/>
        </w:rPr>
        <w:t>une meilleure efficacité spectrale dans ces bandes de fréquences</w:t>
      </w:r>
      <w:r w:rsidR="00AA5D85">
        <w:rPr>
          <w:color w:val="000000"/>
        </w:rPr>
        <w:t>;</w:t>
      </w:r>
    </w:p>
    <w:p w14:paraId="7C7E8D40" w14:textId="5455F678" w:rsidR="00D27578" w:rsidRPr="00F31960" w:rsidRDefault="00D27578" w:rsidP="00AA5D85">
      <w:pPr>
        <w:rPr>
          <w:lang w:val="fr-CH"/>
        </w:rPr>
      </w:pPr>
      <w:r w:rsidRPr="00F31960">
        <w:rPr>
          <w:i/>
          <w:iCs/>
          <w:lang w:val="fr-CH"/>
        </w:rPr>
        <w:t>b)</w:t>
      </w:r>
      <w:r w:rsidRPr="00F31960">
        <w:rPr>
          <w:lang w:val="fr-CH"/>
        </w:rPr>
        <w:tab/>
      </w:r>
      <w:r w:rsidR="00F31960" w:rsidRPr="00F31960">
        <w:rPr>
          <w:lang w:val="fr-CH"/>
        </w:rPr>
        <w:t>que l</w:t>
      </w:r>
      <w:r w:rsidR="00107FBE">
        <w:rPr>
          <w:lang w:val="fr-CH"/>
        </w:rPr>
        <w:t>'</w:t>
      </w:r>
      <w:r w:rsidR="00F31960" w:rsidRPr="00F31960">
        <w:rPr>
          <w:lang w:val="fr-CH"/>
        </w:rPr>
        <w:t>utilisation des bandes de fréquences attribuées</w:t>
      </w:r>
      <w:r w:rsidR="00107FBE">
        <w:rPr>
          <w:lang w:val="fr-CH"/>
        </w:rPr>
        <w:t xml:space="preserve"> </w:t>
      </w:r>
      <w:r w:rsidR="00F31960" w:rsidRPr="00F31960">
        <w:rPr>
          <w:lang w:val="fr-CH"/>
        </w:rPr>
        <w:t>au</w:t>
      </w:r>
      <w:r w:rsidR="00FF213C">
        <w:rPr>
          <w:lang w:val="fr-CH"/>
        </w:rPr>
        <w:t xml:space="preserve"> SFS</w:t>
      </w:r>
      <w:r w:rsidRPr="00F31960">
        <w:rPr>
          <w:lang w:val="fr-CH"/>
        </w:rPr>
        <w:t xml:space="preserve"> (</w:t>
      </w:r>
      <w:r w:rsidR="007E691F" w:rsidRPr="00F31960">
        <w:rPr>
          <w:lang w:val="fr-CH"/>
        </w:rPr>
        <w:t>espace vers Terre</w:t>
      </w:r>
      <w:r w:rsidRPr="00F31960">
        <w:rPr>
          <w:lang w:val="fr-CH"/>
        </w:rPr>
        <w:t xml:space="preserve">) </w:t>
      </w:r>
      <w:r w:rsidR="00FF213C">
        <w:rPr>
          <w:lang w:val="fr-CH"/>
        </w:rPr>
        <w:t xml:space="preserve">et au </w:t>
      </w:r>
      <w:r w:rsidR="00822130" w:rsidRPr="00F31960">
        <w:rPr>
          <w:lang w:val="fr-CH"/>
        </w:rPr>
        <w:t>SMS</w:t>
      </w:r>
      <w:r w:rsidRPr="00F31960">
        <w:rPr>
          <w:lang w:val="fr-CH"/>
        </w:rPr>
        <w:t xml:space="preserve"> (</w:t>
      </w:r>
      <w:r w:rsidR="007E691F" w:rsidRPr="00F31960">
        <w:rPr>
          <w:lang w:val="fr-CH"/>
        </w:rPr>
        <w:t>espace vers Terre</w:t>
      </w:r>
      <w:r w:rsidRPr="00F31960">
        <w:rPr>
          <w:lang w:val="fr-CH"/>
        </w:rPr>
        <w:t xml:space="preserve">) </w:t>
      </w:r>
      <w:r w:rsidR="004F1200" w:rsidRPr="007E691F">
        <w:rPr>
          <w:lang w:val="fr-CH"/>
        </w:rPr>
        <w:t xml:space="preserve">pour les transmissions dans le sens </w:t>
      </w:r>
      <w:r w:rsidR="007E691F" w:rsidRPr="00F31960">
        <w:rPr>
          <w:lang w:val="fr-CH"/>
        </w:rPr>
        <w:t>espace vers Terre</w:t>
      </w:r>
      <w:r w:rsidRPr="00F31960">
        <w:rPr>
          <w:lang w:val="fr-CH"/>
        </w:rPr>
        <w:t xml:space="preserve"> </w:t>
      </w:r>
      <w:r w:rsidR="004F1200">
        <w:rPr>
          <w:lang w:val="fr-CH"/>
        </w:rPr>
        <w:t xml:space="preserve">depuis des satellites du </w:t>
      </w:r>
      <w:r w:rsidR="00822130" w:rsidRPr="00F31960">
        <w:rPr>
          <w:lang w:val="fr-CH"/>
        </w:rPr>
        <w:t>SFS</w:t>
      </w:r>
      <w:r w:rsidR="00107FBE">
        <w:rPr>
          <w:lang w:val="fr-CH"/>
        </w:rPr>
        <w:t xml:space="preserve"> </w:t>
      </w:r>
      <w:r w:rsidR="004F1200">
        <w:rPr>
          <w:lang w:val="fr-CH"/>
        </w:rPr>
        <w:t xml:space="preserve">et du </w:t>
      </w:r>
      <w:r w:rsidR="00822130" w:rsidRPr="00F31960">
        <w:rPr>
          <w:lang w:val="fr-CH"/>
        </w:rPr>
        <w:t>SMS</w:t>
      </w:r>
      <w:r w:rsidR="004F1200" w:rsidRPr="004F1200">
        <w:rPr>
          <w:lang w:val="fr-CH"/>
        </w:rPr>
        <w:t xml:space="preserve"> </w:t>
      </w:r>
      <w:r w:rsidR="004F1200">
        <w:rPr>
          <w:lang w:val="fr-CH"/>
        </w:rPr>
        <w:t>fonctionnant à des altitudes orbitales plus élevées, y compris</w:t>
      </w:r>
      <w:r w:rsidRPr="00F31960">
        <w:rPr>
          <w:lang w:val="fr-CH"/>
        </w:rPr>
        <w:t xml:space="preserve"> </w:t>
      </w:r>
      <w:r w:rsidR="004F1200">
        <w:rPr>
          <w:lang w:val="fr-CH"/>
        </w:rPr>
        <w:t>l</w:t>
      </w:r>
      <w:r w:rsidR="00107FBE">
        <w:rPr>
          <w:lang w:val="fr-CH"/>
        </w:rPr>
        <w:t>'</w:t>
      </w:r>
      <w:r w:rsidR="00822130" w:rsidRPr="00F31960">
        <w:rPr>
          <w:lang w:val="fr-CH"/>
        </w:rPr>
        <w:t>OSG</w:t>
      </w:r>
      <w:r w:rsidRPr="00F31960">
        <w:rPr>
          <w:lang w:val="fr-CH"/>
        </w:rPr>
        <w:t xml:space="preserve">, </w:t>
      </w:r>
      <w:r w:rsidR="004F1200">
        <w:rPr>
          <w:lang w:val="fr-CH"/>
        </w:rPr>
        <w:t xml:space="preserve">vers des satellites </w:t>
      </w:r>
      <w:r w:rsidRPr="00F31960">
        <w:rPr>
          <w:lang w:val="fr-CH"/>
        </w:rPr>
        <w:t>non</w:t>
      </w:r>
      <w:r w:rsidR="004F1200">
        <w:rPr>
          <w:lang w:val="fr-CH"/>
        </w:rPr>
        <w:t xml:space="preserve"> </w:t>
      </w:r>
      <w:r w:rsidR="00822130" w:rsidRPr="00F31960">
        <w:rPr>
          <w:lang w:val="fr-CH"/>
        </w:rPr>
        <w:t>OSG</w:t>
      </w:r>
      <w:r w:rsidR="004F1200" w:rsidRPr="007E691F">
        <w:rPr>
          <w:lang w:val="fr-CH"/>
        </w:rPr>
        <w:t xml:space="preserve"> </w:t>
      </w:r>
      <w:r w:rsidR="004F1200">
        <w:rPr>
          <w:lang w:val="fr-CH"/>
        </w:rPr>
        <w:t>peut se traduire par</w:t>
      </w:r>
      <w:r w:rsidR="00107FBE">
        <w:rPr>
          <w:lang w:val="fr-CH"/>
        </w:rPr>
        <w:t xml:space="preserve"> </w:t>
      </w:r>
      <w:r w:rsidR="004F1200">
        <w:rPr>
          <w:color w:val="000000"/>
        </w:rPr>
        <w:t>une meilleure efficacité spectrale dans ces bandes de fréquences</w:t>
      </w:r>
      <w:r w:rsidR="00AA5D85">
        <w:rPr>
          <w:lang w:val="fr-CH"/>
        </w:rPr>
        <w:t>;</w:t>
      </w:r>
    </w:p>
    <w:p w14:paraId="1DFDB927" w14:textId="3C3D2EA6" w:rsidR="00D27578" w:rsidRPr="00AA5D85" w:rsidRDefault="00D27578" w:rsidP="00AA5D85">
      <w:pPr>
        <w:rPr>
          <w:lang w:val="fr-CH"/>
        </w:rPr>
      </w:pPr>
      <w:r w:rsidRPr="004F1200">
        <w:rPr>
          <w:i/>
          <w:iCs/>
          <w:lang w:val="fr-CH"/>
        </w:rPr>
        <w:t>c)</w:t>
      </w:r>
      <w:r w:rsidRPr="004F1200">
        <w:rPr>
          <w:lang w:val="fr-CH"/>
        </w:rPr>
        <w:tab/>
      </w:r>
      <w:r w:rsidR="004F1200" w:rsidRPr="004F1200">
        <w:rPr>
          <w:lang w:val="fr-CH"/>
        </w:rPr>
        <w:t xml:space="preserve">que plusieurs systèmes à satellites ont eu recours aux </w:t>
      </w:r>
      <w:r w:rsidRPr="004F1200">
        <w:rPr>
          <w:lang w:val="fr-CH"/>
        </w:rPr>
        <w:t>communication</w:t>
      </w:r>
      <w:r w:rsidR="004F1200" w:rsidRPr="004F1200">
        <w:rPr>
          <w:lang w:val="fr-CH"/>
        </w:rPr>
        <w:t>s</w:t>
      </w:r>
      <w:r w:rsidR="004F1200" w:rsidRPr="004F1200">
        <w:rPr>
          <w:color w:val="000000"/>
          <w:lang w:val="fr-CH"/>
        </w:rPr>
        <w:t xml:space="preserve"> de satellite à satellite</w:t>
      </w:r>
      <w:r w:rsidRPr="004F1200">
        <w:rPr>
          <w:lang w:val="fr-CH"/>
        </w:rPr>
        <w:t xml:space="preserve"> </w:t>
      </w:r>
      <w:r w:rsidR="004F1200" w:rsidRPr="004F1200">
        <w:rPr>
          <w:lang w:val="fr-CH"/>
        </w:rPr>
        <w:t>dans les bandes existantes attribuées aux services par satellite conformément au numéro</w:t>
      </w:r>
      <w:r w:rsidR="00107FBE">
        <w:rPr>
          <w:lang w:val="fr-CH"/>
        </w:rPr>
        <w:t xml:space="preserve"> </w:t>
      </w:r>
      <w:r w:rsidRPr="004F1200">
        <w:rPr>
          <w:b/>
          <w:lang w:val="fr-CH"/>
        </w:rPr>
        <w:t>4.4</w:t>
      </w:r>
      <w:r w:rsidR="004F1200">
        <w:rPr>
          <w:lang w:val="fr-CH"/>
        </w:rPr>
        <w:t xml:space="preserve"> et que </w:t>
      </w:r>
      <w:r w:rsidR="00C20723">
        <w:rPr>
          <w:lang w:val="fr-CH"/>
        </w:rPr>
        <w:t>l</w:t>
      </w:r>
      <w:r w:rsidR="004F1200">
        <w:rPr>
          <w:lang w:val="fr-CH"/>
        </w:rPr>
        <w:t xml:space="preserve">e recours </w:t>
      </w:r>
      <w:r w:rsidR="00C20723">
        <w:rPr>
          <w:lang w:val="fr-CH"/>
        </w:rPr>
        <w:t>à ce</w:t>
      </w:r>
      <w:r w:rsidR="004F1200">
        <w:rPr>
          <w:lang w:val="fr-CH"/>
        </w:rPr>
        <w:t xml:space="preserve"> numéro</w:t>
      </w:r>
      <w:r w:rsidRPr="004F1200">
        <w:rPr>
          <w:lang w:val="fr-CH"/>
        </w:rPr>
        <w:t xml:space="preserve"> </w:t>
      </w:r>
      <w:r w:rsidR="004F1200">
        <w:rPr>
          <w:lang w:val="fr-CH"/>
        </w:rPr>
        <w:t>ne constitue</w:t>
      </w:r>
      <w:r w:rsidR="00107FBE">
        <w:rPr>
          <w:lang w:val="fr-CH"/>
        </w:rPr>
        <w:t xml:space="preserve"> </w:t>
      </w:r>
      <w:r w:rsidR="004F1200">
        <w:rPr>
          <w:lang w:val="fr-CH"/>
        </w:rPr>
        <w:t>pas une base solide</w:t>
      </w:r>
      <w:r w:rsidR="00A36F88">
        <w:rPr>
          <w:lang w:val="fr-CH"/>
        </w:rPr>
        <w:t xml:space="preserve"> pour la poursuite du développement de ces systèmes,</w:t>
      </w:r>
      <w:r w:rsidR="004F1200">
        <w:rPr>
          <w:lang w:val="fr-CH"/>
        </w:rPr>
        <w:t xml:space="preserve"> </w:t>
      </w:r>
      <w:r w:rsidR="00A36F88">
        <w:rPr>
          <w:lang w:val="fr-CH"/>
        </w:rPr>
        <w:t>ou pour l</w:t>
      </w:r>
      <w:r w:rsidR="00107FBE">
        <w:rPr>
          <w:lang w:val="fr-CH"/>
        </w:rPr>
        <w:t>'</w:t>
      </w:r>
      <w:r w:rsidR="00A36F88">
        <w:rPr>
          <w:lang w:val="fr-CH"/>
        </w:rPr>
        <w:t xml:space="preserve">instauration de la confiance dans la viabilité commerciale et la disponibilité du service </w:t>
      </w:r>
      <w:r w:rsidR="00AA57E1">
        <w:rPr>
          <w:lang w:val="fr-CH"/>
        </w:rPr>
        <w:t>pour les</w:t>
      </w:r>
      <w:r w:rsidR="00A36F88">
        <w:rPr>
          <w:lang w:val="fr-CH"/>
        </w:rPr>
        <w:t xml:space="preserve"> utilisateurs finals</w:t>
      </w:r>
      <w:r w:rsidR="00AA5D85">
        <w:rPr>
          <w:lang w:val="fr-CH"/>
        </w:rPr>
        <w:t>;</w:t>
      </w:r>
    </w:p>
    <w:p w14:paraId="29B4CC09" w14:textId="139F8C66" w:rsidR="00D27578" w:rsidRPr="00A36F88" w:rsidRDefault="00D27578" w:rsidP="00AA5D85">
      <w:pPr>
        <w:rPr>
          <w:lang w:val="fr-CH"/>
        </w:rPr>
      </w:pPr>
      <w:r w:rsidRPr="00A36F88">
        <w:rPr>
          <w:i/>
          <w:iCs/>
          <w:lang w:val="fr-CH"/>
        </w:rPr>
        <w:t>d)</w:t>
      </w:r>
      <w:r w:rsidRPr="00A36F88">
        <w:rPr>
          <w:lang w:val="fr-CH"/>
        </w:rPr>
        <w:tab/>
      </w:r>
      <w:r w:rsidR="00A36F88" w:rsidRPr="00A36F88">
        <w:rPr>
          <w:lang w:val="fr-CH"/>
        </w:rPr>
        <w:t>que l</w:t>
      </w:r>
      <w:r w:rsidR="00107FBE">
        <w:rPr>
          <w:lang w:val="fr-CH"/>
        </w:rPr>
        <w:t>'</w:t>
      </w:r>
      <w:r w:rsidR="00A36F88" w:rsidRPr="00A36F88">
        <w:rPr>
          <w:lang w:val="fr-CH"/>
        </w:rPr>
        <w:t>utilisation des liaisons par satellite espace</w:t>
      </w:r>
      <w:r w:rsidR="00700561">
        <w:rPr>
          <w:lang w:val="fr-CH"/>
        </w:rPr>
        <w:t>-</w:t>
      </w:r>
      <w:r w:rsidR="00A36F88" w:rsidRPr="00A36F88">
        <w:rPr>
          <w:lang w:val="fr-CH"/>
        </w:rPr>
        <w:t>espace pour diverses</w:t>
      </w:r>
      <w:r w:rsidR="00107FBE">
        <w:rPr>
          <w:lang w:val="fr-CH"/>
        </w:rPr>
        <w:t xml:space="preserve"> </w:t>
      </w:r>
      <w:r w:rsidR="00A36F88" w:rsidRPr="00A36F88">
        <w:rPr>
          <w:lang w:val="fr-CH"/>
        </w:rPr>
        <w:t>applications</w:t>
      </w:r>
      <w:r w:rsidR="00107FBE">
        <w:rPr>
          <w:lang w:val="fr-CH"/>
        </w:rPr>
        <w:t xml:space="preserve"> </w:t>
      </w:r>
      <w:r w:rsidR="00A36F88" w:rsidRPr="00A36F88">
        <w:rPr>
          <w:color w:val="000000"/>
          <w:lang w:val="fr-CH"/>
        </w:rPr>
        <w:t>suscite</w:t>
      </w:r>
      <w:r w:rsidR="00107FBE">
        <w:rPr>
          <w:color w:val="000000"/>
          <w:lang w:val="fr-CH"/>
        </w:rPr>
        <w:t xml:space="preserve"> </w:t>
      </w:r>
      <w:r w:rsidR="00A36F88" w:rsidRPr="00A36F88">
        <w:rPr>
          <w:color w:val="000000"/>
          <w:lang w:val="fr-CH"/>
        </w:rPr>
        <w:t>un intérêt croissant</w:t>
      </w:r>
      <w:r w:rsidR="00AA5D85">
        <w:rPr>
          <w:color w:val="000000"/>
          <w:lang w:val="fr-CH"/>
        </w:rPr>
        <w:t>,</w:t>
      </w:r>
    </w:p>
    <w:p w14:paraId="180437F5" w14:textId="2F5363F4" w:rsidR="00D27578" w:rsidRPr="00A36F88" w:rsidRDefault="00A36F88" w:rsidP="00AA5D85">
      <w:pPr>
        <w:pStyle w:val="Call"/>
        <w:rPr>
          <w:lang w:val="fr-CH"/>
        </w:rPr>
      </w:pPr>
      <w:r w:rsidRPr="00A36F88">
        <w:rPr>
          <w:lang w:val="fr-CH"/>
        </w:rPr>
        <w:t>reconnaissant</w:t>
      </w:r>
    </w:p>
    <w:p w14:paraId="74E37ECD" w14:textId="427A0966" w:rsidR="00D27578" w:rsidRPr="00A36F88" w:rsidRDefault="00D27578" w:rsidP="00AA5D85">
      <w:pPr>
        <w:rPr>
          <w:lang w:val="fr-CH"/>
        </w:rPr>
      </w:pPr>
      <w:r w:rsidRPr="00A36F88">
        <w:rPr>
          <w:i/>
          <w:iCs/>
          <w:lang w:val="fr-CH"/>
        </w:rPr>
        <w:t>a)</w:t>
      </w:r>
      <w:r w:rsidRPr="00A36F88">
        <w:rPr>
          <w:lang w:val="fr-CH"/>
        </w:rPr>
        <w:tab/>
      </w:r>
      <w:r w:rsidR="00A36F88">
        <w:rPr>
          <w:lang w:val="fr-CH"/>
        </w:rPr>
        <w:t xml:space="preserve"> </w:t>
      </w:r>
      <w:r w:rsidR="00A36F88" w:rsidRPr="00A36F88">
        <w:rPr>
          <w:lang w:val="fr-CH"/>
        </w:rPr>
        <w:t>que l</w:t>
      </w:r>
      <w:r w:rsidR="00107FBE">
        <w:rPr>
          <w:lang w:val="fr-CH"/>
        </w:rPr>
        <w:t>'</w:t>
      </w:r>
      <w:r w:rsidR="00A36F88" w:rsidRPr="00A36F88">
        <w:rPr>
          <w:lang w:val="fr-CH"/>
        </w:rPr>
        <w:t>UIT</w:t>
      </w:r>
      <w:r w:rsidR="00A36F88">
        <w:rPr>
          <w:lang w:val="fr-CH"/>
        </w:rPr>
        <w:t>-</w:t>
      </w:r>
      <w:r w:rsidR="00A36F88" w:rsidRPr="00A36F88">
        <w:rPr>
          <w:lang w:val="fr-CH"/>
        </w:rPr>
        <w:t>R étudie</w:t>
      </w:r>
      <w:r w:rsidR="00107FBE">
        <w:rPr>
          <w:lang w:val="fr-CH"/>
        </w:rPr>
        <w:t xml:space="preserve"> </w:t>
      </w:r>
      <w:r w:rsidR="00A36F88" w:rsidRPr="00A36F88">
        <w:rPr>
          <w:lang w:val="fr-CH"/>
        </w:rPr>
        <w:t>actuellement les liaisons espace</w:t>
      </w:r>
      <w:r w:rsidR="00700561">
        <w:rPr>
          <w:lang w:val="fr-CH"/>
        </w:rPr>
        <w:t>-</w:t>
      </w:r>
      <w:r w:rsidR="00A36F88" w:rsidRPr="00A36F88">
        <w:rPr>
          <w:lang w:val="fr-CH"/>
        </w:rPr>
        <w:t xml:space="preserve">espace </w:t>
      </w:r>
      <w:r w:rsidR="00A36F88">
        <w:rPr>
          <w:lang w:val="fr-CH"/>
        </w:rPr>
        <w:t>dans le service mobile par satellite et le service fixe par satellite</w:t>
      </w:r>
      <w:r w:rsidR="00AA5D85">
        <w:rPr>
          <w:lang w:val="fr-CH"/>
        </w:rPr>
        <w:t>;</w:t>
      </w:r>
    </w:p>
    <w:p w14:paraId="568485A4" w14:textId="28FB00E6" w:rsidR="00D27578" w:rsidRPr="00B0049C" w:rsidRDefault="00D27578" w:rsidP="00AA5D85">
      <w:pPr>
        <w:rPr>
          <w:lang w:val="fr-CH"/>
        </w:rPr>
      </w:pPr>
      <w:r w:rsidRPr="00B0049C">
        <w:rPr>
          <w:i/>
          <w:iCs/>
          <w:lang w:val="fr-CH"/>
        </w:rPr>
        <w:t>b)</w:t>
      </w:r>
      <w:r w:rsidRPr="00B0049C">
        <w:rPr>
          <w:lang w:val="fr-CH"/>
        </w:rPr>
        <w:tab/>
      </w:r>
      <w:r w:rsidR="00B0049C" w:rsidRPr="00B0049C">
        <w:rPr>
          <w:lang w:val="fr-CH"/>
        </w:rPr>
        <w:t>que l</w:t>
      </w:r>
      <w:r w:rsidR="00107FBE">
        <w:rPr>
          <w:lang w:val="fr-CH"/>
        </w:rPr>
        <w:t>'</w:t>
      </w:r>
      <w:r w:rsidR="00B0049C" w:rsidRPr="00B0049C">
        <w:rPr>
          <w:lang w:val="fr-CH"/>
        </w:rPr>
        <w:t>UIT-R a entrepris des étude</w:t>
      </w:r>
      <w:r w:rsidR="00700561">
        <w:rPr>
          <w:lang w:val="fr-CH"/>
        </w:rPr>
        <w:t>s</w:t>
      </w:r>
      <w:r w:rsidR="00B0049C" w:rsidRPr="00B0049C">
        <w:rPr>
          <w:lang w:val="fr-CH"/>
        </w:rPr>
        <w:t xml:space="preserve"> préliminaires sur les questions techniques et opérationnelles associé</w:t>
      </w:r>
      <w:r w:rsidR="00700561">
        <w:rPr>
          <w:lang w:val="fr-CH"/>
        </w:rPr>
        <w:t>e</w:t>
      </w:r>
      <w:r w:rsidR="00B0049C" w:rsidRPr="00B0049C">
        <w:rPr>
          <w:lang w:val="fr-CH"/>
        </w:rPr>
        <w:t>s à la possibilité d</w:t>
      </w:r>
      <w:r w:rsidR="00107FBE">
        <w:rPr>
          <w:lang w:val="fr-CH"/>
        </w:rPr>
        <w:t>'</w:t>
      </w:r>
      <w:r w:rsidR="00B0049C" w:rsidRPr="00B0049C">
        <w:rPr>
          <w:lang w:val="fr-CH"/>
        </w:rPr>
        <w:t>utiliser des satellites non OSG</w:t>
      </w:r>
      <w:r w:rsidR="00107FBE">
        <w:rPr>
          <w:lang w:val="fr-CH"/>
        </w:rPr>
        <w:t xml:space="preserve"> </w:t>
      </w:r>
      <w:r w:rsidR="00B0049C" w:rsidRPr="00B0049C">
        <w:rPr>
          <w:lang w:val="fr-CH"/>
        </w:rPr>
        <w:t>émettant en direction de l</w:t>
      </w:r>
      <w:r w:rsidR="00107FBE">
        <w:rPr>
          <w:lang w:val="fr-CH"/>
        </w:rPr>
        <w:t>'</w:t>
      </w:r>
      <w:r w:rsidR="00B0049C" w:rsidRPr="00B0049C">
        <w:rPr>
          <w:lang w:val="fr-CH"/>
        </w:rPr>
        <w:t>OSG dans la bande</w:t>
      </w:r>
      <w:r w:rsidR="00B0049C">
        <w:rPr>
          <w:lang w:val="fr-CH"/>
        </w:rPr>
        <w:t xml:space="preserve"> de fréquences </w:t>
      </w:r>
      <w:r w:rsidRPr="00B0049C">
        <w:rPr>
          <w:lang w:val="fr-CH"/>
        </w:rPr>
        <w:t>27</w:t>
      </w:r>
      <w:r w:rsidR="005B24F5">
        <w:rPr>
          <w:lang w:val="fr-CH"/>
        </w:rPr>
        <w:t>,</w:t>
      </w:r>
      <w:r w:rsidRPr="00B0049C">
        <w:rPr>
          <w:lang w:val="fr-CH"/>
        </w:rPr>
        <w:t xml:space="preserve">5-30 GHz </w:t>
      </w:r>
      <w:r w:rsidR="00822130" w:rsidRPr="00B0049C">
        <w:rPr>
          <w:lang w:val="fr-CH"/>
        </w:rPr>
        <w:t>SFS</w:t>
      </w:r>
      <w:r w:rsidR="00B0049C">
        <w:rPr>
          <w:lang w:val="fr-CH"/>
        </w:rPr>
        <w:t>, et que ces études devraient se poursuivre après la</w:t>
      </w:r>
      <w:r w:rsidR="00107FBE">
        <w:rPr>
          <w:lang w:val="fr-CH"/>
        </w:rPr>
        <w:t xml:space="preserve"> </w:t>
      </w:r>
      <w:r w:rsidR="00822130" w:rsidRPr="00B0049C">
        <w:rPr>
          <w:lang w:val="fr-CH"/>
        </w:rPr>
        <w:t>CMR</w:t>
      </w:r>
      <w:r w:rsidRPr="00B0049C">
        <w:rPr>
          <w:lang w:val="fr-CH"/>
        </w:rPr>
        <w:t>-19;</w:t>
      </w:r>
    </w:p>
    <w:p w14:paraId="3507D87E" w14:textId="4C1EDE43" w:rsidR="00D27578" w:rsidRPr="00B0049C" w:rsidRDefault="00D27578" w:rsidP="00AA5D85">
      <w:pPr>
        <w:rPr>
          <w:lang w:val="fr-CH"/>
        </w:rPr>
      </w:pPr>
      <w:r w:rsidRPr="00B0049C">
        <w:rPr>
          <w:i/>
          <w:iCs/>
          <w:lang w:val="fr-CH"/>
        </w:rPr>
        <w:t>c)</w:t>
      </w:r>
      <w:r w:rsidRPr="00B0049C">
        <w:rPr>
          <w:lang w:val="fr-CH"/>
        </w:rPr>
        <w:tab/>
      </w:r>
      <w:r w:rsidR="00B0049C" w:rsidRPr="00B0049C">
        <w:rPr>
          <w:lang w:val="fr-CH"/>
        </w:rPr>
        <w:t>que l</w:t>
      </w:r>
      <w:r w:rsidR="00107FBE">
        <w:rPr>
          <w:lang w:val="fr-CH"/>
        </w:rPr>
        <w:t>'</w:t>
      </w:r>
      <w:r w:rsidR="00B0049C" w:rsidRPr="00B0049C">
        <w:rPr>
          <w:lang w:val="fr-CH"/>
        </w:rPr>
        <w:t>UIT-R a entrepris des étude</w:t>
      </w:r>
      <w:r w:rsidR="00700561">
        <w:rPr>
          <w:lang w:val="fr-CH"/>
        </w:rPr>
        <w:t>s</w:t>
      </w:r>
      <w:r w:rsidR="00B0049C" w:rsidRPr="00B0049C">
        <w:rPr>
          <w:lang w:val="fr-CH"/>
        </w:rPr>
        <w:t xml:space="preserve"> préliminaires sur les questions techniques et opérationnelles associé</w:t>
      </w:r>
      <w:r w:rsidR="00700561">
        <w:rPr>
          <w:lang w:val="fr-CH"/>
        </w:rPr>
        <w:t>e</w:t>
      </w:r>
      <w:r w:rsidR="00B0049C" w:rsidRPr="00B0049C">
        <w:rPr>
          <w:lang w:val="fr-CH"/>
        </w:rPr>
        <w:t>s à</w:t>
      </w:r>
      <w:r w:rsidR="00107FBE">
        <w:rPr>
          <w:lang w:val="fr-CH"/>
        </w:rPr>
        <w:t xml:space="preserve"> </w:t>
      </w:r>
      <w:r w:rsidR="00B0049C">
        <w:rPr>
          <w:lang w:val="fr-CH"/>
        </w:rPr>
        <w:t>l</w:t>
      </w:r>
      <w:r w:rsidR="00107FBE">
        <w:rPr>
          <w:lang w:val="fr-CH"/>
        </w:rPr>
        <w:t>'</w:t>
      </w:r>
      <w:r w:rsidR="00B0049C">
        <w:rPr>
          <w:lang w:val="fr-CH"/>
        </w:rPr>
        <w:t xml:space="preserve">utilisation de satellites non OSG communiquant avec des satellites du SMS </w:t>
      </w:r>
      <w:r w:rsidR="00AA57E1">
        <w:rPr>
          <w:lang w:val="fr-CH"/>
        </w:rPr>
        <w:t xml:space="preserve">OSG </w:t>
      </w:r>
      <w:r w:rsidR="00B0049C">
        <w:rPr>
          <w:lang w:val="fr-CH"/>
        </w:rPr>
        <w:t>dans les bandes de fréquences</w:t>
      </w:r>
      <w:r w:rsidR="00107FBE">
        <w:rPr>
          <w:lang w:val="fr-CH"/>
        </w:rPr>
        <w:t xml:space="preserve"> </w:t>
      </w:r>
      <w:r w:rsidRPr="00B0049C">
        <w:rPr>
          <w:color w:val="000000"/>
          <w:lang w:val="fr-CH"/>
        </w:rPr>
        <w:t>1</w:t>
      </w:r>
      <w:r w:rsidR="00AA57E1">
        <w:rPr>
          <w:color w:val="000000"/>
          <w:lang w:val="fr-CH"/>
        </w:rPr>
        <w:t> </w:t>
      </w:r>
      <w:r w:rsidRPr="00B0049C">
        <w:rPr>
          <w:color w:val="000000"/>
          <w:lang w:val="fr-CH"/>
        </w:rPr>
        <w:t>518-1</w:t>
      </w:r>
      <w:r w:rsidR="00AA57E1">
        <w:rPr>
          <w:color w:val="000000"/>
          <w:lang w:val="fr-CH"/>
        </w:rPr>
        <w:t> </w:t>
      </w:r>
      <w:r w:rsidRPr="00B0049C">
        <w:rPr>
          <w:color w:val="000000"/>
          <w:lang w:val="fr-CH"/>
        </w:rPr>
        <w:t>559 MHz, 1</w:t>
      </w:r>
      <w:r w:rsidR="00AA57E1">
        <w:rPr>
          <w:color w:val="000000"/>
          <w:lang w:val="fr-CH"/>
        </w:rPr>
        <w:t> </w:t>
      </w:r>
      <w:r w:rsidRPr="00B0049C">
        <w:rPr>
          <w:color w:val="000000"/>
          <w:lang w:val="fr-CH"/>
        </w:rPr>
        <w:t>610-</w:t>
      </w:r>
      <w:r w:rsidRPr="00AA57E1">
        <w:t>1</w:t>
      </w:r>
      <w:r w:rsidR="00AA57E1">
        <w:t> </w:t>
      </w:r>
      <w:r w:rsidRPr="00AA57E1">
        <w:t>626</w:t>
      </w:r>
      <w:r w:rsidR="005B24F5">
        <w:rPr>
          <w:color w:val="000000"/>
          <w:lang w:val="fr-CH"/>
        </w:rPr>
        <w:t>,</w:t>
      </w:r>
      <w:r w:rsidRPr="00B0049C">
        <w:rPr>
          <w:color w:val="000000"/>
          <w:lang w:val="fr-CH"/>
        </w:rPr>
        <w:t xml:space="preserve">5 MHz, </w:t>
      </w:r>
      <w:r w:rsidRPr="00B0049C">
        <w:rPr>
          <w:color w:val="000000"/>
          <w:lang w:val="fr-CH"/>
        </w:rPr>
        <w:lastRenderedPageBreak/>
        <w:t>1</w:t>
      </w:r>
      <w:r w:rsidR="00AA57E1">
        <w:rPr>
          <w:color w:val="000000"/>
          <w:lang w:val="fr-CH"/>
        </w:rPr>
        <w:t> </w:t>
      </w:r>
      <w:r w:rsidRPr="00B0049C">
        <w:rPr>
          <w:color w:val="000000"/>
          <w:lang w:val="fr-CH"/>
        </w:rPr>
        <w:t>626</w:t>
      </w:r>
      <w:r w:rsidR="005B24F5">
        <w:rPr>
          <w:color w:val="000000"/>
          <w:lang w:val="fr-CH"/>
        </w:rPr>
        <w:t>,</w:t>
      </w:r>
      <w:r w:rsidRPr="00B0049C">
        <w:rPr>
          <w:color w:val="000000"/>
          <w:lang w:val="fr-CH"/>
        </w:rPr>
        <w:t>5</w:t>
      </w:r>
      <w:r w:rsidR="00700561">
        <w:rPr>
          <w:color w:val="000000"/>
          <w:lang w:val="fr-CH"/>
        </w:rPr>
        <w:noBreakHyphen/>
      </w:r>
      <w:r w:rsidRPr="00B0049C">
        <w:rPr>
          <w:color w:val="000000"/>
          <w:lang w:val="fr-CH"/>
        </w:rPr>
        <w:t>1</w:t>
      </w:r>
      <w:r w:rsidR="00AA57E1">
        <w:rPr>
          <w:color w:val="000000"/>
          <w:lang w:val="fr-CH"/>
        </w:rPr>
        <w:t> </w:t>
      </w:r>
      <w:r w:rsidRPr="00B0049C">
        <w:rPr>
          <w:color w:val="000000"/>
          <w:lang w:val="fr-CH"/>
        </w:rPr>
        <w:t>660</w:t>
      </w:r>
      <w:r w:rsidR="005B24F5">
        <w:rPr>
          <w:color w:val="000000"/>
          <w:lang w:val="fr-CH"/>
        </w:rPr>
        <w:t>,</w:t>
      </w:r>
      <w:r w:rsidRPr="00B0049C">
        <w:rPr>
          <w:color w:val="000000"/>
          <w:lang w:val="fr-CH"/>
        </w:rPr>
        <w:t>5</w:t>
      </w:r>
      <w:r w:rsidR="00AA57E1">
        <w:rPr>
          <w:color w:val="000000"/>
          <w:lang w:val="fr-CH"/>
        </w:rPr>
        <w:t> </w:t>
      </w:r>
      <w:r w:rsidRPr="00B0049C">
        <w:rPr>
          <w:color w:val="000000"/>
          <w:lang w:val="fr-CH"/>
        </w:rPr>
        <w:t>MHz, 1</w:t>
      </w:r>
      <w:r w:rsidR="00AA57E1">
        <w:rPr>
          <w:color w:val="000000"/>
          <w:lang w:val="fr-CH"/>
        </w:rPr>
        <w:t> </w:t>
      </w:r>
      <w:r w:rsidRPr="00B0049C">
        <w:rPr>
          <w:color w:val="000000"/>
          <w:lang w:val="fr-CH"/>
        </w:rPr>
        <w:t>668-1</w:t>
      </w:r>
      <w:r w:rsidR="00AA57E1">
        <w:rPr>
          <w:color w:val="000000"/>
          <w:lang w:val="fr-CH"/>
        </w:rPr>
        <w:t> </w:t>
      </w:r>
      <w:r w:rsidRPr="00B0049C">
        <w:rPr>
          <w:color w:val="000000"/>
          <w:lang w:val="fr-CH"/>
        </w:rPr>
        <w:t>675 MHz</w:t>
      </w:r>
      <w:r w:rsidR="00B0049C">
        <w:rPr>
          <w:lang w:val="fr-CH"/>
        </w:rPr>
        <w:t xml:space="preserve"> et</w:t>
      </w:r>
      <w:r w:rsidRPr="00B0049C">
        <w:rPr>
          <w:lang w:val="fr-CH"/>
        </w:rPr>
        <w:t xml:space="preserve"> 2</w:t>
      </w:r>
      <w:r w:rsidR="00AA57E1">
        <w:rPr>
          <w:lang w:val="fr-CH"/>
        </w:rPr>
        <w:t> </w:t>
      </w:r>
      <w:r w:rsidRPr="00B0049C">
        <w:rPr>
          <w:lang w:val="fr-CH"/>
        </w:rPr>
        <w:t>483</w:t>
      </w:r>
      <w:r w:rsidR="005B24F5">
        <w:rPr>
          <w:lang w:val="fr-CH"/>
        </w:rPr>
        <w:t>,</w:t>
      </w:r>
      <w:r w:rsidRPr="00B0049C">
        <w:rPr>
          <w:lang w:val="fr-CH"/>
        </w:rPr>
        <w:t>5-2</w:t>
      </w:r>
      <w:r w:rsidR="00AA57E1">
        <w:rPr>
          <w:lang w:val="fr-CH"/>
        </w:rPr>
        <w:t> </w:t>
      </w:r>
      <w:r w:rsidRPr="00B0049C">
        <w:rPr>
          <w:lang w:val="fr-CH"/>
        </w:rPr>
        <w:t>500 MHz</w:t>
      </w:r>
      <w:r w:rsidR="009050AD">
        <w:rPr>
          <w:lang w:val="fr-CH"/>
        </w:rPr>
        <w:t>,</w:t>
      </w:r>
      <w:r w:rsidRPr="00B0049C">
        <w:rPr>
          <w:lang w:val="fr-CH"/>
        </w:rPr>
        <w:t xml:space="preserve"> </w:t>
      </w:r>
      <w:r w:rsidR="00B0049C">
        <w:rPr>
          <w:lang w:val="fr-CH"/>
        </w:rPr>
        <w:t>et que ces études devraient se poursuivre dans cette bande et dans d</w:t>
      </w:r>
      <w:r w:rsidR="00107FBE">
        <w:rPr>
          <w:lang w:val="fr-CH"/>
        </w:rPr>
        <w:t>'</w:t>
      </w:r>
      <w:r w:rsidR="00B0049C">
        <w:rPr>
          <w:lang w:val="fr-CH"/>
        </w:rPr>
        <w:t>autres bandes après la</w:t>
      </w:r>
      <w:r w:rsidR="00107FBE">
        <w:rPr>
          <w:lang w:val="fr-CH"/>
        </w:rPr>
        <w:t xml:space="preserve"> </w:t>
      </w:r>
      <w:r w:rsidR="00B0049C" w:rsidRPr="00B0049C">
        <w:rPr>
          <w:lang w:val="fr-CH"/>
        </w:rPr>
        <w:t>CMR-19</w:t>
      </w:r>
      <w:r w:rsidR="00AA5D85">
        <w:rPr>
          <w:lang w:val="fr-CH"/>
        </w:rPr>
        <w:t>;</w:t>
      </w:r>
    </w:p>
    <w:p w14:paraId="0909338B" w14:textId="4CF58287" w:rsidR="00D27578" w:rsidRPr="00C6259C" w:rsidRDefault="00D27578" w:rsidP="00AA5D85">
      <w:pPr>
        <w:rPr>
          <w:lang w:val="fr-CH"/>
        </w:rPr>
      </w:pPr>
      <w:r w:rsidRPr="00C6259C">
        <w:rPr>
          <w:i/>
          <w:iCs/>
          <w:lang w:val="fr-CH"/>
        </w:rPr>
        <w:t>d)</w:t>
      </w:r>
      <w:r w:rsidRPr="00C6259C">
        <w:rPr>
          <w:lang w:val="fr-CH"/>
        </w:rPr>
        <w:tab/>
      </w:r>
      <w:r w:rsidR="00C6259C" w:rsidRPr="00C6259C">
        <w:rPr>
          <w:lang w:val="fr-CH"/>
        </w:rPr>
        <w:t xml:space="preserve">que la plupart des attributions au service fixe par satellite </w:t>
      </w:r>
      <w:r w:rsidR="00AA57E1">
        <w:rPr>
          <w:lang w:val="fr-CH"/>
        </w:rPr>
        <w:t xml:space="preserve">et au </w:t>
      </w:r>
      <w:r w:rsidR="00C6259C" w:rsidRPr="00C6259C">
        <w:rPr>
          <w:lang w:val="fr-CH"/>
        </w:rPr>
        <w:t>service mobile par satellite comprenne</w:t>
      </w:r>
      <w:r w:rsidR="00AA57E1">
        <w:rPr>
          <w:lang w:val="fr-CH"/>
        </w:rPr>
        <w:t>nt</w:t>
      </w:r>
      <w:r w:rsidR="00C6259C" w:rsidRPr="00C6259C">
        <w:rPr>
          <w:lang w:val="fr-CH"/>
        </w:rPr>
        <w:t xml:space="preserve"> </w:t>
      </w:r>
      <w:r w:rsidR="00C6259C">
        <w:rPr>
          <w:lang w:val="fr-CH"/>
        </w:rPr>
        <w:t>un sens de transmission</w:t>
      </w:r>
      <w:r w:rsidR="00107FBE">
        <w:rPr>
          <w:lang w:val="fr-CH"/>
        </w:rPr>
        <w:t xml:space="preserve"> </w:t>
      </w:r>
      <w:r w:rsidR="007E691F" w:rsidRPr="00C6259C">
        <w:rPr>
          <w:rFonts w:eastAsia="Calibri"/>
          <w:lang w:val="fr-CH"/>
        </w:rPr>
        <w:t>espace vers Terre</w:t>
      </w:r>
      <w:r w:rsidRPr="00C6259C">
        <w:rPr>
          <w:rFonts w:eastAsia="Calibri"/>
          <w:lang w:val="fr-CH"/>
        </w:rPr>
        <w:t xml:space="preserve"> o</w:t>
      </w:r>
      <w:r w:rsidR="00C6259C">
        <w:rPr>
          <w:rFonts w:eastAsia="Calibri"/>
          <w:lang w:val="fr-CH"/>
        </w:rPr>
        <w:t xml:space="preserve">u </w:t>
      </w:r>
      <w:r w:rsidR="007E691F" w:rsidRPr="00C6259C">
        <w:rPr>
          <w:rFonts w:eastAsia="Calibri"/>
          <w:lang w:val="fr-CH"/>
        </w:rPr>
        <w:t>Terre vers espace</w:t>
      </w:r>
      <w:r w:rsidR="00AA5D85">
        <w:rPr>
          <w:rFonts w:eastAsia="Calibri"/>
          <w:lang w:val="fr-CH"/>
        </w:rPr>
        <w:t>;</w:t>
      </w:r>
    </w:p>
    <w:p w14:paraId="410AFFD6" w14:textId="37992E6E" w:rsidR="00D27578" w:rsidRPr="00C652A4" w:rsidRDefault="00D27578" w:rsidP="00AA5D85">
      <w:pPr>
        <w:rPr>
          <w:rStyle w:val="CommentReference"/>
          <w:szCs w:val="24"/>
          <w:lang w:val="fr-CH"/>
        </w:rPr>
      </w:pPr>
      <w:r w:rsidRPr="00C652A4">
        <w:rPr>
          <w:rFonts w:eastAsia="Calibri"/>
          <w:i/>
          <w:iCs/>
          <w:lang w:val="fr-CH"/>
        </w:rPr>
        <w:t>e)</w:t>
      </w:r>
      <w:r w:rsidRPr="00C652A4">
        <w:rPr>
          <w:rFonts w:eastAsia="Calibri"/>
          <w:lang w:val="fr-CH"/>
        </w:rPr>
        <w:tab/>
      </w:r>
      <w:r w:rsidR="00C6259C" w:rsidRPr="00C652A4">
        <w:rPr>
          <w:rFonts w:eastAsia="Calibri"/>
          <w:lang w:val="fr-CH"/>
        </w:rPr>
        <w:t>qu</w:t>
      </w:r>
      <w:r w:rsidR="00107FBE">
        <w:rPr>
          <w:rFonts w:eastAsia="Calibri"/>
          <w:lang w:val="fr-CH"/>
        </w:rPr>
        <w:t>'</w:t>
      </w:r>
      <w:r w:rsidR="00C6259C" w:rsidRPr="00C652A4">
        <w:rPr>
          <w:rFonts w:eastAsia="Calibri"/>
          <w:lang w:val="fr-CH"/>
        </w:rPr>
        <w:t xml:space="preserve">il est techniquement possible, pour une station </w:t>
      </w:r>
      <w:r w:rsidR="00700561">
        <w:rPr>
          <w:rFonts w:eastAsia="Calibri"/>
          <w:lang w:val="fr-CH"/>
        </w:rPr>
        <w:t xml:space="preserve">spatiale </w:t>
      </w:r>
      <w:r w:rsidR="00C652A4" w:rsidRPr="00C652A4">
        <w:rPr>
          <w:rFonts w:eastAsia="Calibri"/>
          <w:lang w:val="fr-CH"/>
        </w:rPr>
        <w:t>non OSG à une altitude orbitale inférieure</w:t>
      </w:r>
      <w:r w:rsidR="00C652A4">
        <w:rPr>
          <w:rFonts w:eastAsia="Calibri"/>
          <w:lang w:val="fr-CH"/>
        </w:rPr>
        <w:t>,</w:t>
      </w:r>
      <w:r w:rsidR="00C652A4" w:rsidRPr="00C652A4">
        <w:rPr>
          <w:rFonts w:eastAsia="Calibri"/>
          <w:lang w:val="fr-CH"/>
        </w:rPr>
        <w:t xml:space="preserve"> de</w:t>
      </w:r>
      <w:r w:rsidR="00107FBE">
        <w:rPr>
          <w:rFonts w:eastAsia="Calibri"/>
          <w:lang w:val="fr-CH"/>
        </w:rPr>
        <w:t xml:space="preserve"> </w:t>
      </w:r>
      <w:r w:rsidR="00C652A4" w:rsidRPr="00C652A4">
        <w:rPr>
          <w:rFonts w:eastAsia="Calibri"/>
          <w:lang w:val="fr-CH"/>
        </w:rPr>
        <w:t xml:space="preserve">transmettre </w:t>
      </w:r>
      <w:r w:rsidR="00C652A4">
        <w:rPr>
          <w:rFonts w:eastAsia="Calibri"/>
          <w:lang w:val="fr-CH"/>
        </w:rPr>
        <w:t xml:space="preserve">et </w:t>
      </w:r>
      <w:r w:rsidR="00C652A4" w:rsidRPr="00C652A4">
        <w:rPr>
          <w:rFonts w:eastAsia="Calibri"/>
          <w:lang w:val="fr-CH"/>
        </w:rPr>
        <w:t xml:space="preserve">de recevoir des données </w:t>
      </w:r>
      <w:r w:rsidR="00C652A4">
        <w:rPr>
          <w:rFonts w:eastAsia="Calibri"/>
          <w:lang w:val="fr-CH"/>
        </w:rPr>
        <w:t>depuis un satellite</w:t>
      </w:r>
      <w:r w:rsidR="00107FBE">
        <w:rPr>
          <w:rFonts w:eastAsia="Calibri"/>
          <w:lang w:val="fr-CH"/>
        </w:rPr>
        <w:t xml:space="preserve"> </w:t>
      </w:r>
      <w:r w:rsidR="00C652A4">
        <w:rPr>
          <w:rFonts w:eastAsia="Calibri"/>
          <w:lang w:val="fr-CH"/>
        </w:rPr>
        <w:t>non OSG ou OSG situé à une altitude</w:t>
      </w:r>
      <w:r w:rsidR="00107FBE">
        <w:rPr>
          <w:rFonts w:eastAsia="Calibri"/>
          <w:lang w:val="fr-CH"/>
        </w:rPr>
        <w:t xml:space="preserve"> </w:t>
      </w:r>
      <w:r w:rsidR="00C652A4">
        <w:rPr>
          <w:rFonts w:eastAsia="Calibri"/>
          <w:lang w:val="fr-CH"/>
        </w:rPr>
        <w:t>orbitale plus élevée</w:t>
      </w:r>
      <w:r w:rsidR="00AA57E1">
        <w:rPr>
          <w:rFonts w:eastAsia="Calibri"/>
          <w:lang w:val="fr-CH"/>
        </w:rPr>
        <w:t>,</w:t>
      </w:r>
      <w:r w:rsidR="00C652A4">
        <w:rPr>
          <w:rFonts w:eastAsia="Calibri"/>
          <w:lang w:val="fr-CH"/>
        </w:rPr>
        <w:t xml:space="preserve"> lorsqu</w:t>
      </w:r>
      <w:r w:rsidR="00107FBE">
        <w:rPr>
          <w:rFonts w:eastAsia="Calibri"/>
          <w:lang w:val="fr-CH"/>
        </w:rPr>
        <w:t>'</w:t>
      </w:r>
      <w:r w:rsidR="00C652A4">
        <w:rPr>
          <w:rFonts w:eastAsia="Calibri"/>
          <w:lang w:val="fr-CH"/>
        </w:rPr>
        <w:t>elle passe par le faisceau de couverture de l</w:t>
      </w:r>
      <w:r w:rsidR="00107FBE">
        <w:rPr>
          <w:rFonts w:eastAsia="Calibri"/>
          <w:lang w:val="fr-CH"/>
        </w:rPr>
        <w:t>'</w:t>
      </w:r>
      <w:r w:rsidR="00C652A4">
        <w:rPr>
          <w:rFonts w:eastAsia="Calibri"/>
          <w:lang w:val="fr-CH"/>
        </w:rPr>
        <w:t>antenne du satellite dirigé vers la Terre</w:t>
      </w:r>
      <w:r w:rsidR="00AA5D85">
        <w:rPr>
          <w:rFonts w:eastAsia="Calibri"/>
          <w:lang w:val="fr-CH"/>
        </w:rPr>
        <w:t>,</w:t>
      </w:r>
    </w:p>
    <w:p w14:paraId="5E059240" w14:textId="468492F1" w:rsidR="00D27578" w:rsidRPr="00AA5D85" w:rsidRDefault="00C652A4" w:rsidP="00AA5D85">
      <w:pPr>
        <w:pStyle w:val="Call"/>
      </w:pPr>
      <w:r w:rsidRPr="00AA5D85">
        <w:t>reconnaissant en outre</w:t>
      </w:r>
    </w:p>
    <w:p w14:paraId="16C89577" w14:textId="6166D154" w:rsidR="00D27578" w:rsidRPr="00C652A4" w:rsidRDefault="00D27578" w:rsidP="00AA5D85">
      <w:pPr>
        <w:rPr>
          <w:lang w:val="fr-CH"/>
        </w:rPr>
      </w:pPr>
      <w:r w:rsidRPr="00C652A4">
        <w:rPr>
          <w:i/>
          <w:lang w:val="fr-CH"/>
        </w:rPr>
        <w:t>a)</w:t>
      </w:r>
      <w:r w:rsidRPr="00C652A4">
        <w:rPr>
          <w:lang w:val="fr-CH"/>
        </w:rPr>
        <w:tab/>
      </w:r>
      <w:r w:rsidR="00C652A4" w:rsidRPr="00C652A4">
        <w:rPr>
          <w:lang w:val="fr-CH"/>
        </w:rPr>
        <w:t>qu</w:t>
      </w:r>
      <w:r w:rsidR="00107FBE">
        <w:rPr>
          <w:lang w:val="fr-CH"/>
        </w:rPr>
        <w:t>'</w:t>
      </w:r>
      <w:r w:rsidR="00C652A4" w:rsidRPr="00C652A4">
        <w:rPr>
          <w:lang w:val="fr-CH"/>
        </w:rPr>
        <w:t>il est nécessaire d</w:t>
      </w:r>
      <w:r w:rsidR="00107FBE">
        <w:rPr>
          <w:lang w:val="fr-CH"/>
        </w:rPr>
        <w:t>'</w:t>
      </w:r>
      <w:r w:rsidR="00C652A4" w:rsidRPr="00C652A4">
        <w:rPr>
          <w:lang w:val="fr-CH"/>
        </w:rPr>
        <w:t>étudier si les transmissions dans le sens espace</w:t>
      </w:r>
      <w:r w:rsidR="00107FBE">
        <w:rPr>
          <w:lang w:val="fr-CH"/>
        </w:rPr>
        <w:t xml:space="preserve"> </w:t>
      </w:r>
      <w:r w:rsidR="00C652A4" w:rsidRPr="00C652A4">
        <w:rPr>
          <w:lang w:val="fr-CH"/>
        </w:rPr>
        <w:t>vers Terre depuis des stations spatiales à des altitudes orbitales plus élevées, y compris les satellites OSG, peuvent être reçu</w:t>
      </w:r>
      <w:r w:rsidR="00C652A4">
        <w:rPr>
          <w:lang w:val="fr-CH"/>
        </w:rPr>
        <w:t>es</w:t>
      </w:r>
      <w:r w:rsidR="00C652A4" w:rsidRPr="00C652A4">
        <w:rPr>
          <w:lang w:val="fr-CH"/>
        </w:rPr>
        <w:t xml:space="preserve"> par des satellites non OSG </w:t>
      </w:r>
      <w:r w:rsidR="00C652A4">
        <w:rPr>
          <w:lang w:val="fr-CH"/>
        </w:rPr>
        <w:t xml:space="preserve">à </w:t>
      </w:r>
      <w:r w:rsidR="00C652A4" w:rsidRPr="00C652A4">
        <w:rPr>
          <w:lang w:val="fr-CH"/>
        </w:rPr>
        <w:t>des altitudes orbitales</w:t>
      </w:r>
      <w:r w:rsidR="00C652A4">
        <w:rPr>
          <w:lang w:val="fr-CH"/>
        </w:rPr>
        <w:t xml:space="preserve"> inférieures, sans imposer de contraintes additionnelles à tous les services bénéficiant d</w:t>
      </w:r>
      <w:r w:rsidR="00107FBE">
        <w:rPr>
          <w:lang w:val="fr-CH"/>
        </w:rPr>
        <w:t>'</w:t>
      </w:r>
      <w:r w:rsidR="00C652A4">
        <w:rPr>
          <w:lang w:val="fr-CH"/>
        </w:rPr>
        <w:t>attributions qui sont exploités dans les mêmes bandes</w:t>
      </w:r>
      <w:r w:rsidR="00AA5D85">
        <w:rPr>
          <w:lang w:val="fr-CH"/>
        </w:rPr>
        <w:t>;</w:t>
      </w:r>
    </w:p>
    <w:p w14:paraId="6EE9F33F" w14:textId="398A6C09" w:rsidR="00D27578" w:rsidRPr="00316E7F" w:rsidRDefault="00D27578" w:rsidP="00AA5D85">
      <w:pPr>
        <w:rPr>
          <w:lang w:val="fr-CH"/>
        </w:rPr>
      </w:pPr>
      <w:r w:rsidRPr="00316E7F">
        <w:rPr>
          <w:i/>
          <w:lang w:val="fr-CH"/>
        </w:rPr>
        <w:t>b)</w:t>
      </w:r>
      <w:r w:rsidRPr="00316E7F">
        <w:rPr>
          <w:lang w:val="fr-CH"/>
        </w:rPr>
        <w:tab/>
      </w:r>
      <w:r w:rsidR="00C652A4" w:rsidRPr="00316E7F">
        <w:rPr>
          <w:lang w:val="fr-CH"/>
        </w:rPr>
        <w:t>qu</w:t>
      </w:r>
      <w:r w:rsidR="00107FBE">
        <w:rPr>
          <w:lang w:val="fr-CH"/>
        </w:rPr>
        <w:t>'</w:t>
      </w:r>
      <w:r w:rsidR="00C652A4" w:rsidRPr="00316E7F">
        <w:rPr>
          <w:lang w:val="fr-CH"/>
        </w:rPr>
        <w:t>il est probable que le scénario de partage</w:t>
      </w:r>
      <w:r w:rsidR="00316E7F" w:rsidRPr="00316E7F">
        <w:rPr>
          <w:lang w:val="fr-CH"/>
        </w:rPr>
        <w:t xml:space="preserve"> diff</w:t>
      </w:r>
      <w:r w:rsidR="00AA57E1">
        <w:rPr>
          <w:lang w:val="fr-CH"/>
        </w:rPr>
        <w:t>é</w:t>
      </w:r>
      <w:r w:rsidR="00316E7F" w:rsidRPr="00316E7F">
        <w:rPr>
          <w:lang w:val="fr-CH"/>
        </w:rPr>
        <w:t>re</w:t>
      </w:r>
      <w:r w:rsidR="00AA57E1">
        <w:rPr>
          <w:lang w:val="fr-CH"/>
        </w:rPr>
        <w:t>ra</w:t>
      </w:r>
      <w:r w:rsidR="00316E7F" w:rsidRPr="00316E7F">
        <w:rPr>
          <w:lang w:val="fr-CH"/>
        </w:rPr>
        <w:t xml:space="preserve"> en fonction de la variation des</w:t>
      </w:r>
      <w:r w:rsidR="00316E7F">
        <w:rPr>
          <w:lang w:val="fr-CH"/>
        </w:rPr>
        <w:t xml:space="preserve"> caractéristiques </w:t>
      </w:r>
      <w:r w:rsidR="00316E7F" w:rsidRPr="00316E7F">
        <w:rPr>
          <w:lang w:val="fr-CH"/>
        </w:rPr>
        <w:t>orbitales des satellites non OSG</w:t>
      </w:r>
      <w:r w:rsidR="00AA5D85">
        <w:rPr>
          <w:lang w:val="fr-CH"/>
        </w:rPr>
        <w:t>;</w:t>
      </w:r>
    </w:p>
    <w:p w14:paraId="3C98CC71" w14:textId="0E5F5B08" w:rsidR="00D27578" w:rsidRDefault="00D27578" w:rsidP="00AA5D85">
      <w:pPr>
        <w:rPr>
          <w:lang w:val="fr-CH"/>
        </w:rPr>
      </w:pPr>
      <w:r w:rsidRPr="00822130">
        <w:rPr>
          <w:i/>
          <w:iCs/>
          <w:lang w:val="fr-CH"/>
        </w:rPr>
        <w:t>c)</w:t>
      </w:r>
      <w:r w:rsidRPr="00822130">
        <w:rPr>
          <w:i/>
          <w:iCs/>
          <w:lang w:val="fr-CH"/>
        </w:rPr>
        <w:tab/>
      </w:r>
      <w:r w:rsidRPr="00D27578">
        <w:rPr>
          <w:lang w:val="fr-CH"/>
        </w:rPr>
        <w:t>qu'il est nécessaire de protéger les services existants</w:t>
      </w:r>
      <w:r w:rsidR="00107FBE">
        <w:rPr>
          <w:lang w:val="fr-CH"/>
        </w:rPr>
        <w:t xml:space="preserve"> </w:t>
      </w:r>
      <w:r w:rsidRPr="00D27578">
        <w:rPr>
          <w:lang w:val="fr-CH"/>
        </w:rPr>
        <w:t>lorsqu'on examine des bandes de fréquences en vue de faire d'éventuelles attributions à un service;</w:t>
      </w:r>
    </w:p>
    <w:p w14:paraId="1F39152D" w14:textId="09F579BB" w:rsidR="00D27578" w:rsidRPr="0099507B" w:rsidRDefault="00D27578" w:rsidP="00AA5D85">
      <w:pPr>
        <w:rPr>
          <w:lang w:val="fr-CH"/>
        </w:rPr>
      </w:pPr>
      <w:r w:rsidRPr="0099507B">
        <w:rPr>
          <w:i/>
          <w:iCs/>
          <w:lang w:val="fr-CH"/>
        </w:rPr>
        <w:t>d)</w:t>
      </w:r>
      <w:r w:rsidRPr="0099507B">
        <w:rPr>
          <w:lang w:val="fr-CH"/>
        </w:rPr>
        <w:tab/>
      </w:r>
      <w:r w:rsidR="0099507B" w:rsidRPr="0099507B">
        <w:rPr>
          <w:lang w:val="fr-CH"/>
        </w:rPr>
        <w:t>qu</w:t>
      </w:r>
      <w:r w:rsidR="00107FBE">
        <w:rPr>
          <w:lang w:val="fr-CH"/>
        </w:rPr>
        <w:t>'</w:t>
      </w:r>
      <w:r w:rsidR="0099507B" w:rsidRPr="0099507B">
        <w:rPr>
          <w:lang w:val="fr-CH"/>
        </w:rPr>
        <w:t>il existe un précédent de partage de liaisons espace</w:t>
      </w:r>
      <w:r w:rsidR="00A61D76">
        <w:rPr>
          <w:lang w:val="fr-CH"/>
        </w:rPr>
        <w:t>-</w:t>
      </w:r>
      <w:r w:rsidR="0099507B" w:rsidRPr="0099507B">
        <w:rPr>
          <w:lang w:val="fr-CH"/>
        </w:rPr>
        <w:t>espace avec des liaisons</w:t>
      </w:r>
      <w:r w:rsidR="0099507B">
        <w:rPr>
          <w:lang w:val="fr-CH"/>
        </w:rPr>
        <w:t xml:space="preserve"> </w:t>
      </w:r>
      <w:r w:rsidR="007E691F" w:rsidRPr="0099507B">
        <w:rPr>
          <w:lang w:val="fr-CH"/>
        </w:rPr>
        <w:t>Terre vers espace</w:t>
      </w:r>
      <w:r w:rsidRPr="0099507B">
        <w:rPr>
          <w:lang w:val="fr-CH"/>
        </w:rPr>
        <w:t xml:space="preserve"> </w:t>
      </w:r>
      <w:r w:rsidR="0099507B">
        <w:rPr>
          <w:lang w:val="fr-CH"/>
        </w:rPr>
        <w:t>et</w:t>
      </w:r>
      <w:r w:rsidR="00107FBE">
        <w:rPr>
          <w:lang w:val="fr-CH"/>
        </w:rPr>
        <w:t xml:space="preserve"> </w:t>
      </w:r>
      <w:r w:rsidR="007E691F" w:rsidRPr="0099507B">
        <w:rPr>
          <w:lang w:val="fr-CH"/>
        </w:rPr>
        <w:t>espace vers Terre</w:t>
      </w:r>
      <w:r w:rsidRPr="0099507B">
        <w:rPr>
          <w:lang w:val="fr-CH"/>
        </w:rPr>
        <w:t xml:space="preserve"> </w:t>
      </w:r>
      <w:r w:rsidR="0099507B">
        <w:rPr>
          <w:lang w:val="fr-CH"/>
        </w:rPr>
        <w:t>pour les services d</w:t>
      </w:r>
      <w:r w:rsidR="00107FBE">
        <w:rPr>
          <w:lang w:val="fr-CH"/>
        </w:rPr>
        <w:t>'</w:t>
      </w:r>
      <w:r w:rsidR="0099507B">
        <w:rPr>
          <w:lang w:val="fr-CH"/>
        </w:rPr>
        <w:t>exploitation spatiale, d</w:t>
      </w:r>
      <w:r w:rsidR="00107FBE">
        <w:rPr>
          <w:lang w:val="fr-CH"/>
        </w:rPr>
        <w:t>'</w:t>
      </w:r>
      <w:r w:rsidR="0099507B">
        <w:rPr>
          <w:lang w:val="fr-CH"/>
        </w:rPr>
        <w:t>exploration de la Terre par satellite et de recherche spatiale dans les bandes de fréquences</w:t>
      </w:r>
      <w:r w:rsidR="00107FBE">
        <w:rPr>
          <w:lang w:val="fr-CH"/>
        </w:rPr>
        <w:t xml:space="preserve"> </w:t>
      </w:r>
      <w:r w:rsidRPr="0099507B">
        <w:rPr>
          <w:lang w:val="fr-CH"/>
        </w:rPr>
        <w:t>2 025-2</w:t>
      </w:r>
      <w:r w:rsidR="00AA57E1">
        <w:rPr>
          <w:lang w:val="fr-CH"/>
        </w:rPr>
        <w:t> </w:t>
      </w:r>
      <w:r w:rsidRPr="0099507B">
        <w:rPr>
          <w:lang w:val="fr-CH"/>
        </w:rPr>
        <w:t>110 MHz</w:t>
      </w:r>
      <w:r w:rsidR="0099507B">
        <w:rPr>
          <w:lang w:val="fr-CH"/>
        </w:rPr>
        <w:t xml:space="preserve"> et</w:t>
      </w:r>
      <w:r w:rsidR="00107FBE">
        <w:rPr>
          <w:lang w:val="fr-CH"/>
        </w:rPr>
        <w:t xml:space="preserve"> </w:t>
      </w:r>
      <w:r w:rsidRPr="0099507B">
        <w:rPr>
          <w:lang w:val="fr-CH"/>
        </w:rPr>
        <w:t>2</w:t>
      </w:r>
      <w:r w:rsidR="00AA57E1">
        <w:rPr>
          <w:lang w:val="fr-CH"/>
        </w:rPr>
        <w:t> </w:t>
      </w:r>
      <w:r w:rsidRPr="0099507B">
        <w:rPr>
          <w:lang w:val="fr-CH"/>
        </w:rPr>
        <w:t>200</w:t>
      </w:r>
      <w:r w:rsidR="00A61D76">
        <w:rPr>
          <w:lang w:val="fr-CH"/>
        </w:rPr>
        <w:noBreakHyphen/>
      </w:r>
      <w:r w:rsidRPr="00AA57E1">
        <w:t>2</w:t>
      </w:r>
      <w:r w:rsidR="00AA57E1">
        <w:t> </w:t>
      </w:r>
      <w:r w:rsidRPr="00AA57E1">
        <w:t>290</w:t>
      </w:r>
      <w:r w:rsidR="00AA57E1">
        <w:rPr>
          <w:lang w:val="fr-CH"/>
        </w:rPr>
        <w:t> </w:t>
      </w:r>
      <w:r w:rsidRPr="0099507B">
        <w:rPr>
          <w:lang w:val="fr-CH"/>
        </w:rPr>
        <w:t>MHz</w:t>
      </w:r>
      <w:r w:rsidR="0099507B">
        <w:rPr>
          <w:lang w:val="fr-CH"/>
        </w:rPr>
        <w:t xml:space="preserve">, </w:t>
      </w:r>
      <w:r w:rsidR="00AA57E1">
        <w:rPr>
          <w:lang w:val="fr-CH"/>
        </w:rPr>
        <w:t xml:space="preserve">partage </w:t>
      </w:r>
      <w:r w:rsidR="0099507B">
        <w:rPr>
          <w:lang w:val="fr-CH"/>
        </w:rPr>
        <w:t>qui a été rendu possible par l</w:t>
      </w:r>
      <w:r w:rsidR="00107FBE">
        <w:rPr>
          <w:lang w:val="fr-CH"/>
        </w:rPr>
        <w:t>'</w:t>
      </w:r>
      <w:r w:rsidR="0099507B">
        <w:rPr>
          <w:lang w:val="fr-CH"/>
        </w:rPr>
        <w:t>adjonction d</w:t>
      </w:r>
      <w:r w:rsidR="00107FBE">
        <w:rPr>
          <w:lang w:val="fr-CH"/>
        </w:rPr>
        <w:t>'</w:t>
      </w:r>
      <w:r w:rsidR="0099507B">
        <w:rPr>
          <w:lang w:val="fr-CH"/>
        </w:rPr>
        <w:t>une attribution dans le sens</w:t>
      </w:r>
      <w:r w:rsidR="0099507B" w:rsidRPr="0099507B">
        <w:rPr>
          <w:lang w:val="fr-CH"/>
        </w:rPr>
        <w:t xml:space="preserve"> </w:t>
      </w:r>
      <w:r w:rsidR="00AA57E1">
        <w:rPr>
          <w:lang w:val="fr-CH"/>
        </w:rPr>
        <w:t>espace</w:t>
      </w:r>
      <w:r w:rsidR="00A61D76">
        <w:rPr>
          <w:lang w:val="fr-CH"/>
        </w:rPr>
        <w:t>-</w:t>
      </w:r>
      <w:r w:rsidR="00AA57E1">
        <w:rPr>
          <w:lang w:val="fr-CH"/>
        </w:rPr>
        <w:t>espace</w:t>
      </w:r>
      <w:r w:rsidR="00AA5D85">
        <w:rPr>
          <w:lang w:val="fr-CH"/>
        </w:rPr>
        <w:t>;</w:t>
      </w:r>
    </w:p>
    <w:p w14:paraId="58EF88A9" w14:textId="08D787B8" w:rsidR="00D27578" w:rsidRDefault="00D27578" w:rsidP="00AA5D85">
      <w:pPr>
        <w:rPr>
          <w:lang w:val="fr-CH"/>
        </w:rPr>
      </w:pPr>
      <w:r w:rsidRPr="00822130">
        <w:rPr>
          <w:i/>
          <w:iCs/>
          <w:lang w:val="fr-CH"/>
        </w:rPr>
        <w:t>e)</w:t>
      </w:r>
      <w:r w:rsidRPr="00822130">
        <w:rPr>
          <w:i/>
          <w:iCs/>
          <w:lang w:val="fr-CH"/>
        </w:rPr>
        <w:tab/>
      </w:r>
      <w:r w:rsidRPr="00C95EE3">
        <w:rPr>
          <w:lang w:val="fr-CH"/>
        </w:rPr>
        <w:t xml:space="preserve">que les allotissements figurant dans le Plan de l'Appendice </w:t>
      </w:r>
      <w:r w:rsidRPr="00C95EE3">
        <w:rPr>
          <w:b/>
          <w:bCs/>
          <w:lang w:val="fr-CH"/>
        </w:rPr>
        <w:t>30B</w:t>
      </w:r>
      <w:r w:rsidRPr="00C95EE3">
        <w:rPr>
          <w:lang w:val="fr-CH"/>
        </w:rPr>
        <w:t xml:space="preserve">, les assignations figurant dans les Plans et la Liste </w:t>
      </w:r>
      <w:r w:rsidR="00AA57E1">
        <w:rPr>
          <w:lang w:val="fr-CH"/>
        </w:rPr>
        <w:t>assujettie</w:t>
      </w:r>
      <w:r w:rsidR="00A71BF4">
        <w:rPr>
          <w:lang w:val="fr-CH"/>
        </w:rPr>
        <w:t>s</w:t>
      </w:r>
      <w:r w:rsidR="00AA57E1">
        <w:rPr>
          <w:lang w:val="fr-CH"/>
        </w:rPr>
        <w:t xml:space="preserve"> aux</w:t>
      </w:r>
      <w:r w:rsidRPr="00C95EE3">
        <w:rPr>
          <w:lang w:val="fr-CH"/>
        </w:rPr>
        <w:t xml:space="preserve"> Appendices </w:t>
      </w:r>
      <w:r w:rsidRPr="00C95EE3">
        <w:rPr>
          <w:b/>
          <w:bCs/>
          <w:lang w:val="fr-CH"/>
        </w:rPr>
        <w:t>30</w:t>
      </w:r>
      <w:r w:rsidRPr="00C95EE3">
        <w:rPr>
          <w:lang w:val="fr-CH"/>
        </w:rPr>
        <w:t xml:space="preserve"> et </w:t>
      </w:r>
      <w:r w:rsidRPr="00C95EE3">
        <w:rPr>
          <w:b/>
          <w:bCs/>
          <w:lang w:val="fr-CH"/>
        </w:rPr>
        <w:t>30A</w:t>
      </w:r>
      <w:r w:rsidRPr="00C95EE3">
        <w:rPr>
          <w:lang w:val="fr-CH"/>
        </w:rPr>
        <w:t xml:space="preserve"> et les assignations figurant dans la Liste de l'Appendice </w:t>
      </w:r>
      <w:r w:rsidRPr="00C95EE3">
        <w:rPr>
          <w:b/>
          <w:bCs/>
          <w:lang w:val="fr-CH"/>
        </w:rPr>
        <w:t>30B</w:t>
      </w:r>
      <w:r w:rsidRPr="00C95EE3">
        <w:rPr>
          <w:lang w:val="fr-CH"/>
        </w:rPr>
        <w:t xml:space="preserve"> doivent être protégés</w:t>
      </w:r>
      <w:r w:rsidR="00AA5D85">
        <w:rPr>
          <w:lang w:val="fr-CH"/>
        </w:rPr>
        <w:t>;</w:t>
      </w:r>
    </w:p>
    <w:p w14:paraId="4679102E" w14:textId="759DABE9" w:rsidR="00111446" w:rsidRPr="0099507B" w:rsidRDefault="00111446" w:rsidP="00AA5D85">
      <w:pPr>
        <w:rPr>
          <w:lang w:val="fr-CH"/>
        </w:rPr>
      </w:pPr>
      <w:r w:rsidRPr="0099507B">
        <w:rPr>
          <w:rFonts w:eastAsia="Calibri"/>
          <w:bCs/>
          <w:i/>
          <w:iCs/>
          <w:lang w:val="fr-CH"/>
        </w:rPr>
        <w:t>f)</w:t>
      </w:r>
      <w:r w:rsidRPr="0099507B">
        <w:rPr>
          <w:rFonts w:eastAsia="Calibri"/>
          <w:bCs/>
          <w:lang w:val="fr-CH"/>
        </w:rPr>
        <w:tab/>
      </w:r>
      <w:r w:rsidR="0099507B" w:rsidRPr="0099507B">
        <w:rPr>
          <w:rFonts w:eastAsia="Calibri"/>
          <w:bCs/>
          <w:lang w:val="fr-CH"/>
        </w:rPr>
        <w:t>que les émissions</w:t>
      </w:r>
      <w:r w:rsidR="00107FBE">
        <w:rPr>
          <w:rFonts w:eastAsia="Calibri"/>
          <w:bCs/>
          <w:lang w:val="fr-CH"/>
        </w:rPr>
        <w:t xml:space="preserve"> </w:t>
      </w:r>
      <w:r w:rsidR="0099507B" w:rsidRPr="0099507B">
        <w:rPr>
          <w:rFonts w:eastAsia="Calibri"/>
          <w:bCs/>
          <w:lang w:val="fr-CH"/>
        </w:rPr>
        <w:t>hors bande,</w:t>
      </w:r>
      <w:r w:rsidR="00107FBE">
        <w:rPr>
          <w:rFonts w:eastAsia="Calibri"/>
          <w:bCs/>
          <w:lang w:val="fr-CH"/>
        </w:rPr>
        <w:t xml:space="preserve"> </w:t>
      </w:r>
      <w:r w:rsidR="0099507B" w:rsidRPr="0099507B">
        <w:rPr>
          <w:rFonts w:eastAsia="Calibri"/>
          <w:bCs/>
          <w:lang w:val="fr-CH"/>
        </w:rPr>
        <w:t xml:space="preserve">les signaux </w:t>
      </w:r>
      <w:r w:rsidR="0099507B">
        <w:rPr>
          <w:rFonts w:eastAsia="Calibri"/>
          <w:bCs/>
          <w:lang w:val="fr-CH"/>
        </w:rPr>
        <w:t xml:space="preserve">dus aux </w:t>
      </w:r>
      <w:r w:rsidR="0099507B">
        <w:rPr>
          <w:color w:val="000000"/>
        </w:rPr>
        <w:t>lobes latéraux du diagramme d'antenne</w:t>
      </w:r>
      <w:r w:rsidR="00176774">
        <w:rPr>
          <w:color w:val="000000"/>
        </w:rPr>
        <w:t>, les réflexions provenant des stations spatiales de réception</w:t>
      </w:r>
      <w:r w:rsidR="00107FBE">
        <w:rPr>
          <w:lang w:val="fr-CH"/>
        </w:rPr>
        <w:t xml:space="preserve"> </w:t>
      </w:r>
      <w:r w:rsidR="0099507B" w:rsidRPr="0099507B">
        <w:rPr>
          <w:lang w:val="fr-CH"/>
        </w:rPr>
        <w:t>et les rayonnements non intentionnels dans la bande</w:t>
      </w:r>
      <w:r w:rsidR="00107FBE">
        <w:rPr>
          <w:lang w:val="fr-CH"/>
        </w:rPr>
        <w:t xml:space="preserve"> </w:t>
      </w:r>
      <w:r w:rsidRPr="0099507B">
        <w:rPr>
          <w:lang w:val="fr-CH"/>
        </w:rPr>
        <w:t>du</w:t>
      </w:r>
      <w:r w:rsidR="00176774">
        <w:rPr>
          <w:lang w:val="fr-CH"/>
        </w:rPr>
        <w:t>s</w:t>
      </w:r>
      <w:r w:rsidRPr="0099507B">
        <w:rPr>
          <w:lang w:val="fr-CH"/>
        </w:rPr>
        <w:t xml:space="preserve"> </w:t>
      </w:r>
      <w:r w:rsidR="00176774">
        <w:rPr>
          <w:lang w:val="fr-CH"/>
        </w:rPr>
        <w:t xml:space="preserve">au </w:t>
      </w:r>
      <w:r w:rsidR="00176774">
        <w:rPr>
          <w:color w:val="000000"/>
        </w:rPr>
        <w:t xml:space="preserve">décalage Doppler peuvent avoir des incidences sur les services fonctionnant dans la </w:t>
      </w:r>
      <w:r w:rsidR="00A71BF4">
        <w:rPr>
          <w:color w:val="000000"/>
        </w:rPr>
        <w:t xml:space="preserve">même </w:t>
      </w:r>
      <w:r w:rsidR="00176774">
        <w:rPr>
          <w:color w:val="000000"/>
        </w:rPr>
        <w:t>bande et dans les bandes adjacentes</w:t>
      </w:r>
      <w:r w:rsidR="00AA5D85">
        <w:rPr>
          <w:color w:val="000000"/>
        </w:rPr>
        <w:t>;</w:t>
      </w:r>
    </w:p>
    <w:p w14:paraId="5D3B4954" w14:textId="2707684B" w:rsidR="00111446" w:rsidRPr="00815944" w:rsidRDefault="00111446" w:rsidP="00AA5D85">
      <w:pPr>
        <w:rPr>
          <w:lang w:val="fr-CH"/>
        </w:rPr>
      </w:pPr>
      <w:r w:rsidRPr="00815944">
        <w:rPr>
          <w:i/>
          <w:iCs/>
          <w:lang w:val="fr-CH"/>
        </w:rPr>
        <w:t>g)</w:t>
      </w:r>
      <w:r w:rsidRPr="00815944">
        <w:rPr>
          <w:lang w:val="fr-CH"/>
        </w:rPr>
        <w:tab/>
      </w:r>
      <w:r w:rsidR="00815944" w:rsidRPr="00815944">
        <w:rPr>
          <w:lang w:val="fr-CH"/>
        </w:rPr>
        <w:t xml:space="preserve">que le numéro </w:t>
      </w:r>
      <w:r w:rsidRPr="00815944">
        <w:rPr>
          <w:b/>
          <w:lang w:val="fr-CH"/>
        </w:rPr>
        <w:t>22.2</w:t>
      </w:r>
      <w:r w:rsidR="00815944" w:rsidRPr="00815944">
        <w:rPr>
          <w:lang w:val="fr-CH"/>
        </w:rPr>
        <w:t xml:space="preserve"> s</w:t>
      </w:r>
      <w:r w:rsidR="00107FBE">
        <w:rPr>
          <w:lang w:val="fr-CH"/>
        </w:rPr>
        <w:t>'</w:t>
      </w:r>
      <w:r w:rsidR="00815944" w:rsidRPr="00815944">
        <w:rPr>
          <w:lang w:val="fr-CH"/>
        </w:rPr>
        <w:t xml:space="preserve">applique aux bandes de fréquences </w:t>
      </w:r>
      <w:r w:rsidRPr="00815944">
        <w:rPr>
          <w:lang w:val="fr-CH"/>
        </w:rPr>
        <w:t>19</w:t>
      </w:r>
      <w:r w:rsidR="005B24F5">
        <w:rPr>
          <w:lang w:val="fr-CH"/>
        </w:rPr>
        <w:t>,</w:t>
      </w:r>
      <w:r w:rsidRPr="00815944">
        <w:rPr>
          <w:lang w:val="fr-CH"/>
        </w:rPr>
        <w:t>7-20</w:t>
      </w:r>
      <w:r w:rsidR="005B24F5">
        <w:rPr>
          <w:lang w:val="fr-CH"/>
        </w:rPr>
        <w:t>,</w:t>
      </w:r>
      <w:r w:rsidRPr="00815944">
        <w:rPr>
          <w:lang w:val="fr-CH"/>
        </w:rPr>
        <w:t>2 GHz</w:t>
      </w:r>
      <w:r w:rsidR="00107FBE">
        <w:rPr>
          <w:lang w:val="fr-CH"/>
        </w:rPr>
        <w:t xml:space="preserve"> </w:t>
      </w:r>
      <w:r w:rsidR="00815944" w:rsidRPr="00815944">
        <w:rPr>
          <w:lang w:val="fr-CH"/>
        </w:rPr>
        <w:t>et</w:t>
      </w:r>
      <w:r w:rsidRPr="00815944">
        <w:rPr>
          <w:lang w:val="fr-CH"/>
        </w:rPr>
        <w:t xml:space="preserve"> 29</w:t>
      </w:r>
      <w:r w:rsidR="005B24F5">
        <w:rPr>
          <w:lang w:val="fr-CH"/>
        </w:rPr>
        <w:t>,</w:t>
      </w:r>
      <w:r w:rsidRPr="00815944">
        <w:rPr>
          <w:lang w:val="fr-CH"/>
        </w:rPr>
        <w:t>5-30 GHz</w:t>
      </w:r>
      <w:r w:rsidR="00815944" w:rsidRPr="00815944">
        <w:rPr>
          <w:lang w:val="fr-CH"/>
        </w:rPr>
        <w:t>, dans lesquel</w:t>
      </w:r>
      <w:r w:rsidR="00815944">
        <w:rPr>
          <w:lang w:val="fr-CH"/>
        </w:rPr>
        <w:t>le</w:t>
      </w:r>
      <w:r w:rsidR="00815944" w:rsidRPr="00815944">
        <w:rPr>
          <w:lang w:val="fr-CH"/>
        </w:rPr>
        <w:t>s le service mobile par satellite dispose d</w:t>
      </w:r>
      <w:r w:rsidR="00107FBE">
        <w:rPr>
          <w:lang w:val="fr-CH"/>
        </w:rPr>
        <w:t>'</w:t>
      </w:r>
      <w:r w:rsidR="00815944" w:rsidRPr="00815944">
        <w:rPr>
          <w:lang w:val="fr-CH"/>
        </w:rPr>
        <w:t>une attribution à titre primaire avec égalité des droits dans la</w:t>
      </w:r>
      <w:r w:rsidR="00107FBE">
        <w:rPr>
          <w:lang w:val="fr-CH"/>
        </w:rPr>
        <w:t xml:space="preserve"> </w:t>
      </w:r>
      <w:r w:rsidR="00822130" w:rsidRPr="00815944">
        <w:rPr>
          <w:lang w:val="fr-CH"/>
        </w:rPr>
        <w:t>Région</w:t>
      </w:r>
      <w:r w:rsidR="00107FBE">
        <w:rPr>
          <w:lang w:val="fr-CH"/>
        </w:rPr>
        <w:t xml:space="preserve"> </w:t>
      </w:r>
      <w:r w:rsidRPr="00815944">
        <w:rPr>
          <w:lang w:val="fr-CH"/>
        </w:rPr>
        <w:t>2</w:t>
      </w:r>
      <w:r w:rsidR="00A71BF4">
        <w:rPr>
          <w:lang w:val="fr-CH"/>
        </w:rPr>
        <w:t xml:space="preserve">, </w:t>
      </w:r>
      <w:r w:rsidR="00815944">
        <w:rPr>
          <w:lang w:val="fr-CH"/>
        </w:rPr>
        <w:t xml:space="preserve">ainsi que dans des parties des bandes </w:t>
      </w:r>
      <w:r w:rsidRPr="00815944">
        <w:rPr>
          <w:lang w:val="fr-CH"/>
        </w:rPr>
        <w:t>20</w:t>
      </w:r>
      <w:r w:rsidR="005B24F5">
        <w:rPr>
          <w:lang w:val="fr-CH"/>
        </w:rPr>
        <w:t>,</w:t>
      </w:r>
      <w:r w:rsidRPr="00815944">
        <w:rPr>
          <w:lang w:val="fr-CH"/>
        </w:rPr>
        <w:t>1-20</w:t>
      </w:r>
      <w:r w:rsidR="005B24F5">
        <w:rPr>
          <w:lang w:val="fr-CH"/>
        </w:rPr>
        <w:t>,</w:t>
      </w:r>
      <w:r w:rsidRPr="00815944">
        <w:rPr>
          <w:lang w:val="fr-CH"/>
        </w:rPr>
        <w:t>2 GHz</w:t>
      </w:r>
      <w:r w:rsidR="00107FBE">
        <w:rPr>
          <w:lang w:val="fr-CH"/>
        </w:rPr>
        <w:t xml:space="preserve"> </w:t>
      </w:r>
      <w:r w:rsidR="00815944">
        <w:rPr>
          <w:lang w:val="fr-CH"/>
        </w:rPr>
        <w:t xml:space="preserve">et </w:t>
      </w:r>
      <w:r w:rsidRPr="00815944">
        <w:rPr>
          <w:lang w:val="fr-CH"/>
        </w:rPr>
        <w:t>29</w:t>
      </w:r>
      <w:r w:rsidR="005B24F5">
        <w:rPr>
          <w:lang w:val="fr-CH"/>
        </w:rPr>
        <w:t>,</w:t>
      </w:r>
      <w:r w:rsidRPr="00815944">
        <w:rPr>
          <w:lang w:val="fr-CH"/>
        </w:rPr>
        <w:t xml:space="preserve">9-30 GHz </w:t>
      </w:r>
      <w:r w:rsidR="00815944">
        <w:rPr>
          <w:lang w:val="fr-CH"/>
        </w:rPr>
        <w:t>dans les</w:t>
      </w:r>
      <w:r w:rsidRPr="00815944">
        <w:rPr>
          <w:lang w:val="fr-CH"/>
        </w:rPr>
        <w:t xml:space="preserve"> </w:t>
      </w:r>
      <w:r w:rsidR="00822130" w:rsidRPr="00815944">
        <w:rPr>
          <w:lang w:val="fr-CH"/>
        </w:rPr>
        <w:t>Région</w:t>
      </w:r>
      <w:r w:rsidRPr="00815944">
        <w:rPr>
          <w:lang w:val="fr-CH"/>
        </w:rPr>
        <w:t>s 1</w:t>
      </w:r>
      <w:r w:rsidR="00107FBE">
        <w:rPr>
          <w:lang w:val="fr-CH"/>
        </w:rPr>
        <w:t xml:space="preserve"> </w:t>
      </w:r>
      <w:r w:rsidR="00815944">
        <w:rPr>
          <w:lang w:val="fr-CH"/>
        </w:rPr>
        <w:t>et</w:t>
      </w:r>
      <w:r w:rsidRPr="00815944">
        <w:rPr>
          <w:lang w:val="fr-CH"/>
        </w:rPr>
        <w:t xml:space="preserve"> 3;</w:t>
      </w:r>
    </w:p>
    <w:p w14:paraId="606ADC0C" w14:textId="45030F8B" w:rsidR="00111446" w:rsidRDefault="003342B1" w:rsidP="00AA5D85">
      <w:pPr>
        <w:rPr>
          <w:lang w:val="fr-CH"/>
        </w:rPr>
      </w:pPr>
      <w:r w:rsidRPr="00822130">
        <w:rPr>
          <w:i/>
          <w:iCs/>
          <w:lang w:val="fr-CH"/>
        </w:rPr>
        <w:t>h)</w:t>
      </w:r>
      <w:r w:rsidRPr="00822130">
        <w:rPr>
          <w:i/>
          <w:iCs/>
          <w:lang w:val="fr-CH"/>
        </w:rPr>
        <w:tab/>
      </w:r>
      <w:r w:rsidRPr="003342B1">
        <w:rPr>
          <w:lang w:val="fr-CH"/>
        </w:rPr>
        <w:t xml:space="preserve">que l'utilisation des bandes de fréquences </w:t>
      </w:r>
      <w:r>
        <w:rPr>
          <w:lang w:val="fr-CH"/>
        </w:rPr>
        <w:t>2</w:t>
      </w:r>
      <w:r w:rsidRPr="003342B1">
        <w:rPr>
          <w:lang w:val="fr-CH"/>
        </w:rPr>
        <w:t>7,</w:t>
      </w:r>
      <w:r>
        <w:rPr>
          <w:lang w:val="fr-CH"/>
        </w:rPr>
        <w:t>5</w:t>
      </w:r>
      <w:r w:rsidRPr="003342B1">
        <w:rPr>
          <w:lang w:val="fr-CH"/>
        </w:rPr>
        <w:t>-</w:t>
      </w:r>
      <w:r>
        <w:rPr>
          <w:lang w:val="fr-CH"/>
        </w:rPr>
        <w:t>2</w:t>
      </w:r>
      <w:r w:rsidRPr="003342B1">
        <w:rPr>
          <w:lang w:val="fr-CH"/>
        </w:rPr>
        <w:t>8,6 GHz et 2</w:t>
      </w:r>
      <w:r>
        <w:rPr>
          <w:lang w:val="fr-CH"/>
        </w:rPr>
        <w:t>9</w:t>
      </w:r>
      <w:r w:rsidRPr="003342B1">
        <w:rPr>
          <w:lang w:val="fr-CH"/>
        </w:rPr>
        <w:t>,5-</w:t>
      </w:r>
      <w:r>
        <w:rPr>
          <w:lang w:val="fr-CH"/>
        </w:rPr>
        <w:t xml:space="preserve">30 </w:t>
      </w:r>
      <w:r w:rsidRPr="003342B1">
        <w:rPr>
          <w:lang w:val="fr-CH"/>
        </w:rPr>
        <w:t xml:space="preserve">GHz par les systèmes à satellites non géostationnaires du service fixe par satellite est assujettie à l'application des dispositions des numéros </w:t>
      </w:r>
      <w:r w:rsidRPr="003342B1">
        <w:rPr>
          <w:b/>
          <w:bCs/>
          <w:lang w:val="fr-CH"/>
        </w:rPr>
        <w:t>5.484A</w:t>
      </w:r>
      <w:r w:rsidRPr="003342B1">
        <w:rPr>
          <w:lang w:val="fr-CH"/>
        </w:rPr>
        <w:t xml:space="preserve">, </w:t>
      </w:r>
      <w:r w:rsidRPr="003342B1">
        <w:rPr>
          <w:b/>
          <w:bCs/>
          <w:lang w:val="fr-CH"/>
        </w:rPr>
        <w:t xml:space="preserve">22.5C </w:t>
      </w:r>
      <w:r w:rsidRPr="003342B1">
        <w:rPr>
          <w:lang w:val="fr-CH"/>
        </w:rPr>
        <w:t xml:space="preserve">et </w:t>
      </w:r>
      <w:r w:rsidRPr="003342B1">
        <w:rPr>
          <w:b/>
          <w:bCs/>
          <w:lang w:val="fr-CH"/>
        </w:rPr>
        <w:t>22.5I</w:t>
      </w:r>
      <w:r w:rsidRPr="003342B1">
        <w:rPr>
          <w:lang w:val="fr-CH"/>
        </w:rPr>
        <w:t>;</w:t>
      </w:r>
    </w:p>
    <w:p w14:paraId="217830D9" w14:textId="27755552" w:rsidR="00952BF6" w:rsidRDefault="00952BF6" w:rsidP="00AA5D85">
      <w:pPr>
        <w:rPr>
          <w:lang w:val="fr-CH"/>
        </w:rPr>
      </w:pPr>
      <w:r w:rsidRPr="00822130">
        <w:rPr>
          <w:i/>
          <w:iCs/>
          <w:lang w:val="fr-CH"/>
        </w:rPr>
        <w:t>i)</w:t>
      </w:r>
      <w:r w:rsidRPr="00822130">
        <w:rPr>
          <w:i/>
          <w:iCs/>
          <w:lang w:val="fr-CH"/>
        </w:rPr>
        <w:tab/>
      </w:r>
      <w:r w:rsidRPr="00952BF6">
        <w:rPr>
          <w:lang w:val="fr-CH"/>
        </w:rPr>
        <w:t xml:space="preserve">que </w:t>
      </w:r>
      <w:r w:rsidRPr="00952BF6">
        <w:t>l'utilisation de</w:t>
      </w:r>
      <w:r>
        <w:t xml:space="preserve"> la</w:t>
      </w:r>
      <w:r w:rsidRPr="00952BF6">
        <w:t xml:space="preserve"> bande</w:t>
      </w:r>
      <w:r w:rsidRPr="00952BF6">
        <w:rPr>
          <w:lang w:val="fr-CH"/>
        </w:rPr>
        <w:t xml:space="preserve"> de fréquences</w:t>
      </w:r>
      <w:r w:rsidRPr="00952BF6">
        <w:t xml:space="preserve"> </w:t>
      </w:r>
      <w:r>
        <w:t>2</w:t>
      </w:r>
      <w:r w:rsidRPr="00952BF6">
        <w:t>8,</w:t>
      </w:r>
      <w:r>
        <w:t>6-2</w:t>
      </w:r>
      <w:r w:rsidRPr="00952BF6">
        <w:t>9,</w:t>
      </w:r>
      <w:r>
        <w:t>1</w:t>
      </w:r>
      <w:r w:rsidRPr="00952BF6">
        <w:t xml:space="preserve"> GHz par des </w:t>
      </w:r>
      <w:r w:rsidR="00A46D84">
        <w:t>réseaux</w:t>
      </w:r>
      <w:r w:rsidR="00B0606E">
        <w:t xml:space="preserve"> à satellite</w:t>
      </w:r>
      <w:r w:rsidR="00107FBE">
        <w:t xml:space="preserve"> </w:t>
      </w:r>
      <w:r w:rsidR="00A46D84">
        <w:t>géostationnaire</w:t>
      </w:r>
      <w:r w:rsidR="00107FBE">
        <w:t xml:space="preserve"> </w:t>
      </w:r>
      <w:r w:rsidR="00A46D84">
        <w:rPr>
          <w:color w:val="000000"/>
        </w:rPr>
        <w:t xml:space="preserve">et des réseaux </w:t>
      </w:r>
      <w:r w:rsidR="00A46D84">
        <w:t>à satellite</w:t>
      </w:r>
      <w:r w:rsidR="00107FBE">
        <w:t xml:space="preserve"> </w:t>
      </w:r>
      <w:r w:rsidR="00A46D84">
        <w:rPr>
          <w:color w:val="000000"/>
        </w:rPr>
        <w:t>non géostationnaire</w:t>
      </w:r>
      <w:r w:rsidR="00107FBE">
        <w:rPr>
          <w:color w:val="000000"/>
        </w:rPr>
        <w:t xml:space="preserve"> </w:t>
      </w:r>
      <w:r w:rsidRPr="00952BF6">
        <w:t xml:space="preserve">du service fixe par satellite est soumise à l'application des dispositions </w:t>
      </w:r>
      <w:r w:rsidR="00A46D84">
        <w:rPr>
          <w:color w:val="000000"/>
        </w:rPr>
        <w:t xml:space="preserve">du numéro </w:t>
      </w:r>
      <w:r w:rsidR="00A46D84" w:rsidRPr="00A61D76">
        <w:rPr>
          <w:b/>
          <w:bCs/>
          <w:color w:val="000000"/>
        </w:rPr>
        <w:t>9.11A</w:t>
      </w:r>
      <w:r w:rsidR="00A46D84">
        <w:rPr>
          <w:color w:val="000000"/>
        </w:rPr>
        <w:t xml:space="preserve"> et le numéro </w:t>
      </w:r>
      <w:r w:rsidR="00A46D84" w:rsidRPr="00A61D76">
        <w:rPr>
          <w:b/>
          <w:bCs/>
          <w:color w:val="000000"/>
        </w:rPr>
        <w:t>22.2</w:t>
      </w:r>
      <w:r w:rsidR="00A46D84">
        <w:rPr>
          <w:color w:val="000000"/>
        </w:rPr>
        <w:t xml:space="preserve"> ne s'applique pas</w:t>
      </w:r>
      <w:r w:rsidR="00A61D76">
        <w:rPr>
          <w:color w:val="000000"/>
        </w:rPr>
        <w:t xml:space="preserve"> </w:t>
      </w:r>
      <w:r w:rsidR="00A61D76" w:rsidRPr="00EB45AF">
        <w:rPr>
          <w:iCs/>
          <w:lang w:val="fr-CH"/>
        </w:rPr>
        <w:t>(numéro</w:t>
      </w:r>
      <w:r w:rsidR="00A61D76">
        <w:rPr>
          <w:iCs/>
          <w:lang w:val="fr-CH"/>
        </w:rPr>
        <w:t> </w:t>
      </w:r>
      <w:r w:rsidR="00A61D76" w:rsidRPr="00EB45AF">
        <w:rPr>
          <w:b/>
          <w:bCs/>
          <w:iCs/>
          <w:lang w:val="fr-CH"/>
        </w:rPr>
        <w:t>5.5</w:t>
      </w:r>
      <w:r w:rsidR="00A61D76">
        <w:rPr>
          <w:b/>
          <w:bCs/>
          <w:iCs/>
          <w:lang w:val="fr-CH"/>
        </w:rPr>
        <w:t>2</w:t>
      </w:r>
      <w:r w:rsidR="00A61D76" w:rsidRPr="00EB45AF">
        <w:rPr>
          <w:b/>
          <w:bCs/>
          <w:iCs/>
          <w:lang w:val="fr-CH"/>
        </w:rPr>
        <w:t>3A</w:t>
      </w:r>
      <w:r w:rsidR="00A61D76" w:rsidRPr="00EB45AF">
        <w:rPr>
          <w:iCs/>
          <w:lang w:val="fr-CH"/>
        </w:rPr>
        <w:t>)</w:t>
      </w:r>
      <w:r w:rsidR="00AA5D85">
        <w:rPr>
          <w:color w:val="000000"/>
        </w:rPr>
        <w:t>;</w:t>
      </w:r>
    </w:p>
    <w:p w14:paraId="7D18EE56" w14:textId="51E442E8" w:rsidR="00952BF6" w:rsidRPr="00EB45AF" w:rsidRDefault="00120A41" w:rsidP="00AA5D85">
      <w:pPr>
        <w:rPr>
          <w:iCs/>
          <w:lang w:val="fr-CH"/>
        </w:rPr>
      </w:pPr>
      <w:r w:rsidRPr="00120A41">
        <w:rPr>
          <w:i/>
          <w:lang w:val="fr-CH"/>
        </w:rPr>
        <w:t>j)</w:t>
      </w:r>
      <w:r>
        <w:rPr>
          <w:iCs/>
          <w:lang w:val="fr-CH"/>
        </w:rPr>
        <w:tab/>
      </w:r>
      <w:r w:rsidR="00952BF6" w:rsidRPr="00EB45AF">
        <w:rPr>
          <w:iCs/>
          <w:lang w:val="fr-CH"/>
        </w:rPr>
        <w:t xml:space="preserve">que </w:t>
      </w:r>
      <w:r w:rsidR="00952BF6" w:rsidRPr="00EB45AF">
        <w:rPr>
          <w:color w:val="000000"/>
        </w:rPr>
        <w:t>l</w:t>
      </w:r>
      <w:r w:rsidR="00952BF6">
        <w:rPr>
          <w:color w:val="000000"/>
        </w:rPr>
        <w:t>'</w:t>
      </w:r>
      <w:r w:rsidR="00952BF6" w:rsidRPr="00EB45AF">
        <w:rPr>
          <w:color w:val="000000"/>
        </w:rPr>
        <w:t xml:space="preserve">utilisation de la bande </w:t>
      </w:r>
      <w:r w:rsidR="00952BF6">
        <w:rPr>
          <w:lang w:val="fr-CH"/>
        </w:rPr>
        <w:t xml:space="preserve">de fréquences </w:t>
      </w:r>
      <w:r w:rsidR="00A46D84" w:rsidRPr="00B77D68">
        <w:rPr>
          <w:szCs w:val="24"/>
          <w:lang w:val="es-MX"/>
        </w:rPr>
        <w:t xml:space="preserve">29,1-29,5 GHz </w:t>
      </w:r>
      <w:r w:rsidR="00952BF6" w:rsidRPr="00EB45AF">
        <w:rPr>
          <w:color w:val="000000"/>
        </w:rPr>
        <w:t xml:space="preserve">(Terre vers espace) par le service fixe par satellite est limitée aux systèmes à satellites géostationnaires et aux liaisons de connexion des systèmes à satellites non géostationnaires du service mobile par satellite et que </w:t>
      </w:r>
      <w:r w:rsidR="00952BF6">
        <w:rPr>
          <w:color w:val="000000"/>
        </w:rPr>
        <w:t>c</w:t>
      </w:r>
      <w:r w:rsidR="00952BF6" w:rsidRPr="00EB45AF">
        <w:rPr>
          <w:color w:val="000000"/>
        </w:rPr>
        <w:t xml:space="preserve">ette </w:t>
      </w:r>
      <w:r w:rsidR="00952BF6" w:rsidRPr="00EB45AF">
        <w:rPr>
          <w:color w:val="000000"/>
        </w:rPr>
        <w:lastRenderedPageBreak/>
        <w:t xml:space="preserve">utilisation est assujettie </w:t>
      </w:r>
      <w:r w:rsidR="00A71BF4">
        <w:rPr>
          <w:color w:val="000000"/>
        </w:rPr>
        <w:t>à l'application des</w:t>
      </w:r>
      <w:r w:rsidR="00952BF6" w:rsidRPr="00EB45AF">
        <w:rPr>
          <w:color w:val="000000"/>
        </w:rPr>
        <w:t xml:space="preserve"> dispositions du numéro </w:t>
      </w:r>
      <w:r w:rsidR="00952BF6" w:rsidRPr="00605215">
        <w:rPr>
          <w:b/>
          <w:bCs/>
          <w:color w:val="000000"/>
        </w:rPr>
        <w:t>9.11A</w:t>
      </w:r>
      <w:r w:rsidR="00952BF6" w:rsidRPr="00813FF9">
        <w:rPr>
          <w:color w:val="000000"/>
        </w:rPr>
        <w:t>,</w:t>
      </w:r>
      <w:r w:rsidR="00952BF6">
        <w:rPr>
          <w:color w:val="000000"/>
        </w:rPr>
        <w:t xml:space="preserve"> mais pas aux</w:t>
      </w:r>
      <w:r w:rsidR="00952BF6" w:rsidRPr="00EB45AF">
        <w:rPr>
          <w:color w:val="000000"/>
        </w:rPr>
        <w:t xml:space="preserve"> dispositions du numéro</w:t>
      </w:r>
      <w:r w:rsidR="00952BF6">
        <w:rPr>
          <w:color w:val="000000"/>
        </w:rPr>
        <w:t> </w:t>
      </w:r>
      <w:r w:rsidR="00952BF6" w:rsidRPr="00605215">
        <w:rPr>
          <w:b/>
          <w:bCs/>
          <w:color w:val="000000"/>
        </w:rPr>
        <w:t>22.2</w:t>
      </w:r>
      <w:r w:rsidR="00952BF6" w:rsidRPr="00EB45AF">
        <w:rPr>
          <w:color w:val="000000"/>
        </w:rPr>
        <w:t xml:space="preserve">, exception faite de ce qui est indiqué aux numéros </w:t>
      </w:r>
      <w:r w:rsidR="00952BF6" w:rsidRPr="00605215">
        <w:rPr>
          <w:b/>
          <w:bCs/>
          <w:color w:val="000000"/>
        </w:rPr>
        <w:t>5.523C</w:t>
      </w:r>
      <w:r w:rsidR="00952BF6" w:rsidRPr="00EB45AF">
        <w:rPr>
          <w:color w:val="000000"/>
        </w:rPr>
        <w:t xml:space="preserve"> et </w:t>
      </w:r>
      <w:r w:rsidR="00952BF6" w:rsidRPr="00605215">
        <w:rPr>
          <w:b/>
          <w:bCs/>
          <w:color w:val="000000"/>
        </w:rPr>
        <w:t>5.523E</w:t>
      </w:r>
      <w:r w:rsidR="00952BF6" w:rsidRPr="00EB45AF">
        <w:rPr>
          <w:color w:val="000000"/>
        </w:rPr>
        <w:t>, en vertu desquelles cette utilisation n</w:t>
      </w:r>
      <w:r w:rsidR="00952BF6">
        <w:rPr>
          <w:color w:val="000000"/>
        </w:rPr>
        <w:t>'</w:t>
      </w:r>
      <w:r w:rsidR="00952BF6" w:rsidRPr="00EB45AF">
        <w:rPr>
          <w:color w:val="000000"/>
        </w:rPr>
        <w:t xml:space="preserve">est pas assujettie aux dispositions du numéro </w:t>
      </w:r>
      <w:r w:rsidR="00952BF6" w:rsidRPr="00605215">
        <w:rPr>
          <w:b/>
          <w:bCs/>
          <w:color w:val="000000"/>
        </w:rPr>
        <w:t>9.11A</w:t>
      </w:r>
      <w:r w:rsidR="00952BF6" w:rsidRPr="00EB45AF">
        <w:rPr>
          <w:color w:val="000000"/>
        </w:rPr>
        <w:t xml:space="preserve"> et reste soumise à l</w:t>
      </w:r>
      <w:r w:rsidR="00952BF6">
        <w:rPr>
          <w:color w:val="000000"/>
        </w:rPr>
        <w:t>'</w:t>
      </w:r>
      <w:r w:rsidR="00952BF6" w:rsidRPr="00EB45AF">
        <w:rPr>
          <w:color w:val="000000"/>
        </w:rPr>
        <w:t xml:space="preserve">application des procédures prévues aux Articles </w:t>
      </w:r>
      <w:r w:rsidR="00952BF6" w:rsidRPr="00605215">
        <w:rPr>
          <w:b/>
          <w:bCs/>
          <w:color w:val="000000"/>
        </w:rPr>
        <w:t>9</w:t>
      </w:r>
      <w:r w:rsidR="00952BF6" w:rsidRPr="00EB45AF">
        <w:rPr>
          <w:color w:val="000000"/>
        </w:rPr>
        <w:t xml:space="preserve"> (sauf numéro </w:t>
      </w:r>
      <w:r w:rsidR="00952BF6" w:rsidRPr="00605215">
        <w:rPr>
          <w:b/>
          <w:bCs/>
          <w:color w:val="000000"/>
        </w:rPr>
        <w:t>9.11A</w:t>
      </w:r>
      <w:r w:rsidR="00952BF6" w:rsidRPr="00EB45AF">
        <w:rPr>
          <w:color w:val="000000"/>
        </w:rPr>
        <w:t xml:space="preserve">) et </w:t>
      </w:r>
      <w:r w:rsidR="00952BF6" w:rsidRPr="00605215">
        <w:rPr>
          <w:b/>
          <w:bCs/>
          <w:color w:val="000000"/>
        </w:rPr>
        <w:t>11</w:t>
      </w:r>
      <w:r w:rsidR="00952BF6" w:rsidRPr="00EB45AF">
        <w:rPr>
          <w:color w:val="000000"/>
        </w:rPr>
        <w:t>, ainsi qu</w:t>
      </w:r>
      <w:r w:rsidR="00952BF6">
        <w:rPr>
          <w:color w:val="000000"/>
        </w:rPr>
        <w:t>'</w:t>
      </w:r>
      <w:r w:rsidR="00952BF6" w:rsidRPr="00EB45AF">
        <w:rPr>
          <w:color w:val="000000"/>
        </w:rPr>
        <w:t>aux dispositions du numéro</w:t>
      </w:r>
      <w:r w:rsidR="00952BF6">
        <w:rPr>
          <w:color w:val="000000"/>
        </w:rPr>
        <w:t> </w:t>
      </w:r>
      <w:r w:rsidR="00952BF6" w:rsidRPr="00605215">
        <w:rPr>
          <w:b/>
          <w:bCs/>
          <w:color w:val="000000"/>
        </w:rPr>
        <w:t>22.2</w:t>
      </w:r>
      <w:r w:rsidR="00952BF6" w:rsidRPr="00EB45AF">
        <w:rPr>
          <w:iCs/>
          <w:lang w:val="fr-CH"/>
        </w:rPr>
        <w:t xml:space="preserve"> (numéro </w:t>
      </w:r>
      <w:r w:rsidR="00952BF6" w:rsidRPr="00EB45AF">
        <w:rPr>
          <w:b/>
          <w:bCs/>
          <w:iCs/>
          <w:lang w:val="fr-CH"/>
        </w:rPr>
        <w:t>5.535A</w:t>
      </w:r>
      <w:r w:rsidR="00952BF6" w:rsidRPr="00EB45AF">
        <w:rPr>
          <w:iCs/>
          <w:lang w:val="fr-CH"/>
        </w:rPr>
        <w:t>);</w:t>
      </w:r>
    </w:p>
    <w:p w14:paraId="407C4EE1" w14:textId="17FB4E84" w:rsidR="00952BF6" w:rsidRPr="00EB45AF" w:rsidRDefault="00120A41" w:rsidP="00AA5D85">
      <w:pPr>
        <w:rPr>
          <w:iCs/>
          <w:lang w:val="fr-CH"/>
        </w:rPr>
      </w:pPr>
      <w:r>
        <w:rPr>
          <w:i/>
          <w:lang w:val="fr-CH"/>
        </w:rPr>
        <w:t>k</w:t>
      </w:r>
      <w:r w:rsidR="00952BF6" w:rsidRPr="00EB45AF">
        <w:rPr>
          <w:i/>
          <w:lang w:val="fr-CH"/>
        </w:rPr>
        <w:t>)</w:t>
      </w:r>
      <w:r w:rsidR="00952BF6" w:rsidRPr="00EB45AF">
        <w:rPr>
          <w:iCs/>
          <w:lang w:val="fr-CH"/>
        </w:rPr>
        <w:tab/>
        <w:t xml:space="preserve">que </w:t>
      </w:r>
      <w:r w:rsidR="00952BF6" w:rsidRPr="00EB45AF">
        <w:rPr>
          <w:color w:val="000000"/>
        </w:rPr>
        <w:t>la bande</w:t>
      </w:r>
      <w:r w:rsidR="00952BF6" w:rsidRPr="00813FF9">
        <w:rPr>
          <w:lang w:val="fr-CH"/>
        </w:rPr>
        <w:t xml:space="preserve"> </w:t>
      </w:r>
      <w:r w:rsidR="00952BF6">
        <w:rPr>
          <w:lang w:val="fr-CH"/>
        </w:rPr>
        <w:t>de fréquences</w:t>
      </w:r>
      <w:r w:rsidR="00952BF6" w:rsidRPr="00EB45AF">
        <w:rPr>
          <w:color w:val="000000"/>
        </w:rPr>
        <w:t xml:space="preserve"> 27,5-30 GHz peut être utilisée par le service fixe par satellite (Terre vers espace) pour l</w:t>
      </w:r>
      <w:r w:rsidR="00952BF6">
        <w:rPr>
          <w:color w:val="000000"/>
        </w:rPr>
        <w:t>'</w:t>
      </w:r>
      <w:r w:rsidR="00952BF6" w:rsidRPr="00EB45AF">
        <w:rPr>
          <w:color w:val="000000"/>
        </w:rPr>
        <w:t>établissement de liaisons de connexion pour le service de radiodiffusion par satellite</w:t>
      </w:r>
      <w:r w:rsidR="00952BF6">
        <w:rPr>
          <w:color w:val="000000"/>
        </w:rPr>
        <w:t xml:space="preserve"> </w:t>
      </w:r>
      <w:r w:rsidR="00952BF6" w:rsidRPr="00EB45AF">
        <w:rPr>
          <w:iCs/>
          <w:lang w:val="fr-CH"/>
        </w:rPr>
        <w:t xml:space="preserve">(numéro </w:t>
      </w:r>
      <w:r w:rsidR="00952BF6" w:rsidRPr="00EB45AF">
        <w:rPr>
          <w:b/>
          <w:bCs/>
          <w:iCs/>
          <w:lang w:val="fr-CH"/>
        </w:rPr>
        <w:t>5.539</w:t>
      </w:r>
      <w:r w:rsidR="00952BF6" w:rsidRPr="00EB45AF">
        <w:rPr>
          <w:iCs/>
          <w:lang w:val="fr-CH"/>
        </w:rPr>
        <w:t>);</w:t>
      </w:r>
    </w:p>
    <w:p w14:paraId="628400A0" w14:textId="1FC1FEDF" w:rsidR="00952BF6" w:rsidRDefault="00120A41" w:rsidP="00AA5D85">
      <w:pPr>
        <w:rPr>
          <w:iCs/>
          <w:lang w:val="fr-CH"/>
        </w:rPr>
      </w:pPr>
      <w:r>
        <w:rPr>
          <w:i/>
          <w:lang w:val="fr-CH"/>
        </w:rPr>
        <w:t>l</w:t>
      </w:r>
      <w:r w:rsidR="00952BF6" w:rsidRPr="00EB45AF">
        <w:rPr>
          <w:i/>
          <w:lang w:val="fr-CH"/>
        </w:rPr>
        <w:t>)</w:t>
      </w:r>
      <w:r w:rsidR="00952BF6" w:rsidRPr="00EB45AF">
        <w:rPr>
          <w:iCs/>
          <w:lang w:val="fr-CH"/>
        </w:rPr>
        <w:tab/>
        <w:t xml:space="preserve">que </w:t>
      </w:r>
      <w:r w:rsidR="00952BF6" w:rsidRPr="00EB45AF">
        <w:rPr>
          <w:color w:val="000000"/>
        </w:rPr>
        <w:t>les liaisons de connexion des réseaux</w:t>
      </w:r>
      <w:r w:rsidR="00952BF6">
        <w:rPr>
          <w:color w:val="000000"/>
        </w:rPr>
        <w:t xml:space="preserve"> à satellite</w:t>
      </w:r>
      <w:r w:rsidR="00952BF6" w:rsidRPr="00EB45AF">
        <w:rPr>
          <w:color w:val="000000"/>
        </w:rPr>
        <w:t xml:space="preserve"> non géostationnaire du service mobile par satellite et des réseaux</w:t>
      </w:r>
      <w:r w:rsidR="00952BF6">
        <w:rPr>
          <w:color w:val="000000"/>
        </w:rPr>
        <w:t xml:space="preserve"> à satellite géostationnaire</w:t>
      </w:r>
      <w:r w:rsidR="00952BF6" w:rsidRPr="00EB45AF">
        <w:rPr>
          <w:color w:val="000000"/>
        </w:rPr>
        <w:t xml:space="preserve"> du service fixe par satellite, exploitées dans la bande</w:t>
      </w:r>
      <w:r w:rsidR="00952BF6" w:rsidRPr="00813FF9">
        <w:rPr>
          <w:lang w:val="fr-CH"/>
        </w:rPr>
        <w:t xml:space="preserve"> </w:t>
      </w:r>
      <w:r w:rsidR="00952BF6">
        <w:rPr>
          <w:lang w:val="fr-CH"/>
        </w:rPr>
        <w:t>de fréquences</w:t>
      </w:r>
      <w:r w:rsidR="00952BF6" w:rsidRPr="00EB45AF">
        <w:rPr>
          <w:color w:val="000000"/>
        </w:rPr>
        <w:t xml:space="preserve"> 29,1</w:t>
      </w:r>
      <w:r w:rsidR="00952BF6">
        <w:rPr>
          <w:color w:val="000000"/>
        </w:rPr>
        <w:noBreakHyphen/>
      </w:r>
      <w:r w:rsidR="00952BF6" w:rsidRPr="00EB45AF">
        <w:rPr>
          <w:color w:val="000000"/>
        </w:rPr>
        <w:t>29,5 GHz (Terre vers espace), doivent utiliser une commande de puissance adaptative sur la liaison montante ou d</w:t>
      </w:r>
      <w:r w:rsidR="00952BF6">
        <w:rPr>
          <w:color w:val="000000"/>
        </w:rPr>
        <w:t>'</w:t>
      </w:r>
      <w:r w:rsidR="00952BF6" w:rsidRPr="00EB45AF">
        <w:rPr>
          <w:color w:val="000000"/>
        </w:rPr>
        <w:t xml:space="preserve">autres techniques de compensation des évanouissements, de sorte que les stations terriennes émettent au niveau de puissance compatible avec la qualité de fonctionnement voulue tout en réduisant le niveau de brouillage mutuel entre les deux réseaux </w:t>
      </w:r>
      <w:r w:rsidR="00952BF6" w:rsidRPr="00EB45AF">
        <w:rPr>
          <w:iCs/>
          <w:lang w:val="fr-CH"/>
        </w:rPr>
        <w:t xml:space="preserve">(numéro </w:t>
      </w:r>
      <w:r w:rsidR="00952BF6" w:rsidRPr="00EB45AF">
        <w:rPr>
          <w:b/>
          <w:bCs/>
          <w:iCs/>
          <w:lang w:val="fr-CH"/>
        </w:rPr>
        <w:t>5.541A</w:t>
      </w:r>
      <w:r w:rsidR="00952BF6" w:rsidRPr="00EB45AF">
        <w:rPr>
          <w:iCs/>
          <w:lang w:val="fr-CH"/>
        </w:rPr>
        <w:t>);</w:t>
      </w:r>
    </w:p>
    <w:p w14:paraId="705B8527" w14:textId="79767748" w:rsidR="008C6B99" w:rsidRDefault="008C6B99" w:rsidP="00AA5D85">
      <w:pPr>
        <w:rPr>
          <w:iCs/>
          <w:lang w:val="fr-CH"/>
        </w:rPr>
      </w:pPr>
      <w:r w:rsidRPr="008C6B99">
        <w:rPr>
          <w:i/>
          <w:lang w:val="fr-CH"/>
        </w:rPr>
        <w:t>m)</w:t>
      </w:r>
      <w:r w:rsidRPr="008C6B99">
        <w:rPr>
          <w:i/>
          <w:lang w:val="fr-CH"/>
        </w:rPr>
        <w:tab/>
      </w:r>
      <w:r w:rsidRPr="008C6B99">
        <w:rPr>
          <w:iCs/>
          <w:lang w:val="fr-CH"/>
        </w:rPr>
        <w:t>que la bande de fréquences 28,5-29,5 GHz (Terre vers espace) est</w:t>
      </w:r>
      <w:r w:rsidR="00A46D84">
        <w:rPr>
          <w:iCs/>
          <w:lang w:val="fr-CH"/>
        </w:rPr>
        <w:t>, de plus,</w:t>
      </w:r>
      <w:r w:rsidR="00107FBE">
        <w:rPr>
          <w:iCs/>
          <w:lang w:val="fr-CH"/>
        </w:rPr>
        <w:t xml:space="preserve"> </w:t>
      </w:r>
      <w:r w:rsidRPr="008C6B99">
        <w:rPr>
          <w:iCs/>
          <w:lang w:val="fr-CH"/>
        </w:rPr>
        <w:t>attribuée au service d'exploration de la Terre par satellite à titre secondaire et qu'aucune contrainte supplémentaire ne devrait être imposée au SETS;</w:t>
      </w:r>
    </w:p>
    <w:p w14:paraId="6CD7FED4" w14:textId="2FA11992" w:rsidR="00E451AF" w:rsidRPr="00A46D84" w:rsidRDefault="00E451AF" w:rsidP="00AA5D85">
      <w:pPr>
        <w:rPr>
          <w:lang w:val="fr-CH"/>
        </w:rPr>
      </w:pPr>
      <w:r w:rsidRPr="00A46D84">
        <w:rPr>
          <w:i/>
          <w:lang w:val="fr-CH"/>
        </w:rPr>
        <w:t>n)</w:t>
      </w:r>
      <w:r w:rsidRPr="00A46D84">
        <w:rPr>
          <w:i/>
          <w:lang w:val="fr-CH"/>
        </w:rPr>
        <w:tab/>
      </w:r>
      <w:r w:rsidR="00A46D84" w:rsidRPr="00A46D84">
        <w:rPr>
          <w:iCs/>
          <w:lang w:val="fr-CH"/>
        </w:rPr>
        <w:t xml:space="preserve">que la bande de fréquences </w:t>
      </w:r>
      <w:r w:rsidRPr="00A46D84">
        <w:rPr>
          <w:lang w:val="fr-CH"/>
        </w:rPr>
        <w:t>29</w:t>
      </w:r>
      <w:r w:rsidR="005B24F5">
        <w:rPr>
          <w:lang w:val="fr-CH"/>
        </w:rPr>
        <w:t>,</w:t>
      </w:r>
      <w:r w:rsidRPr="00A46D84">
        <w:rPr>
          <w:lang w:val="fr-CH"/>
        </w:rPr>
        <w:t>5-30 GHz (</w:t>
      </w:r>
      <w:r w:rsidR="007E691F" w:rsidRPr="00A46D84">
        <w:rPr>
          <w:lang w:val="fr-CH"/>
        </w:rPr>
        <w:t>Terre vers espace</w:t>
      </w:r>
      <w:r w:rsidRPr="00A46D84">
        <w:rPr>
          <w:lang w:val="fr-CH"/>
        </w:rPr>
        <w:t xml:space="preserve">) </w:t>
      </w:r>
      <w:r w:rsidR="00A46D84" w:rsidRPr="008C6B99">
        <w:rPr>
          <w:iCs/>
          <w:lang w:val="fr-CH"/>
        </w:rPr>
        <w:t>est</w:t>
      </w:r>
      <w:r w:rsidR="00A46D84">
        <w:rPr>
          <w:iCs/>
          <w:lang w:val="fr-CH"/>
        </w:rPr>
        <w:t>, de plus,</w:t>
      </w:r>
      <w:r w:rsidR="00107FBE">
        <w:rPr>
          <w:iCs/>
          <w:lang w:val="fr-CH"/>
        </w:rPr>
        <w:t xml:space="preserve"> </w:t>
      </w:r>
      <w:r w:rsidR="00A46D84" w:rsidRPr="008C6B99">
        <w:rPr>
          <w:iCs/>
          <w:lang w:val="fr-CH"/>
        </w:rPr>
        <w:t xml:space="preserve">attribuée </w:t>
      </w:r>
      <w:r w:rsidR="00A46D84">
        <w:rPr>
          <w:iCs/>
          <w:lang w:val="fr-CH"/>
        </w:rPr>
        <w:t>au</w:t>
      </w:r>
      <w:r w:rsidR="00107FBE">
        <w:rPr>
          <w:iCs/>
          <w:lang w:val="fr-CH"/>
        </w:rPr>
        <w:t xml:space="preserve"> </w:t>
      </w:r>
      <w:r w:rsidR="00A46D84">
        <w:rPr>
          <w:iCs/>
          <w:lang w:val="fr-CH"/>
        </w:rPr>
        <w:t>service</w:t>
      </w:r>
      <w:r w:rsidR="00107FBE">
        <w:rPr>
          <w:iCs/>
          <w:lang w:val="fr-CH"/>
        </w:rPr>
        <w:t xml:space="preserve"> </w:t>
      </w:r>
      <w:r w:rsidR="00A46D84">
        <w:rPr>
          <w:iCs/>
          <w:lang w:val="fr-CH"/>
        </w:rPr>
        <w:t>mobile</w:t>
      </w:r>
      <w:r w:rsidR="00107FBE">
        <w:rPr>
          <w:iCs/>
          <w:lang w:val="fr-CH"/>
        </w:rPr>
        <w:t xml:space="preserve"> </w:t>
      </w:r>
      <w:r w:rsidR="00A46D84">
        <w:rPr>
          <w:iCs/>
          <w:lang w:val="fr-CH"/>
        </w:rPr>
        <w:t>par satellite à titre primaire dans la bande de fréquences</w:t>
      </w:r>
      <w:r w:rsidR="00A46D84">
        <w:rPr>
          <w:lang w:val="fr-CH"/>
        </w:rPr>
        <w:t xml:space="preserve"> </w:t>
      </w:r>
      <w:r w:rsidRPr="00A46D84">
        <w:rPr>
          <w:lang w:val="fr-CH"/>
        </w:rPr>
        <w:t>29</w:t>
      </w:r>
      <w:r w:rsidR="005B24F5">
        <w:rPr>
          <w:lang w:val="fr-CH"/>
        </w:rPr>
        <w:t>,</w:t>
      </w:r>
      <w:r w:rsidRPr="00A46D84">
        <w:rPr>
          <w:lang w:val="fr-CH"/>
        </w:rPr>
        <w:t xml:space="preserve">5-30 GHz </w:t>
      </w:r>
      <w:r w:rsidR="00A46D84">
        <w:rPr>
          <w:lang w:val="fr-CH"/>
        </w:rPr>
        <w:t xml:space="preserve">dans la </w:t>
      </w:r>
      <w:r w:rsidR="00822130" w:rsidRPr="00A46D84">
        <w:rPr>
          <w:lang w:val="fr-CH"/>
        </w:rPr>
        <w:t>Région</w:t>
      </w:r>
      <w:r w:rsidR="005B24F5">
        <w:rPr>
          <w:lang w:val="fr-CH"/>
        </w:rPr>
        <w:t> </w:t>
      </w:r>
      <w:r w:rsidRPr="00A46D84">
        <w:rPr>
          <w:lang w:val="fr-CH"/>
        </w:rPr>
        <w:t xml:space="preserve">2, </w:t>
      </w:r>
      <w:r w:rsidR="004C5060">
        <w:rPr>
          <w:iCs/>
          <w:lang w:val="fr-CH"/>
        </w:rPr>
        <w:t>à titre primaire dans la bande de fréquences</w:t>
      </w:r>
      <w:r w:rsidR="004C5060">
        <w:rPr>
          <w:lang w:val="fr-CH"/>
        </w:rPr>
        <w:t xml:space="preserve"> </w:t>
      </w:r>
      <w:r w:rsidRPr="00A46D84">
        <w:rPr>
          <w:lang w:val="fr-CH"/>
        </w:rPr>
        <w:t>29</w:t>
      </w:r>
      <w:r w:rsidR="005B24F5">
        <w:rPr>
          <w:lang w:val="fr-CH"/>
        </w:rPr>
        <w:t>,</w:t>
      </w:r>
      <w:r w:rsidRPr="00A46D84">
        <w:rPr>
          <w:lang w:val="fr-CH"/>
        </w:rPr>
        <w:t>9-30 GHz</w:t>
      </w:r>
      <w:r w:rsidR="00107FBE">
        <w:rPr>
          <w:lang w:val="fr-CH"/>
        </w:rPr>
        <w:t xml:space="preserve"> </w:t>
      </w:r>
      <w:r w:rsidR="004C5060">
        <w:rPr>
          <w:lang w:val="fr-CH"/>
        </w:rPr>
        <w:t xml:space="preserve">dans les </w:t>
      </w:r>
      <w:r w:rsidR="00822130" w:rsidRPr="00A46D84">
        <w:rPr>
          <w:lang w:val="fr-CH"/>
        </w:rPr>
        <w:t>Régions</w:t>
      </w:r>
      <w:r w:rsidR="00107FBE">
        <w:rPr>
          <w:lang w:val="fr-CH"/>
        </w:rPr>
        <w:t xml:space="preserve"> </w:t>
      </w:r>
      <w:r w:rsidRPr="00A46D84">
        <w:rPr>
          <w:lang w:val="fr-CH"/>
        </w:rPr>
        <w:t xml:space="preserve">1 </w:t>
      </w:r>
      <w:r w:rsidR="004C5060">
        <w:rPr>
          <w:lang w:val="fr-CH"/>
        </w:rPr>
        <w:t>et</w:t>
      </w:r>
      <w:r w:rsidR="00107FBE">
        <w:rPr>
          <w:lang w:val="fr-CH"/>
        </w:rPr>
        <w:t xml:space="preserve"> </w:t>
      </w:r>
      <w:r w:rsidRPr="00A46D84">
        <w:rPr>
          <w:lang w:val="fr-CH"/>
        </w:rPr>
        <w:t xml:space="preserve">3, </w:t>
      </w:r>
      <w:r w:rsidR="004C5060">
        <w:rPr>
          <w:lang w:val="fr-CH"/>
        </w:rPr>
        <w:t xml:space="preserve">et </w:t>
      </w:r>
      <w:r w:rsidR="004C5060" w:rsidRPr="008C6B99">
        <w:rPr>
          <w:iCs/>
          <w:lang w:val="fr-CH"/>
        </w:rPr>
        <w:t xml:space="preserve">à titre secondaire </w:t>
      </w:r>
      <w:r w:rsidR="004C5060">
        <w:rPr>
          <w:iCs/>
          <w:lang w:val="fr-CH"/>
        </w:rPr>
        <w:t>dans la bande de fréquences</w:t>
      </w:r>
      <w:r w:rsidR="004C5060">
        <w:rPr>
          <w:lang w:val="fr-CH"/>
        </w:rPr>
        <w:t xml:space="preserve"> </w:t>
      </w:r>
      <w:r w:rsidR="004C5060" w:rsidRPr="00A46D84">
        <w:rPr>
          <w:lang w:val="fr-CH"/>
        </w:rPr>
        <w:t>29</w:t>
      </w:r>
      <w:r w:rsidR="005B24F5">
        <w:rPr>
          <w:lang w:val="fr-CH"/>
        </w:rPr>
        <w:t>,</w:t>
      </w:r>
      <w:r w:rsidR="004C5060" w:rsidRPr="00A46D84">
        <w:rPr>
          <w:lang w:val="fr-CH"/>
        </w:rPr>
        <w:t>5-29</w:t>
      </w:r>
      <w:r w:rsidR="005B24F5">
        <w:rPr>
          <w:lang w:val="fr-CH"/>
        </w:rPr>
        <w:t>,</w:t>
      </w:r>
      <w:r w:rsidR="004C5060" w:rsidRPr="00A46D84">
        <w:rPr>
          <w:lang w:val="fr-CH"/>
        </w:rPr>
        <w:t>9 GHz</w:t>
      </w:r>
      <w:r w:rsidR="004C5060">
        <w:rPr>
          <w:lang w:val="fr-CH"/>
        </w:rPr>
        <w:t xml:space="preserve"> dans les </w:t>
      </w:r>
      <w:r w:rsidR="004C5060" w:rsidRPr="00A46D84">
        <w:rPr>
          <w:lang w:val="fr-CH"/>
        </w:rPr>
        <w:t>Régions</w:t>
      </w:r>
      <w:r w:rsidRPr="00A46D84">
        <w:rPr>
          <w:lang w:val="fr-CH"/>
        </w:rPr>
        <w:t xml:space="preserve"> 1</w:t>
      </w:r>
      <w:r w:rsidR="00107FBE">
        <w:rPr>
          <w:lang w:val="fr-CH"/>
        </w:rPr>
        <w:t xml:space="preserve"> </w:t>
      </w:r>
      <w:r w:rsidR="004C5060">
        <w:rPr>
          <w:lang w:val="fr-CH"/>
        </w:rPr>
        <w:t xml:space="preserve">et </w:t>
      </w:r>
      <w:r w:rsidRPr="00A46D84">
        <w:rPr>
          <w:lang w:val="fr-CH"/>
        </w:rPr>
        <w:t>3</w:t>
      </w:r>
      <w:r w:rsidR="00AA5D85">
        <w:rPr>
          <w:lang w:val="fr-CH"/>
        </w:rPr>
        <w:t>;</w:t>
      </w:r>
    </w:p>
    <w:p w14:paraId="3557F843" w14:textId="2323D741" w:rsidR="00E451AF" w:rsidRPr="007847D2" w:rsidRDefault="00E451AF" w:rsidP="00AA5D85">
      <w:pPr>
        <w:rPr>
          <w:lang w:val="fr-CH"/>
        </w:rPr>
      </w:pPr>
      <w:r w:rsidRPr="007847D2">
        <w:rPr>
          <w:i/>
          <w:lang w:val="fr-CH"/>
        </w:rPr>
        <w:t>o)</w:t>
      </w:r>
      <w:r w:rsidRPr="007847D2">
        <w:rPr>
          <w:lang w:val="fr-CH"/>
        </w:rPr>
        <w:tab/>
      </w:r>
      <w:r w:rsidR="007847D2" w:rsidRPr="007847D2">
        <w:rPr>
          <w:lang w:val="fr-CH"/>
        </w:rPr>
        <w:t xml:space="preserve">que les bandes de fréquences </w:t>
      </w:r>
      <w:r w:rsidRPr="007847D2">
        <w:rPr>
          <w:lang w:val="fr-CH"/>
        </w:rPr>
        <w:t>47</w:t>
      </w:r>
      <w:r w:rsidR="005B24F5">
        <w:rPr>
          <w:lang w:val="fr-CH"/>
        </w:rPr>
        <w:t>,</w:t>
      </w:r>
      <w:r w:rsidRPr="007847D2">
        <w:rPr>
          <w:lang w:val="fr-CH"/>
        </w:rPr>
        <w:t>2-47</w:t>
      </w:r>
      <w:r w:rsidR="005B24F5">
        <w:rPr>
          <w:lang w:val="fr-CH"/>
        </w:rPr>
        <w:t>,</w:t>
      </w:r>
      <w:r w:rsidRPr="007847D2">
        <w:rPr>
          <w:lang w:val="fr-CH"/>
        </w:rPr>
        <w:t>5</w:t>
      </w:r>
      <w:r w:rsidR="00A61D76">
        <w:rPr>
          <w:lang w:val="fr-CH"/>
        </w:rPr>
        <w:t> GHz</w:t>
      </w:r>
      <w:r w:rsidR="007847D2" w:rsidRPr="007847D2">
        <w:rPr>
          <w:lang w:val="fr-CH"/>
        </w:rPr>
        <w:t xml:space="preserve"> et</w:t>
      </w:r>
      <w:r w:rsidR="00107FBE">
        <w:rPr>
          <w:lang w:val="fr-CH"/>
        </w:rPr>
        <w:t xml:space="preserve"> </w:t>
      </w:r>
      <w:r w:rsidRPr="007847D2">
        <w:rPr>
          <w:lang w:val="fr-CH"/>
        </w:rPr>
        <w:t>47</w:t>
      </w:r>
      <w:r w:rsidR="005B24F5">
        <w:rPr>
          <w:lang w:val="fr-CH"/>
        </w:rPr>
        <w:t>,</w:t>
      </w:r>
      <w:r w:rsidRPr="007847D2">
        <w:rPr>
          <w:lang w:val="fr-CH"/>
        </w:rPr>
        <w:t>9-48</w:t>
      </w:r>
      <w:r w:rsidR="005B24F5">
        <w:rPr>
          <w:lang w:val="fr-CH"/>
        </w:rPr>
        <w:t>,</w:t>
      </w:r>
      <w:r w:rsidRPr="007847D2">
        <w:rPr>
          <w:lang w:val="fr-CH"/>
        </w:rPr>
        <w:t xml:space="preserve">2 GHz </w:t>
      </w:r>
      <w:r w:rsidR="007847D2" w:rsidRPr="007847D2">
        <w:rPr>
          <w:lang w:val="fr-CH"/>
        </w:rPr>
        <w:t>sont attribuées à titre primaire au service fixe</w:t>
      </w:r>
      <w:r w:rsidR="00107FBE">
        <w:rPr>
          <w:lang w:val="fr-CH"/>
        </w:rPr>
        <w:t xml:space="preserve"> </w:t>
      </w:r>
      <w:r w:rsidR="007847D2">
        <w:rPr>
          <w:lang w:val="fr-CH"/>
        </w:rPr>
        <w:t>et sont</w:t>
      </w:r>
      <w:r w:rsidRPr="007847D2">
        <w:rPr>
          <w:lang w:val="fr-CH"/>
        </w:rPr>
        <w:t xml:space="preserve"> </w:t>
      </w:r>
      <w:r w:rsidR="007847D2">
        <w:rPr>
          <w:color w:val="000000"/>
        </w:rPr>
        <w:t>désignées pour être utilisées par les stations placées sur des plates-formes à haute altitude, sous réserve des dispositions de la Résolution</w:t>
      </w:r>
      <w:r w:rsidR="00107FBE">
        <w:rPr>
          <w:lang w:val="fr-CH"/>
        </w:rPr>
        <w:t xml:space="preserve"> </w:t>
      </w:r>
      <w:r w:rsidRPr="007847D2">
        <w:rPr>
          <w:b/>
          <w:lang w:val="fr-CH"/>
        </w:rPr>
        <w:t>122</w:t>
      </w:r>
      <w:r w:rsidRPr="007847D2">
        <w:rPr>
          <w:b/>
          <w:bCs/>
          <w:lang w:val="fr-CH"/>
        </w:rPr>
        <w:t xml:space="preserve"> (</w:t>
      </w:r>
      <w:r w:rsidR="007847D2">
        <w:rPr>
          <w:b/>
          <w:bCs/>
          <w:lang w:val="fr-CH"/>
        </w:rPr>
        <w:t>Rév.</w:t>
      </w:r>
      <w:r w:rsidR="00822130" w:rsidRPr="007847D2">
        <w:rPr>
          <w:b/>
          <w:bCs/>
          <w:lang w:val="fr-CH"/>
        </w:rPr>
        <w:t>CMR</w:t>
      </w:r>
      <w:r w:rsidRPr="007847D2">
        <w:rPr>
          <w:b/>
          <w:bCs/>
          <w:lang w:val="fr-CH"/>
        </w:rPr>
        <w:t>-07)</w:t>
      </w:r>
      <w:r w:rsidRPr="007847D2">
        <w:rPr>
          <w:lang w:val="fr-CH"/>
        </w:rPr>
        <w:t>;</w:t>
      </w:r>
    </w:p>
    <w:p w14:paraId="3C0026A9" w14:textId="6A6E9DD3" w:rsidR="00E451AF" w:rsidRPr="007847D2" w:rsidRDefault="00E451AF" w:rsidP="00AA5D85">
      <w:pPr>
        <w:rPr>
          <w:lang w:val="fr-CH"/>
        </w:rPr>
      </w:pPr>
      <w:r w:rsidRPr="007847D2">
        <w:rPr>
          <w:i/>
          <w:lang w:val="fr-CH"/>
        </w:rPr>
        <w:t>p)</w:t>
      </w:r>
      <w:r w:rsidRPr="007847D2">
        <w:rPr>
          <w:lang w:val="fr-CH"/>
        </w:rPr>
        <w:tab/>
      </w:r>
      <w:r w:rsidR="007847D2" w:rsidRPr="007847D2">
        <w:rPr>
          <w:lang w:val="fr-CH"/>
        </w:rPr>
        <w:t xml:space="preserve">que les bandes de fréquences </w:t>
      </w:r>
      <w:r w:rsidRPr="007847D2">
        <w:rPr>
          <w:lang w:val="fr-CH"/>
        </w:rPr>
        <w:t>47</w:t>
      </w:r>
      <w:r w:rsidR="005B24F5">
        <w:rPr>
          <w:lang w:val="fr-CH"/>
        </w:rPr>
        <w:t>,</w:t>
      </w:r>
      <w:r w:rsidRPr="007847D2">
        <w:rPr>
          <w:lang w:val="fr-CH"/>
        </w:rPr>
        <w:t>2-50</w:t>
      </w:r>
      <w:r w:rsidR="005B24F5">
        <w:rPr>
          <w:lang w:val="fr-CH"/>
        </w:rPr>
        <w:t>,</w:t>
      </w:r>
      <w:r w:rsidRPr="007847D2">
        <w:rPr>
          <w:lang w:val="fr-CH"/>
        </w:rPr>
        <w:t>2 GHz</w:t>
      </w:r>
      <w:r w:rsidR="00107FBE">
        <w:rPr>
          <w:lang w:val="fr-CH"/>
        </w:rPr>
        <w:t xml:space="preserve"> </w:t>
      </w:r>
      <w:r w:rsidR="007847D2" w:rsidRPr="007847D2">
        <w:rPr>
          <w:lang w:val="fr-CH"/>
        </w:rPr>
        <w:t xml:space="preserve">et </w:t>
      </w:r>
      <w:r w:rsidRPr="007847D2">
        <w:rPr>
          <w:lang w:val="fr-CH"/>
        </w:rPr>
        <w:t>50</w:t>
      </w:r>
      <w:r w:rsidR="005B24F5">
        <w:rPr>
          <w:lang w:val="fr-CH"/>
        </w:rPr>
        <w:t>,</w:t>
      </w:r>
      <w:r w:rsidRPr="007847D2">
        <w:rPr>
          <w:lang w:val="fr-CH"/>
        </w:rPr>
        <w:t>4-51</w:t>
      </w:r>
      <w:r w:rsidR="005B24F5">
        <w:rPr>
          <w:lang w:val="fr-CH"/>
        </w:rPr>
        <w:t>,</w:t>
      </w:r>
      <w:r w:rsidRPr="007847D2">
        <w:rPr>
          <w:lang w:val="fr-CH"/>
        </w:rPr>
        <w:t xml:space="preserve">4 GHz </w:t>
      </w:r>
      <w:r w:rsidR="007847D2" w:rsidRPr="007847D2">
        <w:rPr>
          <w:lang w:val="fr-CH"/>
        </w:rPr>
        <w:t>sont</w:t>
      </w:r>
      <w:r w:rsidR="007847D2">
        <w:rPr>
          <w:iCs/>
          <w:lang w:val="fr-CH"/>
        </w:rPr>
        <w:t>, de plus,</w:t>
      </w:r>
      <w:r w:rsidR="00107FBE">
        <w:rPr>
          <w:iCs/>
          <w:lang w:val="fr-CH"/>
        </w:rPr>
        <w:t xml:space="preserve"> </w:t>
      </w:r>
      <w:r w:rsidR="007847D2" w:rsidRPr="007847D2">
        <w:rPr>
          <w:lang w:val="fr-CH"/>
        </w:rPr>
        <w:t xml:space="preserve">attribuées à titre primaire </w:t>
      </w:r>
      <w:r w:rsidR="007847D2">
        <w:rPr>
          <w:lang w:val="fr-CH"/>
        </w:rPr>
        <w:t>au</w:t>
      </w:r>
      <w:r w:rsidR="00A71BF4">
        <w:rPr>
          <w:lang w:val="fr-CH"/>
        </w:rPr>
        <w:t>x</w:t>
      </w:r>
      <w:r w:rsidR="007847D2">
        <w:rPr>
          <w:lang w:val="fr-CH"/>
        </w:rPr>
        <w:t xml:space="preserve"> service</w:t>
      </w:r>
      <w:r w:rsidR="00A71BF4">
        <w:rPr>
          <w:lang w:val="fr-CH"/>
        </w:rPr>
        <w:t>s</w:t>
      </w:r>
      <w:r w:rsidR="007847D2">
        <w:rPr>
          <w:lang w:val="fr-CH"/>
        </w:rPr>
        <w:t xml:space="preserve"> fixe et mobile,</w:t>
      </w:r>
    </w:p>
    <w:p w14:paraId="61B70F0F" w14:textId="6B648F3D" w:rsidR="00E451AF" w:rsidRPr="00AA5D85" w:rsidRDefault="00E451AF" w:rsidP="00AA5D85">
      <w:pPr>
        <w:pStyle w:val="Call"/>
      </w:pPr>
      <w:r w:rsidRPr="00AA5D85">
        <w:t>décide d'inviter l'UIT-R</w:t>
      </w:r>
    </w:p>
    <w:p w14:paraId="4910EFA4" w14:textId="5C83A7A5" w:rsidR="00E451AF" w:rsidRPr="007847D2" w:rsidRDefault="007847D2" w:rsidP="00AA5D85">
      <w:pPr>
        <w:rPr>
          <w:lang w:val="fr-CH"/>
        </w:rPr>
      </w:pPr>
      <w:r>
        <w:rPr>
          <w:color w:val="000000"/>
        </w:rPr>
        <w:t>à mener et à achever à temps pour la Conférence mondiale des radiocommunications de 2023</w:t>
      </w:r>
      <w:r w:rsidR="00AA5D85">
        <w:rPr>
          <w:color w:val="000000"/>
        </w:rPr>
        <w:t>:</w:t>
      </w:r>
    </w:p>
    <w:p w14:paraId="34FE41EA" w14:textId="6B17EBDA" w:rsidR="00E451AF" w:rsidRPr="00D1289C" w:rsidRDefault="00E451AF" w:rsidP="00AA5D85">
      <w:pPr>
        <w:rPr>
          <w:rFonts w:eastAsia="Calibri"/>
          <w:lang w:val="fr-CH"/>
        </w:rPr>
      </w:pPr>
      <w:r w:rsidRPr="007847D2">
        <w:rPr>
          <w:lang w:val="fr-CH"/>
        </w:rPr>
        <w:t>1</w:t>
      </w:r>
      <w:r w:rsidRPr="007847D2">
        <w:rPr>
          <w:lang w:val="fr-CH"/>
        </w:rPr>
        <w:tab/>
      </w:r>
      <w:r w:rsidR="007847D2" w:rsidRPr="007847D2">
        <w:rPr>
          <w:lang w:val="fr-CH"/>
        </w:rPr>
        <w:t>des études sur les caractéristiques techniques et opérationnelles</w:t>
      </w:r>
      <w:r w:rsidR="007847D2" w:rsidRPr="007847D2">
        <w:rPr>
          <w:color w:val="000000"/>
        </w:rPr>
        <w:t xml:space="preserve"> </w:t>
      </w:r>
      <w:r w:rsidR="007847D2">
        <w:rPr>
          <w:color w:val="000000"/>
        </w:rPr>
        <w:t>et les besoins des utilisateurs de différents types de stations spatiales non OSG</w:t>
      </w:r>
      <w:r w:rsidR="007847D2" w:rsidRPr="007847D2">
        <w:rPr>
          <w:lang w:val="fr-CH"/>
        </w:rPr>
        <w:t xml:space="preserve"> </w:t>
      </w:r>
      <w:r w:rsidR="007847D2">
        <w:rPr>
          <w:lang w:val="fr-CH"/>
        </w:rPr>
        <w:t>qui projettent</w:t>
      </w:r>
      <w:r w:rsidR="00107FBE">
        <w:rPr>
          <w:lang w:val="fr-CH"/>
        </w:rPr>
        <w:t xml:space="preserve"> </w:t>
      </w:r>
      <w:r w:rsidR="007847D2">
        <w:rPr>
          <w:lang w:val="fr-CH"/>
        </w:rPr>
        <w:t>d</w:t>
      </w:r>
      <w:r w:rsidR="00107FBE">
        <w:rPr>
          <w:lang w:val="fr-CH"/>
        </w:rPr>
        <w:t>'</w:t>
      </w:r>
      <w:r w:rsidR="007847D2">
        <w:rPr>
          <w:lang w:val="fr-CH"/>
        </w:rPr>
        <w:t>émettre en direction de stations spatiales du SFS non OSG, et de stations spatiales du SFS OSG</w:t>
      </w:r>
      <w:r w:rsidRPr="007847D2">
        <w:rPr>
          <w:rFonts w:eastAsia="Calibri"/>
          <w:lang w:val="fr-CH"/>
        </w:rPr>
        <w:t xml:space="preserve"> </w:t>
      </w:r>
      <w:r w:rsidR="007847D2">
        <w:rPr>
          <w:rFonts w:eastAsia="Calibri"/>
          <w:lang w:val="fr-CH"/>
        </w:rPr>
        <w:t>dans le même sens de transmission que les services par satellite existants dans les bandes de fréquences </w:t>
      </w:r>
      <w:r w:rsidRPr="00A71BF4">
        <w:t>3</w:t>
      </w:r>
      <w:r w:rsidR="00A71BF4">
        <w:t> </w:t>
      </w:r>
      <w:r w:rsidRPr="00A71BF4">
        <w:t>400</w:t>
      </w:r>
      <w:r w:rsidRPr="00D1289C">
        <w:rPr>
          <w:szCs w:val="24"/>
          <w:lang w:val="fr-CH"/>
        </w:rPr>
        <w:t>-3</w:t>
      </w:r>
      <w:r w:rsidR="00A71BF4">
        <w:rPr>
          <w:szCs w:val="24"/>
          <w:lang w:val="fr-CH"/>
        </w:rPr>
        <w:t> </w:t>
      </w:r>
      <w:r w:rsidRPr="00D1289C">
        <w:rPr>
          <w:szCs w:val="24"/>
          <w:lang w:val="fr-CH"/>
        </w:rPr>
        <w:t>740, 4</w:t>
      </w:r>
      <w:r w:rsidR="00A61D76">
        <w:rPr>
          <w:szCs w:val="24"/>
          <w:lang w:val="fr-CH"/>
        </w:rPr>
        <w:t> </w:t>
      </w:r>
      <w:r w:rsidRPr="00D1289C">
        <w:rPr>
          <w:szCs w:val="24"/>
          <w:lang w:val="fr-CH"/>
        </w:rPr>
        <w:t>500-4</w:t>
      </w:r>
      <w:r w:rsidR="00A61D76">
        <w:rPr>
          <w:szCs w:val="24"/>
          <w:lang w:val="fr-CH"/>
        </w:rPr>
        <w:t> </w:t>
      </w:r>
      <w:r w:rsidRPr="00D1289C">
        <w:rPr>
          <w:szCs w:val="24"/>
          <w:lang w:val="fr-CH"/>
        </w:rPr>
        <w:t>800</w:t>
      </w:r>
      <w:r w:rsidR="00A61D76">
        <w:rPr>
          <w:szCs w:val="24"/>
          <w:lang w:val="fr-CH"/>
        </w:rPr>
        <w:t xml:space="preserve"> et</w:t>
      </w:r>
      <w:r w:rsidRPr="00D1289C">
        <w:rPr>
          <w:rFonts w:eastAsia="Calibri"/>
          <w:szCs w:val="24"/>
          <w:lang w:val="fr-CH"/>
        </w:rPr>
        <w:t xml:space="preserve"> </w:t>
      </w:r>
      <w:r w:rsidRPr="00D1289C">
        <w:rPr>
          <w:szCs w:val="24"/>
          <w:lang w:val="fr-CH"/>
        </w:rPr>
        <w:t>6</w:t>
      </w:r>
      <w:r w:rsidR="00A71BF4">
        <w:rPr>
          <w:szCs w:val="24"/>
          <w:lang w:val="fr-CH"/>
        </w:rPr>
        <w:t> </w:t>
      </w:r>
      <w:r w:rsidRPr="00D1289C">
        <w:rPr>
          <w:szCs w:val="24"/>
          <w:lang w:val="fr-CH"/>
        </w:rPr>
        <w:t>700-7</w:t>
      </w:r>
      <w:r w:rsidR="00A71BF4">
        <w:rPr>
          <w:szCs w:val="24"/>
          <w:lang w:val="fr-CH"/>
        </w:rPr>
        <w:t> </w:t>
      </w:r>
      <w:r w:rsidRPr="00D1289C">
        <w:rPr>
          <w:szCs w:val="24"/>
          <w:lang w:val="fr-CH"/>
        </w:rPr>
        <w:t>075 MHz</w:t>
      </w:r>
      <w:r w:rsidR="00A61D76">
        <w:rPr>
          <w:szCs w:val="24"/>
          <w:lang w:val="fr-CH"/>
        </w:rPr>
        <w:t xml:space="preserve"> et</w:t>
      </w:r>
      <w:r w:rsidRPr="00D1289C">
        <w:rPr>
          <w:szCs w:val="24"/>
          <w:lang w:val="fr-CH"/>
        </w:rPr>
        <w:t xml:space="preserve"> 10</w:t>
      </w:r>
      <w:r w:rsidR="00A71BF4">
        <w:rPr>
          <w:szCs w:val="24"/>
          <w:lang w:val="fr-CH"/>
        </w:rPr>
        <w:t>,</w:t>
      </w:r>
      <w:r w:rsidRPr="00D1289C">
        <w:rPr>
          <w:szCs w:val="24"/>
          <w:lang w:val="fr-CH"/>
        </w:rPr>
        <w:t>7-12</w:t>
      </w:r>
      <w:r w:rsidR="00A71BF4">
        <w:rPr>
          <w:szCs w:val="24"/>
          <w:lang w:val="fr-CH"/>
        </w:rPr>
        <w:t>,</w:t>
      </w:r>
      <w:r w:rsidRPr="00D1289C">
        <w:rPr>
          <w:szCs w:val="24"/>
          <w:lang w:val="fr-CH"/>
        </w:rPr>
        <w:t>2, 17</w:t>
      </w:r>
      <w:r w:rsidR="00A71BF4">
        <w:rPr>
          <w:szCs w:val="24"/>
          <w:lang w:val="fr-CH"/>
        </w:rPr>
        <w:t>,</w:t>
      </w:r>
      <w:r w:rsidRPr="00D1289C">
        <w:rPr>
          <w:szCs w:val="24"/>
          <w:lang w:val="fr-CH"/>
        </w:rPr>
        <w:t>7-20</w:t>
      </w:r>
      <w:r w:rsidR="00A71BF4">
        <w:rPr>
          <w:szCs w:val="24"/>
          <w:lang w:val="fr-CH"/>
        </w:rPr>
        <w:t>,</w:t>
      </w:r>
      <w:r w:rsidRPr="00D1289C">
        <w:rPr>
          <w:szCs w:val="24"/>
          <w:lang w:val="fr-CH"/>
        </w:rPr>
        <w:t>2, 27</w:t>
      </w:r>
      <w:r w:rsidR="00A71BF4">
        <w:rPr>
          <w:szCs w:val="24"/>
          <w:lang w:val="fr-CH"/>
        </w:rPr>
        <w:t>,</w:t>
      </w:r>
      <w:r w:rsidRPr="00D1289C">
        <w:rPr>
          <w:szCs w:val="24"/>
          <w:lang w:val="fr-CH"/>
        </w:rPr>
        <w:t>5-30, 40-42, 47</w:t>
      </w:r>
      <w:r w:rsidR="00A71BF4">
        <w:rPr>
          <w:szCs w:val="24"/>
          <w:lang w:val="fr-CH"/>
        </w:rPr>
        <w:t>,</w:t>
      </w:r>
      <w:r w:rsidRPr="00D1289C">
        <w:rPr>
          <w:szCs w:val="24"/>
          <w:lang w:val="fr-CH"/>
        </w:rPr>
        <w:t>2-50</w:t>
      </w:r>
      <w:r w:rsidR="00A71BF4">
        <w:rPr>
          <w:szCs w:val="24"/>
          <w:lang w:val="fr-CH"/>
        </w:rPr>
        <w:t>,</w:t>
      </w:r>
      <w:r w:rsidRPr="00D1289C">
        <w:rPr>
          <w:szCs w:val="24"/>
          <w:lang w:val="fr-CH"/>
        </w:rPr>
        <w:t>2</w:t>
      </w:r>
      <w:r w:rsidR="00D1289C">
        <w:rPr>
          <w:szCs w:val="24"/>
          <w:lang w:val="fr-CH"/>
        </w:rPr>
        <w:t xml:space="preserve"> et</w:t>
      </w:r>
      <w:r w:rsidRPr="00D1289C">
        <w:rPr>
          <w:szCs w:val="24"/>
          <w:lang w:val="fr-CH"/>
        </w:rPr>
        <w:t xml:space="preserve"> 50</w:t>
      </w:r>
      <w:r w:rsidR="00A71BF4">
        <w:rPr>
          <w:szCs w:val="24"/>
          <w:lang w:val="fr-CH"/>
        </w:rPr>
        <w:t>,</w:t>
      </w:r>
      <w:r w:rsidRPr="00D1289C">
        <w:rPr>
          <w:szCs w:val="24"/>
          <w:lang w:val="fr-CH"/>
        </w:rPr>
        <w:t>4</w:t>
      </w:r>
      <w:r w:rsidR="00A61D76">
        <w:rPr>
          <w:szCs w:val="24"/>
          <w:lang w:val="fr-CH"/>
        </w:rPr>
        <w:noBreakHyphen/>
      </w:r>
      <w:r w:rsidRPr="00D1289C">
        <w:rPr>
          <w:szCs w:val="24"/>
          <w:lang w:val="fr-CH"/>
        </w:rPr>
        <w:t>51</w:t>
      </w:r>
      <w:r w:rsidR="00A71BF4">
        <w:rPr>
          <w:szCs w:val="24"/>
          <w:lang w:val="fr-CH"/>
        </w:rPr>
        <w:t>,</w:t>
      </w:r>
      <w:r w:rsidRPr="00D1289C">
        <w:rPr>
          <w:szCs w:val="24"/>
          <w:lang w:val="fr-CH"/>
        </w:rPr>
        <w:t>4</w:t>
      </w:r>
      <w:r w:rsidR="00A61D76">
        <w:rPr>
          <w:szCs w:val="24"/>
          <w:lang w:val="fr-CH"/>
        </w:rPr>
        <w:t> </w:t>
      </w:r>
      <w:r w:rsidRPr="00D1289C">
        <w:rPr>
          <w:szCs w:val="24"/>
          <w:lang w:val="fr-CH"/>
        </w:rPr>
        <w:t>GHz;</w:t>
      </w:r>
    </w:p>
    <w:p w14:paraId="19338C1F" w14:textId="0FBFE96F" w:rsidR="00E451AF" w:rsidRPr="00D1289C" w:rsidRDefault="00E451AF" w:rsidP="00AA5D85">
      <w:pPr>
        <w:rPr>
          <w:rFonts w:eastAsia="Calibri"/>
          <w:lang w:val="fr-CH"/>
        </w:rPr>
      </w:pPr>
      <w:r w:rsidRPr="00D1289C">
        <w:rPr>
          <w:lang w:val="fr-CH"/>
        </w:rPr>
        <w:t>2</w:t>
      </w:r>
      <w:r w:rsidRPr="00D1289C">
        <w:rPr>
          <w:lang w:val="fr-CH"/>
        </w:rPr>
        <w:tab/>
      </w:r>
      <w:r w:rsidR="00107FBE">
        <w:rPr>
          <w:lang w:val="fr-CH"/>
        </w:rPr>
        <w:t xml:space="preserve"> </w:t>
      </w:r>
      <w:r w:rsidR="00D1289C" w:rsidRPr="00D1289C">
        <w:rPr>
          <w:color w:val="000000"/>
          <w:lang w:val="fr-CH"/>
        </w:rPr>
        <w:t>les études de partage et de compatibilité appropriées</w:t>
      </w:r>
      <w:r w:rsidRPr="00D1289C">
        <w:rPr>
          <w:lang w:val="fr-CH"/>
        </w:rPr>
        <w:t xml:space="preserve">, </w:t>
      </w:r>
      <w:r w:rsidR="00D1289C">
        <w:rPr>
          <w:color w:val="000000"/>
        </w:rPr>
        <w:t xml:space="preserve">compte tenu de la protection des </w:t>
      </w:r>
      <w:r w:rsidR="00D1289C" w:rsidRPr="00A61D76">
        <w:rPr>
          <w:color w:val="000000"/>
          <w:spacing w:val="-2"/>
        </w:rPr>
        <w:t>services auxquels la bande</w:t>
      </w:r>
      <w:r w:rsidR="00107FBE" w:rsidRPr="00A61D76">
        <w:rPr>
          <w:color w:val="000000"/>
          <w:spacing w:val="-2"/>
        </w:rPr>
        <w:t xml:space="preserve"> </w:t>
      </w:r>
      <w:r w:rsidR="00D1289C" w:rsidRPr="00A61D76">
        <w:rPr>
          <w:color w:val="000000"/>
          <w:spacing w:val="-2"/>
        </w:rPr>
        <w:t xml:space="preserve">de fréquences </w:t>
      </w:r>
      <w:r w:rsidR="003256A2" w:rsidRPr="00A61D76">
        <w:rPr>
          <w:color w:val="000000"/>
          <w:spacing w:val="-2"/>
        </w:rPr>
        <w:t>est</w:t>
      </w:r>
      <w:r w:rsidR="00D1289C" w:rsidRPr="00A61D76">
        <w:rPr>
          <w:color w:val="000000"/>
          <w:spacing w:val="-2"/>
        </w:rPr>
        <w:t xml:space="preserve"> attribuée</w:t>
      </w:r>
      <w:r w:rsidR="00107FBE" w:rsidRPr="00A61D76">
        <w:rPr>
          <w:color w:val="000000"/>
          <w:spacing w:val="-2"/>
        </w:rPr>
        <w:t xml:space="preserve"> </w:t>
      </w:r>
      <w:r w:rsidR="00D1289C" w:rsidRPr="00A61D76">
        <w:rPr>
          <w:color w:val="000000"/>
          <w:spacing w:val="-2"/>
        </w:rPr>
        <w:t>à titre primaire</w:t>
      </w:r>
      <w:r w:rsidR="003256A2" w:rsidRPr="00A61D76">
        <w:rPr>
          <w:color w:val="000000"/>
          <w:spacing w:val="-2"/>
        </w:rPr>
        <w:t>, entre les liaisons inter-satellites</w:t>
      </w:r>
      <w:r w:rsidR="003256A2">
        <w:rPr>
          <w:color w:val="000000"/>
        </w:rPr>
        <w:t xml:space="preserve"> dont il est question au point 1 du</w:t>
      </w:r>
      <w:r w:rsidR="00107FBE">
        <w:rPr>
          <w:color w:val="000000"/>
        </w:rPr>
        <w:t xml:space="preserve"> </w:t>
      </w:r>
      <w:r w:rsidR="00822130" w:rsidRPr="00D1289C">
        <w:rPr>
          <w:rFonts w:eastAsia="Calibri"/>
          <w:i/>
          <w:lang w:val="fr-CH"/>
        </w:rPr>
        <w:t>décide d</w:t>
      </w:r>
      <w:r w:rsidR="00107FBE">
        <w:rPr>
          <w:rFonts w:eastAsia="Calibri"/>
          <w:i/>
          <w:lang w:val="fr-CH"/>
        </w:rPr>
        <w:t>'</w:t>
      </w:r>
      <w:r w:rsidR="00822130" w:rsidRPr="00D1289C">
        <w:rPr>
          <w:rFonts w:eastAsia="Calibri"/>
          <w:i/>
          <w:lang w:val="fr-CH"/>
        </w:rPr>
        <w:t>inviter l</w:t>
      </w:r>
      <w:r w:rsidR="00107FBE">
        <w:rPr>
          <w:rFonts w:eastAsia="Calibri"/>
          <w:i/>
          <w:lang w:val="fr-CH"/>
        </w:rPr>
        <w:t>'</w:t>
      </w:r>
      <w:r w:rsidR="00822130" w:rsidRPr="00D1289C">
        <w:rPr>
          <w:rFonts w:eastAsia="Calibri"/>
          <w:i/>
          <w:lang w:val="fr-CH"/>
        </w:rPr>
        <w:t>UIT-R</w:t>
      </w:r>
      <w:r w:rsidR="00107FBE">
        <w:rPr>
          <w:rFonts w:eastAsia="Calibri"/>
          <w:i/>
          <w:lang w:val="fr-CH"/>
        </w:rPr>
        <w:t xml:space="preserve"> </w:t>
      </w:r>
      <w:r w:rsidR="003256A2">
        <w:rPr>
          <w:rFonts w:eastAsia="Calibri"/>
          <w:lang w:val="fr-CH"/>
        </w:rPr>
        <w:t>et les services existants disposant d</w:t>
      </w:r>
      <w:r w:rsidR="00107FBE">
        <w:rPr>
          <w:rFonts w:eastAsia="Calibri"/>
          <w:lang w:val="fr-CH"/>
        </w:rPr>
        <w:t>'</w:t>
      </w:r>
      <w:r w:rsidR="003256A2">
        <w:rPr>
          <w:rFonts w:eastAsia="Calibri"/>
          <w:lang w:val="fr-CH"/>
        </w:rPr>
        <w:t>attributions dans les mêmes bandes de fréquences</w:t>
      </w:r>
      <w:r w:rsidRPr="00D1289C">
        <w:rPr>
          <w:rFonts w:eastAsia="Calibri"/>
          <w:lang w:val="fr-CH"/>
        </w:rPr>
        <w:t xml:space="preserve"> </w:t>
      </w:r>
      <w:r w:rsidR="003256A2">
        <w:rPr>
          <w:rFonts w:eastAsia="Calibri"/>
          <w:lang w:val="fr-CH"/>
        </w:rPr>
        <w:t xml:space="preserve">que celles visées au point </w:t>
      </w:r>
      <w:r w:rsidR="003256A2">
        <w:rPr>
          <w:color w:val="000000"/>
        </w:rPr>
        <w:t>1 du</w:t>
      </w:r>
      <w:r w:rsidR="00107FBE">
        <w:rPr>
          <w:color w:val="000000"/>
        </w:rPr>
        <w:t xml:space="preserve"> </w:t>
      </w:r>
      <w:r w:rsidR="003256A2" w:rsidRPr="00D1289C">
        <w:rPr>
          <w:rFonts w:eastAsia="Calibri"/>
          <w:i/>
          <w:lang w:val="fr-CH"/>
        </w:rPr>
        <w:t>décide d</w:t>
      </w:r>
      <w:r w:rsidR="00107FBE">
        <w:rPr>
          <w:rFonts w:eastAsia="Calibri"/>
          <w:i/>
          <w:lang w:val="fr-CH"/>
        </w:rPr>
        <w:t>'</w:t>
      </w:r>
      <w:r w:rsidR="003256A2" w:rsidRPr="00D1289C">
        <w:rPr>
          <w:rFonts w:eastAsia="Calibri"/>
          <w:i/>
          <w:lang w:val="fr-CH"/>
        </w:rPr>
        <w:t>inviter l</w:t>
      </w:r>
      <w:r w:rsidR="00107FBE">
        <w:rPr>
          <w:rFonts w:eastAsia="Calibri"/>
          <w:i/>
          <w:lang w:val="fr-CH"/>
        </w:rPr>
        <w:t>'</w:t>
      </w:r>
      <w:r w:rsidR="003256A2" w:rsidRPr="00D1289C">
        <w:rPr>
          <w:rFonts w:eastAsia="Calibri"/>
          <w:i/>
          <w:lang w:val="fr-CH"/>
        </w:rPr>
        <w:t>UIT-R</w:t>
      </w:r>
      <w:r w:rsidR="00AA5D85">
        <w:rPr>
          <w:rFonts w:eastAsia="Calibri"/>
          <w:i/>
          <w:lang w:val="fr-CH"/>
        </w:rPr>
        <w:t>;</w:t>
      </w:r>
    </w:p>
    <w:p w14:paraId="5029FF05" w14:textId="4A3BB044" w:rsidR="00E451AF" w:rsidRPr="003256A2" w:rsidRDefault="00E451AF" w:rsidP="00AA5D85">
      <w:pPr>
        <w:rPr>
          <w:rFonts w:eastAsia="Calibri"/>
          <w:lang w:val="fr-CH"/>
        </w:rPr>
      </w:pPr>
      <w:r w:rsidRPr="003256A2">
        <w:rPr>
          <w:lang w:val="fr-CH"/>
        </w:rPr>
        <w:t>3</w:t>
      </w:r>
      <w:r w:rsidRPr="003256A2">
        <w:rPr>
          <w:lang w:val="fr-CH"/>
        </w:rPr>
        <w:tab/>
      </w:r>
      <w:r w:rsidR="003256A2" w:rsidRPr="007847D2">
        <w:rPr>
          <w:lang w:val="fr-CH"/>
        </w:rPr>
        <w:t>des études sur les caractéristiques techniques et opérationnelles</w:t>
      </w:r>
      <w:r w:rsidR="003256A2" w:rsidRPr="007847D2">
        <w:rPr>
          <w:color w:val="000000"/>
        </w:rPr>
        <w:t xml:space="preserve"> </w:t>
      </w:r>
      <w:r w:rsidR="003256A2">
        <w:rPr>
          <w:color w:val="000000"/>
        </w:rPr>
        <w:t>et les besoins des utilisateurs de différents types de stations spatiales non OSG</w:t>
      </w:r>
      <w:r w:rsidR="003256A2" w:rsidRPr="007847D2">
        <w:rPr>
          <w:lang w:val="fr-CH"/>
        </w:rPr>
        <w:t xml:space="preserve"> </w:t>
      </w:r>
      <w:r w:rsidR="003256A2">
        <w:rPr>
          <w:lang w:val="fr-CH"/>
        </w:rPr>
        <w:t>qui projettent</w:t>
      </w:r>
      <w:r w:rsidR="00107FBE">
        <w:rPr>
          <w:lang w:val="fr-CH"/>
        </w:rPr>
        <w:t xml:space="preserve"> </w:t>
      </w:r>
      <w:r w:rsidR="003256A2">
        <w:rPr>
          <w:lang w:val="fr-CH"/>
        </w:rPr>
        <w:t>d</w:t>
      </w:r>
      <w:r w:rsidR="00107FBE">
        <w:rPr>
          <w:lang w:val="fr-CH"/>
        </w:rPr>
        <w:t>'</w:t>
      </w:r>
      <w:r w:rsidR="003256A2">
        <w:rPr>
          <w:lang w:val="fr-CH"/>
        </w:rPr>
        <w:t>émettre en direction de stations spatiales du SMS non OSG, et de stations spatiales du SMS OSG</w:t>
      </w:r>
      <w:r w:rsidR="003256A2" w:rsidRPr="007847D2">
        <w:rPr>
          <w:rFonts w:eastAsia="Calibri"/>
          <w:lang w:val="fr-CH"/>
        </w:rPr>
        <w:t xml:space="preserve"> </w:t>
      </w:r>
      <w:r w:rsidR="003256A2">
        <w:rPr>
          <w:rFonts w:eastAsia="Calibri"/>
          <w:lang w:val="fr-CH"/>
        </w:rPr>
        <w:t>dans le même sens de transmission que les services par satellite existants dans les bandes de fréquences </w:t>
      </w:r>
      <w:r w:rsidRPr="003256A2">
        <w:rPr>
          <w:rFonts w:eastAsia="Calibri"/>
          <w:szCs w:val="24"/>
          <w:lang w:val="fr-CH"/>
        </w:rPr>
        <w:t>1</w:t>
      </w:r>
      <w:r w:rsidR="00A71BF4">
        <w:rPr>
          <w:rFonts w:eastAsia="Calibri"/>
          <w:szCs w:val="24"/>
          <w:lang w:val="fr-CH"/>
        </w:rPr>
        <w:t> </w:t>
      </w:r>
      <w:r w:rsidRPr="003256A2">
        <w:rPr>
          <w:rFonts w:eastAsia="Calibri"/>
          <w:szCs w:val="24"/>
          <w:lang w:val="fr-CH"/>
        </w:rPr>
        <w:t>525-1</w:t>
      </w:r>
      <w:r w:rsidR="00A71BF4">
        <w:rPr>
          <w:rFonts w:eastAsia="Calibri"/>
          <w:szCs w:val="24"/>
          <w:lang w:val="fr-CH"/>
        </w:rPr>
        <w:t> </w:t>
      </w:r>
      <w:r w:rsidRPr="003256A2">
        <w:rPr>
          <w:rFonts w:eastAsia="Calibri"/>
          <w:szCs w:val="24"/>
          <w:lang w:val="fr-CH"/>
        </w:rPr>
        <w:t>559, 1</w:t>
      </w:r>
      <w:r w:rsidR="00A71BF4">
        <w:rPr>
          <w:rFonts w:eastAsia="Calibri"/>
          <w:szCs w:val="24"/>
          <w:lang w:val="fr-CH"/>
        </w:rPr>
        <w:t> </w:t>
      </w:r>
      <w:r w:rsidRPr="003256A2">
        <w:rPr>
          <w:rFonts w:eastAsia="Calibri"/>
          <w:szCs w:val="24"/>
          <w:lang w:val="fr-CH"/>
        </w:rPr>
        <w:t>610-1</w:t>
      </w:r>
      <w:r w:rsidR="00A71BF4">
        <w:rPr>
          <w:rFonts w:eastAsia="Calibri"/>
          <w:szCs w:val="24"/>
          <w:lang w:val="fr-CH"/>
        </w:rPr>
        <w:t> </w:t>
      </w:r>
      <w:r w:rsidRPr="003256A2">
        <w:rPr>
          <w:rFonts w:eastAsia="Calibri"/>
          <w:szCs w:val="24"/>
          <w:lang w:val="fr-CH"/>
        </w:rPr>
        <w:t>626</w:t>
      </w:r>
      <w:r w:rsidR="00A61D76">
        <w:rPr>
          <w:rFonts w:eastAsia="Calibri"/>
          <w:szCs w:val="24"/>
          <w:lang w:val="fr-CH"/>
        </w:rPr>
        <w:t>,</w:t>
      </w:r>
      <w:r w:rsidRPr="003256A2">
        <w:rPr>
          <w:rFonts w:eastAsia="Calibri"/>
          <w:szCs w:val="24"/>
          <w:lang w:val="fr-CH"/>
        </w:rPr>
        <w:t>5, 1</w:t>
      </w:r>
      <w:r w:rsidR="00A71BF4">
        <w:rPr>
          <w:rFonts w:eastAsia="Calibri"/>
          <w:szCs w:val="24"/>
          <w:lang w:val="fr-CH"/>
        </w:rPr>
        <w:t> </w:t>
      </w:r>
      <w:r w:rsidRPr="003256A2">
        <w:rPr>
          <w:rFonts w:eastAsia="Calibri"/>
          <w:szCs w:val="24"/>
          <w:lang w:val="fr-CH"/>
        </w:rPr>
        <w:t>626</w:t>
      </w:r>
      <w:r w:rsidR="00A71BF4">
        <w:rPr>
          <w:rFonts w:eastAsia="Calibri"/>
          <w:szCs w:val="24"/>
          <w:lang w:val="fr-CH"/>
        </w:rPr>
        <w:t>,</w:t>
      </w:r>
      <w:r w:rsidRPr="003256A2">
        <w:rPr>
          <w:rFonts w:eastAsia="Calibri"/>
          <w:szCs w:val="24"/>
          <w:lang w:val="fr-CH"/>
        </w:rPr>
        <w:t>5-1</w:t>
      </w:r>
      <w:r w:rsidR="00A71BF4">
        <w:rPr>
          <w:rFonts w:eastAsia="Calibri"/>
          <w:szCs w:val="24"/>
          <w:lang w:val="fr-CH"/>
        </w:rPr>
        <w:t> </w:t>
      </w:r>
      <w:r w:rsidRPr="003256A2">
        <w:rPr>
          <w:rFonts w:eastAsia="Calibri"/>
          <w:szCs w:val="24"/>
          <w:lang w:val="fr-CH"/>
        </w:rPr>
        <w:t>660</w:t>
      </w:r>
      <w:r w:rsidR="00A71BF4">
        <w:rPr>
          <w:rFonts w:eastAsia="Calibri"/>
          <w:szCs w:val="24"/>
          <w:lang w:val="fr-CH"/>
        </w:rPr>
        <w:t>,</w:t>
      </w:r>
      <w:r w:rsidRPr="003256A2">
        <w:rPr>
          <w:rFonts w:eastAsia="Calibri"/>
          <w:szCs w:val="24"/>
          <w:lang w:val="fr-CH"/>
        </w:rPr>
        <w:t>5, 1</w:t>
      </w:r>
      <w:r w:rsidR="00A71BF4">
        <w:rPr>
          <w:rFonts w:eastAsia="Calibri"/>
          <w:szCs w:val="24"/>
          <w:lang w:val="fr-CH"/>
        </w:rPr>
        <w:t> </w:t>
      </w:r>
      <w:r w:rsidRPr="003256A2">
        <w:rPr>
          <w:rFonts w:eastAsia="Calibri"/>
          <w:szCs w:val="24"/>
          <w:lang w:val="fr-CH"/>
        </w:rPr>
        <w:t>668-1</w:t>
      </w:r>
      <w:r w:rsidR="00A71BF4">
        <w:rPr>
          <w:rFonts w:eastAsia="Calibri"/>
          <w:szCs w:val="24"/>
          <w:lang w:val="fr-CH"/>
        </w:rPr>
        <w:t> </w:t>
      </w:r>
      <w:r w:rsidRPr="003256A2">
        <w:rPr>
          <w:rFonts w:eastAsia="Calibri"/>
          <w:szCs w:val="24"/>
          <w:lang w:val="fr-CH"/>
        </w:rPr>
        <w:t>670, 2</w:t>
      </w:r>
      <w:r w:rsidR="00A71BF4">
        <w:rPr>
          <w:rFonts w:eastAsia="Calibri"/>
          <w:szCs w:val="24"/>
          <w:lang w:val="fr-CH"/>
        </w:rPr>
        <w:t> </w:t>
      </w:r>
      <w:r w:rsidRPr="003256A2">
        <w:rPr>
          <w:rFonts w:eastAsia="Calibri"/>
          <w:szCs w:val="24"/>
          <w:lang w:val="fr-CH"/>
        </w:rPr>
        <w:t>160-2</w:t>
      </w:r>
      <w:r w:rsidR="00A71BF4">
        <w:rPr>
          <w:rFonts w:eastAsia="Calibri"/>
          <w:szCs w:val="24"/>
          <w:lang w:val="fr-CH"/>
        </w:rPr>
        <w:t> </w:t>
      </w:r>
      <w:r w:rsidRPr="003256A2">
        <w:rPr>
          <w:rFonts w:eastAsia="Calibri"/>
          <w:szCs w:val="24"/>
          <w:lang w:val="fr-CH"/>
        </w:rPr>
        <w:t>200</w:t>
      </w:r>
      <w:r w:rsidR="00107FBE">
        <w:rPr>
          <w:rFonts w:eastAsia="Calibri"/>
          <w:szCs w:val="24"/>
          <w:lang w:val="fr-CH"/>
        </w:rPr>
        <w:t xml:space="preserve"> </w:t>
      </w:r>
      <w:r w:rsidR="003256A2">
        <w:rPr>
          <w:rFonts w:eastAsia="Calibri"/>
          <w:szCs w:val="24"/>
          <w:lang w:val="fr-CH"/>
        </w:rPr>
        <w:t xml:space="preserve">et </w:t>
      </w:r>
      <w:r w:rsidRPr="003256A2">
        <w:rPr>
          <w:rFonts w:eastAsia="Calibri"/>
          <w:szCs w:val="24"/>
          <w:lang w:val="fr-CH"/>
        </w:rPr>
        <w:t>2</w:t>
      </w:r>
      <w:r w:rsidR="00A71BF4">
        <w:rPr>
          <w:rFonts w:eastAsia="Calibri"/>
          <w:szCs w:val="24"/>
          <w:lang w:val="fr-CH"/>
        </w:rPr>
        <w:t> </w:t>
      </w:r>
      <w:r w:rsidRPr="003256A2">
        <w:rPr>
          <w:rFonts w:eastAsia="Calibri"/>
          <w:szCs w:val="24"/>
          <w:lang w:val="fr-CH"/>
        </w:rPr>
        <w:t>483</w:t>
      </w:r>
      <w:r w:rsidR="00A71BF4">
        <w:rPr>
          <w:rFonts w:eastAsia="Calibri"/>
          <w:szCs w:val="24"/>
          <w:lang w:val="fr-CH"/>
        </w:rPr>
        <w:t>,</w:t>
      </w:r>
      <w:r w:rsidRPr="003256A2">
        <w:rPr>
          <w:rFonts w:eastAsia="Calibri"/>
          <w:szCs w:val="24"/>
          <w:lang w:val="fr-CH"/>
        </w:rPr>
        <w:t>5-2</w:t>
      </w:r>
      <w:r w:rsidR="00A71BF4">
        <w:rPr>
          <w:rFonts w:eastAsia="Calibri"/>
          <w:szCs w:val="24"/>
          <w:lang w:val="fr-CH"/>
        </w:rPr>
        <w:t> </w:t>
      </w:r>
      <w:r w:rsidRPr="003256A2">
        <w:rPr>
          <w:rFonts w:eastAsia="Calibri"/>
          <w:szCs w:val="24"/>
          <w:lang w:val="fr-CH"/>
        </w:rPr>
        <w:t>500 MHz;</w:t>
      </w:r>
    </w:p>
    <w:p w14:paraId="76294665" w14:textId="506AF5B4" w:rsidR="00E451AF" w:rsidRPr="003256A2" w:rsidRDefault="00E451AF" w:rsidP="00AA5D85">
      <w:pPr>
        <w:rPr>
          <w:rFonts w:eastAsia="Calibri"/>
          <w:lang w:val="fr-CH"/>
        </w:rPr>
      </w:pPr>
      <w:r w:rsidRPr="003256A2">
        <w:rPr>
          <w:lang w:val="fr-CH"/>
        </w:rPr>
        <w:lastRenderedPageBreak/>
        <w:t>4</w:t>
      </w:r>
      <w:r w:rsidRPr="003256A2">
        <w:rPr>
          <w:lang w:val="fr-CH"/>
        </w:rPr>
        <w:tab/>
      </w:r>
      <w:r w:rsidR="003256A2" w:rsidRPr="00D1289C">
        <w:rPr>
          <w:color w:val="000000"/>
          <w:lang w:val="fr-CH"/>
        </w:rPr>
        <w:t>les études de partage et de compatibilité appropriées</w:t>
      </w:r>
      <w:r w:rsidR="003256A2" w:rsidRPr="00D1289C">
        <w:rPr>
          <w:lang w:val="fr-CH"/>
        </w:rPr>
        <w:t xml:space="preserve">, </w:t>
      </w:r>
      <w:r w:rsidR="003256A2">
        <w:rPr>
          <w:color w:val="000000"/>
        </w:rPr>
        <w:t xml:space="preserve">compte tenu de la protection des </w:t>
      </w:r>
      <w:r w:rsidR="003256A2" w:rsidRPr="00A61D76">
        <w:rPr>
          <w:color w:val="000000"/>
          <w:spacing w:val="-2"/>
        </w:rPr>
        <w:t>services auxquels la bande</w:t>
      </w:r>
      <w:r w:rsidR="00107FBE" w:rsidRPr="00A61D76">
        <w:rPr>
          <w:color w:val="000000"/>
          <w:spacing w:val="-2"/>
        </w:rPr>
        <w:t xml:space="preserve"> </w:t>
      </w:r>
      <w:r w:rsidR="003256A2" w:rsidRPr="00A61D76">
        <w:rPr>
          <w:color w:val="000000"/>
          <w:spacing w:val="-2"/>
        </w:rPr>
        <w:t>de fréquences est attribuée</w:t>
      </w:r>
      <w:r w:rsidR="00107FBE" w:rsidRPr="00A61D76">
        <w:rPr>
          <w:color w:val="000000"/>
          <w:spacing w:val="-2"/>
        </w:rPr>
        <w:t xml:space="preserve"> </w:t>
      </w:r>
      <w:r w:rsidR="003256A2" w:rsidRPr="00A61D76">
        <w:rPr>
          <w:color w:val="000000"/>
          <w:spacing w:val="-2"/>
        </w:rPr>
        <w:t>à titre primaire, entre les liaisons inter-satellites</w:t>
      </w:r>
      <w:r w:rsidR="003256A2">
        <w:rPr>
          <w:color w:val="000000"/>
        </w:rPr>
        <w:t xml:space="preserve"> dont il est question au point 3 du</w:t>
      </w:r>
      <w:r w:rsidR="00107FBE">
        <w:rPr>
          <w:color w:val="000000"/>
        </w:rPr>
        <w:t xml:space="preserve"> </w:t>
      </w:r>
      <w:r w:rsidR="003256A2" w:rsidRPr="00D1289C">
        <w:rPr>
          <w:rFonts w:eastAsia="Calibri"/>
          <w:i/>
          <w:lang w:val="fr-CH"/>
        </w:rPr>
        <w:t>décide d</w:t>
      </w:r>
      <w:r w:rsidR="00107FBE">
        <w:rPr>
          <w:rFonts w:eastAsia="Calibri"/>
          <w:i/>
          <w:lang w:val="fr-CH"/>
        </w:rPr>
        <w:t>'</w:t>
      </w:r>
      <w:r w:rsidR="003256A2" w:rsidRPr="00D1289C">
        <w:rPr>
          <w:rFonts w:eastAsia="Calibri"/>
          <w:i/>
          <w:lang w:val="fr-CH"/>
        </w:rPr>
        <w:t>inviter l</w:t>
      </w:r>
      <w:r w:rsidR="00107FBE">
        <w:rPr>
          <w:rFonts w:eastAsia="Calibri"/>
          <w:i/>
          <w:lang w:val="fr-CH"/>
        </w:rPr>
        <w:t>'</w:t>
      </w:r>
      <w:r w:rsidR="003256A2" w:rsidRPr="00D1289C">
        <w:rPr>
          <w:rFonts w:eastAsia="Calibri"/>
          <w:i/>
          <w:lang w:val="fr-CH"/>
        </w:rPr>
        <w:t>UIT-R</w:t>
      </w:r>
      <w:r w:rsidR="00107FBE">
        <w:rPr>
          <w:rFonts w:eastAsia="Calibri"/>
          <w:i/>
          <w:lang w:val="fr-CH"/>
        </w:rPr>
        <w:t xml:space="preserve"> </w:t>
      </w:r>
      <w:r w:rsidR="003256A2">
        <w:rPr>
          <w:rFonts w:eastAsia="Calibri"/>
          <w:lang w:val="fr-CH"/>
        </w:rPr>
        <w:t>et les services existants disposant d</w:t>
      </w:r>
      <w:r w:rsidR="00107FBE">
        <w:rPr>
          <w:rFonts w:eastAsia="Calibri"/>
          <w:lang w:val="fr-CH"/>
        </w:rPr>
        <w:t>'</w:t>
      </w:r>
      <w:r w:rsidR="003256A2">
        <w:rPr>
          <w:rFonts w:eastAsia="Calibri"/>
          <w:lang w:val="fr-CH"/>
        </w:rPr>
        <w:t>attributions dans les mêmes bandes de fréquences</w:t>
      </w:r>
      <w:r w:rsidR="003256A2" w:rsidRPr="00D1289C">
        <w:rPr>
          <w:rFonts w:eastAsia="Calibri"/>
          <w:lang w:val="fr-CH"/>
        </w:rPr>
        <w:t xml:space="preserve"> </w:t>
      </w:r>
      <w:r w:rsidR="003256A2">
        <w:rPr>
          <w:rFonts w:eastAsia="Calibri"/>
          <w:lang w:val="fr-CH"/>
        </w:rPr>
        <w:t xml:space="preserve">que celles visées au point </w:t>
      </w:r>
      <w:r w:rsidR="003256A2">
        <w:rPr>
          <w:color w:val="000000"/>
        </w:rPr>
        <w:t>3 du</w:t>
      </w:r>
      <w:r w:rsidR="00107FBE">
        <w:rPr>
          <w:color w:val="000000"/>
        </w:rPr>
        <w:t xml:space="preserve"> </w:t>
      </w:r>
      <w:r w:rsidR="003256A2" w:rsidRPr="00D1289C">
        <w:rPr>
          <w:rFonts w:eastAsia="Calibri"/>
          <w:i/>
          <w:lang w:val="fr-CH"/>
        </w:rPr>
        <w:t>décide d</w:t>
      </w:r>
      <w:r w:rsidR="00107FBE">
        <w:rPr>
          <w:rFonts w:eastAsia="Calibri"/>
          <w:i/>
          <w:lang w:val="fr-CH"/>
        </w:rPr>
        <w:t>'</w:t>
      </w:r>
      <w:r w:rsidR="003256A2" w:rsidRPr="00D1289C">
        <w:rPr>
          <w:rFonts w:eastAsia="Calibri"/>
          <w:i/>
          <w:lang w:val="fr-CH"/>
        </w:rPr>
        <w:t>inviter l</w:t>
      </w:r>
      <w:r w:rsidR="00107FBE">
        <w:rPr>
          <w:rFonts w:eastAsia="Calibri"/>
          <w:i/>
          <w:lang w:val="fr-CH"/>
        </w:rPr>
        <w:t>'</w:t>
      </w:r>
      <w:r w:rsidR="003256A2" w:rsidRPr="00D1289C">
        <w:rPr>
          <w:rFonts w:eastAsia="Calibri"/>
          <w:i/>
          <w:lang w:val="fr-CH"/>
        </w:rPr>
        <w:t>UIT-R</w:t>
      </w:r>
      <w:r w:rsidR="00AA5D85">
        <w:rPr>
          <w:rFonts w:eastAsia="Calibri"/>
          <w:i/>
          <w:lang w:val="fr-CH"/>
        </w:rPr>
        <w:t>;</w:t>
      </w:r>
    </w:p>
    <w:p w14:paraId="1716FA92" w14:textId="5AC5B999" w:rsidR="00E451AF" w:rsidRPr="000651D8" w:rsidRDefault="00E451AF" w:rsidP="00AA5D85">
      <w:pPr>
        <w:rPr>
          <w:rFonts w:eastAsia="Calibri"/>
          <w:lang w:val="fr-CH"/>
        </w:rPr>
      </w:pPr>
      <w:r w:rsidRPr="000651D8">
        <w:rPr>
          <w:lang w:val="fr-CH"/>
        </w:rPr>
        <w:t>5</w:t>
      </w:r>
      <w:r w:rsidRPr="000651D8">
        <w:rPr>
          <w:lang w:val="fr-CH"/>
        </w:rPr>
        <w:tab/>
      </w:r>
      <w:r w:rsidR="000651D8" w:rsidRPr="007847D2">
        <w:rPr>
          <w:lang w:val="fr-CH"/>
        </w:rPr>
        <w:t>des études sur les caractéristiques techniques et opérationnelles</w:t>
      </w:r>
      <w:r w:rsidR="000651D8" w:rsidRPr="007847D2">
        <w:rPr>
          <w:color w:val="000000"/>
        </w:rPr>
        <w:t xml:space="preserve"> </w:t>
      </w:r>
      <w:r w:rsidR="000651D8">
        <w:rPr>
          <w:color w:val="000000"/>
        </w:rPr>
        <w:t>et les besoins des utilisateurs de différents types</w:t>
      </w:r>
      <w:r w:rsidR="000651D8" w:rsidRPr="000651D8">
        <w:rPr>
          <w:lang w:val="fr-CH"/>
        </w:rPr>
        <w:t xml:space="preserve"> </w:t>
      </w:r>
      <w:r w:rsidR="000651D8">
        <w:rPr>
          <w:lang w:val="fr-CH"/>
        </w:rPr>
        <w:t>de stations spatiales du SETS non OSG ou de stations spatiales du service de météorologie par satellite</w:t>
      </w:r>
      <w:r w:rsidR="000651D8">
        <w:rPr>
          <w:rFonts w:eastAsia="Calibri"/>
          <w:lang w:val="fr-CH"/>
        </w:rPr>
        <w:t xml:space="preserve"> qui projettent de procéder à des émissions entre des stations spatiales non OSG dans les bandes de fréquences</w:t>
      </w:r>
      <w:r w:rsidR="00107FBE">
        <w:rPr>
          <w:rFonts w:eastAsia="Calibri"/>
          <w:lang w:val="fr-CH"/>
        </w:rPr>
        <w:t xml:space="preserve"> </w:t>
      </w:r>
      <w:r w:rsidRPr="000651D8">
        <w:rPr>
          <w:rFonts w:eastAsia="Calibri"/>
          <w:szCs w:val="24"/>
          <w:lang w:val="fr-CH"/>
        </w:rPr>
        <w:t>1</w:t>
      </w:r>
      <w:r w:rsidR="005B24F5">
        <w:rPr>
          <w:rFonts w:eastAsia="Calibri"/>
          <w:szCs w:val="24"/>
          <w:lang w:val="fr-CH"/>
        </w:rPr>
        <w:t> </w:t>
      </w:r>
      <w:r w:rsidRPr="000651D8">
        <w:rPr>
          <w:rFonts w:eastAsia="Calibri"/>
          <w:szCs w:val="24"/>
          <w:lang w:val="fr-CH"/>
        </w:rPr>
        <w:t>670-1</w:t>
      </w:r>
      <w:r w:rsidR="005B24F5">
        <w:rPr>
          <w:rFonts w:eastAsia="Calibri"/>
          <w:szCs w:val="24"/>
          <w:lang w:val="fr-CH"/>
        </w:rPr>
        <w:t> </w:t>
      </w:r>
      <w:r w:rsidRPr="000651D8">
        <w:rPr>
          <w:rFonts w:eastAsia="Calibri"/>
          <w:szCs w:val="24"/>
          <w:lang w:val="fr-CH"/>
        </w:rPr>
        <w:t>675, 1</w:t>
      </w:r>
      <w:r w:rsidR="005B24F5">
        <w:rPr>
          <w:rFonts w:eastAsia="Calibri"/>
          <w:szCs w:val="24"/>
          <w:lang w:val="fr-CH"/>
        </w:rPr>
        <w:t> </w:t>
      </w:r>
      <w:r w:rsidRPr="000651D8">
        <w:rPr>
          <w:rFonts w:eastAsia="Calibri"/>
          <w:szCs w:val="24"/>
          <w:lang w:val="fr-CH"/>
        </w:rPr>
        <w:t>675-1</w:t>
      </w:r>
      <w:r w:rsidR="005B24F5">
        <w:rPr>
          <w:rFonts w:eastAsia="Calibri"/>
          <w:szCs w:val="24"/>
          <w:lang w:val="fr-CH"/>
        </w:rPr>
        <w:t> </w:t>
      </w:r>
      <w:r w:rsidRPr="000651D8">
        <w:rPr>
          <w:rFonts w:eastAsia="Calibri"/>
          <w:szCs w:val="24"/>
          <w:lang w:val="fr-CH"/>
        </w:rPr>
        <w:t>710</w:t>
      </w:r>
      <w:r w:rsidR="000651D8">
        <w:rPr>
          <w:rFonts w:eastAsia="Calibri"/>
          <w:szCs w:val="24"/>
          <w:lang w:val="fr-CH"/>
        </w:rPr>
        <w:t xml:space="preserve"> et </w:t>
      </w:r>
      <w:r w:rsidRPr="000651D8">
        <w:rPr>
          <w:rFonts w:eastAsia="Calibri"/>
          <w:szCs w:val="24"/>
          <w:lang w:val="fr-CH"/>
        </w:rPr>
        <w:t>8</w:t>
      </w:r>
      <w:r w:rsidR="005B24F5">
        <w:rPr>
          <w:rFonts w:eastAsia="Calibri"/>
          <w:szCs w:val="24"/>
          <w:lang w:val="fr-CH"/>
        </w:rPr>
        <w:t> </w:t>
      </w:r>
      <w:r w:rsidRPr="000651D8">
        <w:rPr>
          <w:rFonts w:eastAsia="Calibri"/>
          <w:szCs w:val="24"/>
          <w:lang w:val="fr-CH"/>
        </w:rPr>
        <w:t>025-8</w:t>
      </w:r>
      <w:r w:rsidR="005B24F5">
        <w:rPr>
          <w:rFonts w:eastAsia="Calibri"/>
          <w:szCs w:val="24"/>
          <w:lang w:val="fr-CH"/>
        </w:rPr>
        <w:t> </w:t>
      </w:r>
      <w:r w:rsidRPr="000651D8">
        <w:rPr>
          <w:rFonts w:eastAsia="Calibri"/>
          <w:szCs w:val="24"/>
          <w:lang w:val="fr-CH"/>
        </w:rPr>
        <w:t>400 MHz;</w:t>
      </w:r>
    </w:p>
    <w:p w14:paraId="6797653D" w14:textId="4712F11E" w:rsidR="00E451AF" w:rsidRPr="000651D8" w:rsidRDefault="00E451AF" w:rsidP="00AA5D85">
      <w:pPr>
        <w:rPr>
          <w:rFonts w:eastAsia="Calibri"/>
          <w:lang w:val="fr-CH"/>
        </w:rPr>
      </w:pPr>
      <w:r w:rsidRPr="000651D8">
        <w:rPr>
          <w:rFonts w:eastAsia="Calibri"/>
          <w:lang w:val="fr-CH"/>
        </w:rPr>
        <w:t>6</w:t>
      </w:r>
      <w:r w:rsidRPr="000651D8">
        <w:rPr>
          <w:rFonts w:eastAsia="Calibri"/>
          <w:lang w:val="fr-CH"/>
        </w:rPr>
        <w:tab/>
      </w:r>
      <w:r w:rsidR="000651D8" w:rsidRPr="00D1289C">
        <w:rPr>
          <w:color w:val="000000"/>
          <w:lang w:val="fr-CH"/>
        </w:rPr>
        <w:t>les études de partage et de compatibilité appropriées</w:t>
      </w:r>
      <w:r w:rsidR="000651D8" w:rsidRPr="00D1289C">
        <w:rPr>
          <w:lang w:val="fr-CH"/>
        </w:rPr>
        <w:t xml:space="preserve">, </w:t>
      </w:r>
      <w:r w:rsidR="000651D8">
        <w:rPr>
          <w:color w:val="000000"/>
        </w:rPr>
        <w:t xml:space="preserve">compte tenu de la protection des </w:t>
      </w:r>
      <w:r w:rsidR="000651D8" w:rsidRPr="00A61D76">
        <w:rPr>
          <w:color w:val="000000"/>
          <w:spacing w:val="-2"/>
        </w:rPr>
        <w:t>services auxquels la bande</w:t>
      </w:r>
      <w:r w:rsidR="00107FBE" w:rsidRPr="00A61D76">
        <w:rPr>
          <w:color w:val="000000"/>
          <w:spacing w:val="-2"/>
        </w:rPr>
        <w:t xml:space="preserve"> </w:t>
      </w:r>
      <w:r w:rsidR="000651D8" w:rsidRPr="00A61D76">
        <w:rPr>
          <w:color w:val="000000"/>
          <w:spacing w:val="-2"/>
        </w:rPr>
        <w:t>de fréquences est attribuée</w:t>
      </w:r>
      <w:r w:rsidR="00107FBE" w:rsidRPr="00A61D76">
        <w:rPr>
          <w:color w:val="000000"/>
          <w:spacing w:val="-2"/>
        </w:rPr>
        <w:t xml:space="preserve"> </w:t>
      </w:r>
      <w:r w:rsidR="000651D8" w:rsidRPr="00A61D76">
        <w:rPr>
          <w:color w:val="000000"/>
          <w:spacing w:val="-2"/>
        </w:rPr>
        <w:t>à titre primaire, entre les liaisons inter-satellites</w:t>
      </w:r>
      <w:r w:rsidR="000651D8">
        <w:rPr>
          <w:color w:val="000000"/>
        </w:rPr>
        <w:t xml:space="preserve"> dont il est question au point 5 du</w:t>
      </w:r>
      <w:r w:rsidR="00107FBE">
        <w:rPr>
          <w:color w:val="000000"/>
        </w:rPr>
        <w:t xml:space="preserve"> </w:t>
      </w:r>
      <w:r w:rsidR="000651D8" w:rsidRPr="00D1289C">
        <w:rPr>
          <w:rFonts w:eastAsia="Calibri"/>
          <w:i/>
          <w:lang w:val="fr-CH"/>
        </w:rPr>
        <w:t>décide d</w:t>
      </w:r>
      <w:r w:rsidR="00107FBE">
        <w:rPr>
          <w:rFonts w:eastAsia="Calibri"/>
          <w:i/>
          <w:lang w:val="fr-CH"/>
        </w:rPr>
        <w:t>'</w:t>
      </w:r>
      <w:r w:rsidR="000651D8" w:rsidRPr="00D1289C">
        <w:rPr>
          <w:rFonts w:eastAsia="Calibri"/>
          <w:i/>
          <w:lang w:val="fr-CH"/>
        </w:rPr>
        <w:t>inviter l</w:t>
      </w:r>
      <w:r w:rsidR="00107FBE">
        <w:rPr>
          <w:rFonts w:eastAsia="Calibri"/>
          <w:i/>
          <w:lang w:val="fr-CH"/>
        </w:rPr>
        <w:t>'</w:t>
      </w:r>
      <w:r w:rsidR="000651D8" w:rsidRPr="00D1289C">
        <w:rPr>
          <w:rFonts w:eastAsia="Calibri"/>
          <w:i/>
          <w:lang w:val="fr-CH"/>
        </w:rPr>
        <w:t>UIT-R</w:t>
      </w:r>
      <w:r w:rsidR="00107FBE">
        <w:rPr>
          <w:rFonts w:eastAsia="Calibri"/>
          <w:i/>
          <w:lang w:val="fr-CH"/>
        </w:rPr>
        <w:t xml:space="preserve"> </w:t>
      </w:r>
      <w:r w:rsidR="000651D8">
        <w:rPr>
          <w:rFonts w:eastAsia="Calibri"/>
          <w:lang w:val="fr-CH"/>
        </w:rPr>
        <w:t>et les services existants disposant d</w:t>
      </w:r>
      <w:r w:rsidR="00107FBE">
        <w:rPr>
          <w:rFonts w:eastAsia="Calibri"/>
          <w:lang w:val="fr-CH"/>
        </w:rPr>
        <w:t>'</w:t>
      </w:r>
      <w:r w:rsidR="000651D8">
        <w:rPr>
          <w:rFonts w:eastAsia="Calibri"/>
          <w:lang w:val="fr-CH"/>
        </w:rPr>
        <w:t>attributions dans les mêmes bandes de fréquences</w:t>
      </w:r>
      <w:r w:rsidR="000651D8" w:rsidRPr="00D1289C">
        <w:rPr>
          <w:rFonts w:eastAsia="Calibri"/>
          <w:lang w:val="fr-CH"/>
        </w:rPr>
        <w:t xml:space="preserve"> </w:t>
      </w:r>
      <w:r w:rsidR="000651D8">
        <w:rPr>
          <w:rFonts w:eastAsia="Calibri"/>
          <w:lang w:val="fr-CH"/>
        </w:rPr>
        <w:t xml:space="preserve">que celles visées au point </w:t>
      </w:r>
      <w:r w:rsidR="000651D8">
        <w:rPr>
          <w:color w:val="000000"/>
        </w:rPr>
        <w:t>5 du</w:t>
      </w:r>
      <w:r w:rsidR="00107FBE">
        <w:rPr>
          <w:color w:val="000000"/>
        </w:rPr>
        <w:t xml:space="preserve"> </w:t>
      </w:r>
      <w:r w:rsidR="000651D8" w:rsidRPr="00D1289C">
        <w:rPr>
          <w:rFonts w:eastAsia="Calibri"/>
          <w:i/>
          <w:lang w:val="fr-CH"/>
        </w:rPr>
        <w:t>décide d</w:t>
      </w:r>
      <w:r w:rsidR="00107FBE">
        <w:rPr>
          <w:rFonts w:eastAsia="Calibri"/>
          <w:i/>
          <w:lang w:val="fr-CH"/>
        </w:rPr>
        <w:t>'</w:t>
      </w:r>
      <w:r w:rsidR="000651D8" w:rsidRPr="00D1289C">
        <w:rPr>
          <w:rFonts w:eastAsia="Calibri"/>
          <w:i/>
          <w:lang w:val="fr-CH"/>
        </w:rPr>
        <w:t>inviter l</w:t>
      </w:r>
      <w:r w:rsidR="00107FBE">
        <w:rPr>
          <w:rFonts w:eastAsia="Calibri"/>
          <w:i/>
          <w:lang w:val="fr-CH"/>
        </w:rPr>
        <w:t>'</w:t>
      </w:r>
      <w:r w:rsidR="000651D8" w:rsidRPr="00D1289C">
        <w:rPr>
          <w:rFonts w:eastAsia="Calibri"/>
          <w:i/>
          <w:lang w:val="fr-CH"/>
        </w:rPr>
        <w:t>UIT-R</w:t>
      </w:r>
      <w:r w:rsidR="00AA5D85">
        <w:rPr>
          <w:rFonts w:eastAsia="Calibri"/>
          <w:i/>
          <w:lang w:val="fr-CH"/>
        </w:rPr>
        <w:t>;</w:t>
      </w:r>
    </w:p>
    <w:p w14:paraId="0BD803E2" w14:textId="1D29EBA3" w:rsidR="00E451AF" w:rsidRPr="00AA5D85" w:rsidRDefault="00E451AF" w:rsidP="00AA5D85">
      <w:pPr>
        <w:rPr>
          <w:color w:val="000000"/>
        </w:rPr>
      </w:pPr>
      <w:r w:rsidRPr="000651D8">
        <w:rPr>
          <w:lang w:val="fr-CH"/>
        </w:rPr>
        <w:t>7</w:t>
      </w:r>
      <w:r w:rsidRPr="000651D8">
        <w:rPr>
          <w:lang w:val="fr-CH"/>
        </w:rPr>
        <w:tab/>
      </w:r>
      <w:r w:rsidR="000651D8" w:rsidRPr="000651D8">
        <w:rPr>
          <w:lang w:val="fr-CH"/>
        </w:rPr>
        <w:t xml:space="preserve">à définir, </w:t>
      </w:r>
      <w:r w:rsidR="000651D8" w:rsidRPr="000651D8">
        <w:rPr>
          <w:color w:val="000000"/>
          <w:lang w:val="fr-CH"/>
        </w:rPr>
        <w:t>compte tenu des résultats des études ci-dessus dans les bandes de fréquences</w:t>
      </w:r>
      <w:r w:rsidR="000651D8">
        <w:rPr>
          <w:color w:val="000000"/>
          <w:lang w:val="fr-CH"/>
        </w:rPr>
        <w:t xml:space="preserve"> </w:t>
      </w:r>
      <w:r w:rsidR="005B24F5">
        <w:rPr>
          <w:color w:val="000000"/>
          <w:lang w:val="fr-CH"/>
        </w:rPr>
        <w:t>considérées</w:t>
      </w:r>
      <w:r w:rsidR="000651D8">
        <w:rPr>
          <w:color w:val="000000"/>
          <w:lang w:val="fr-CH"/>
        </w:rPr>
        <w:t>, ou dans des parties de ces bandes de fréquences</w:t>
      </w:r>
      <w:r w:rsidR="000651D8" w:rsidRPr="000651D8">
        <w:rPr>
          <w:color w:val="000000"/>
          <w:lang w:val="fr-CH"/>
        </w:rPr>
        <w:t>,</w:t>
      </w:r>
      <w:r w:rsidR="000651D8" w:rsidRPr="000651D8">
        <w:rPr>
          <w:color w:val="000000"/>
        </w:rPr>
        <w:t xml:space="preserve"> </w:t>
      </w:r>
      <w:r w:rsidR="000651D8">
        <w:rPr>
          <w:color w:val="000000"/>
        </w:rPr>
        <w:t xml:space="preserve">les conditions techniques et les dispositions </w:t>
      </w:r>
      <w:r w:rsidR="000651D8" w:rsidRPr="0030529C">
        <w:t>réglementaires</w:t>
      </w:r>
      <w:r w:rsidR="000651D8">
        <w:rPr>
          <w:color w:val="000000"/>
        </w:rPr>
        <w:t xml:space="preserve"> </w:t>
      </w:r>
      <w:r w:rsidR="000651D8" w:rsidRPr="0030529C">
        <w:t>applicables</w:t>
      </w:r>
      <w:r w:rsidR="000651D8">
        <w:rPr>
          <w:color w:val="000000"/>
        </w:rPr>
        <w:t xml:space="preserve"> à</w:t>
      </w:r>
      <w:r w:rsidR="00107FBE">
        <w:rPr>
          <w:color w:val="000000"/>
        </w:rPr>
        <w:t xml:space="preserve"> </w:t>
      </w:r>
      <w:r w:rsidR="000651D8" w:rsidRPr="0030529C">
        <w:t>l</w:t>
      </w:r>
      <w:r w:rsidR="00107FBE" w:rsidRPr="0030529C">
        <w:t>'</w:t>
      </w:r>
      <w:r w:rsidR="000651D8" w:rsidRPr="0030529C">
        <w:t>exploitation</w:t>
      </w:r>
      <w:r w:rsidR="000651D8">
        <w:rPr>
          <w:color w:val="000000"/>
        </w:rPr>
        <w:t xml:space="preserve"> des </w:t>
      </w:r>
      <w:r w:rsidR="000651D8" w:rsidRPr="0030529C">
        <w:t>liaisons</w:t>
      </w:r>
      <w:r w:rsidR="000651D8">
        <w:rPr>
          <w:color w:val="000000"/>
        </w:rPr>
        <w:t xml:space="preserve"> </w:t>
      </w:r>
      <w:r w:rsidR="000651D8" w:rsidRPr="0030529C">
        <w:t>inter</w:t>
      </w:r>
      <w:r w:rsidR="000651D8">
        <w:rPr>
          <w:color w:val="000000"/>
        </w:rPr>
        <w:t>-</w:t>
      </w:r>
      <w:r w:rsidR="000651D8" w:rsidRPr="0030529C">
        <w:t>satellites</w:t>
      </w:r>
      <w:r w:rsidR="000651D8">
        <w:rPr>
          <w:color w:val="000000"/>
        </w:rPr>
        <w:t>,</w:t>
      </w:r>
      <w:r w:rsidR="000651D8" w:rsidRPr="000651D8">
        <w:rPr>
          <w:color w:val="000000"/>
          <w:lang w:val="fr-CH"/>
        </w:rPr>
        <w:t xml:space="preserve"> </w:t>
      </w:r>
      <w:r w:rsidR="000651D8">
        <w:rPr>
          <w:color w:val="000000"/>
          <w:lang w:val="fr-CH"/>
        </w:rPr>
        <w:t xml:space="preserve">y compris en ajoutant le sens de </w:t>
      </w:r>
      <w:r w:rsidR="000651D8" w:rsidRPr="0030529C">
        <w:t>transmissions</w:t>
      </w:r>
      <w:r w:rsidR="000651D8">
        <w:rPr>
          <w:color w:val="000000"/>
          <w:lang w:val="fr-CH"/>
        </w:rPr>
        <w:t xml:space="preserve"> </w:t>
      </w:r>
      <w:r w:rsidR="00AA57E1">
        <w:rPr>
          <w:color w:val="000000"/>
          <w:lang w:val="fr-CH"/>
        </w:rPr>
        <w:t>espace</w:t>
      </w:r>
      <w:r w:rsidR="00A61D76">
        <w:rPr>
          <w:color w:val="000000"/>
          <w:lang w:val="fr-CH"/>
        </w:rPr>
        <w:t>-</w:t>
      </w:r>
      <w:r w:rsidR="00AA57E1">
        <w:rPr>
          <w:color w:val="000000"/>
          <w:lang w:val="fr-CH"/>
        </w:rPr>
        <w:t>espace</w:t>
      </w:r>
      <w:r w:rsidR="000651D8">
        <w:rPr>
          <w:color w:val="000000"/>
          <w:lang w:val="fr-CH"/>
        </w:rPr>
        <w:t xml:space="preserve"> dans les attributions existantes aux services par satellite, ou en ajoutant une nouvelle attribution au service</w:t>
      </w:r>
      <w:r w:rsidR="000651D8" w:rsidRPr="000651D8">
        <w:rPr>
          <w:color w:val="000000"/>
        </w:rPr>
        <w:t xml:space="preserve"> </w:t>
      </w:r>
      <w:r w:rsidR="000651D8">
        <w:rPr>
          <w:color w:val="000000"/>
        </w:rPr>
        <w:t>inter-satellites, selon le cas,</w:t>
      </w:r>
    </w:p>
    <w:p w14:paraId="7BF3D68A" w14:textId="71158664" w:rsidR="00E451AF" w:rsidRDefault="00E451AF" w:rsidP="00AA5D85">
      <w:pPr>
        <w:pStyle w:val="Call"/>
      </w:pPr>
      <w:r w:rsidRPr="00E451AF">
        <w:t>invite les administrations</w:t>
      </w:r>
    </w:p>
    <w:p w14:paraId="6BEECEDA" w14:textId="77777777" w:rsidR="00E451AF" w:rsidRPr="008D6C3C" w:rsidRDefault="00E451AF" w:rsidP="00AA5D85">
      <w:pPr>
        <w:rPr>
          <w:lang w:val="fr-CH"/>
        </w:rPr>
      </w:pPr>
      <w:r w:rsidRPr="008D6C3C">
        <w:rPr>
          <w:lang w:val="fr-CH"/>
        </w:rPr>
        <w:t>à participer aux études et à fournir des contributions,</w:t>
      </w:r>
    </w:p>
    <w:p w14:paraId="4382685F" w14:textId="3F34689D" w:rsidR="00E451AF" w:rsidRPr="008D6C3C" w:rsidRDefault="00E451AF" w:rsidP="00AA5D85">
      <w:pPr>
        <w:pStyle w:val="Call"/>
        <w:rPr>
          <w:lang w:val="fr-CH"/>
        </w:rPr>
      </w:pPr>
      <w:r w:rsidRPr="008D6C3C">
        <w:rPr>
          <w:lang w:val="fr-CH"/>
        </w:rPr>
        <w:t xml:space="preserve">décide d'inviter la </w:t>
      </w:r>
      <w:r>
        <w:rPr>
          <w:lang w:val="fr-CH"/>
        </w:rPr>
        <w:t>Conférence mondiale des radiocommunications de 2023</w:t>
      </w:r>
    </w:p>
    <w:p w14:paraId="2003DCCE" w14:textId="405FDB83" w:rsidR="00E451AF" w:rsidRDefault="00E451AF" w:rsidP="00450234">
      <w:pPr>
        <w:rPr>
          <w:color w:val="000000"/>
          <w:lang w:val="fr-CH"/>
        </w:rPr>
      </w:pPr>
      <w:r w:rsidRPr="008D6C3C">
        <w:rPr>
          <w:lang w:val="fr-CH"/>
        </w:rPr>
        <w:t xml:space="preserve">à examiner les résultats des études susmentionnées et à prendre les </w:t>
      </w:r>
      <w:r w:rsidRPr="008D6C3C">
        <w:rPr>
          <w:color w:val="000000"/>
          <w:lang w:val="fr-CH"/>
        </w:rPr>
        <w:t xml:space="preserve">mesures </w:t>
      </w:r>
      <w:r w:rsidRPr="00450234">
        <w:t>réglementaire</w:t>
      </w:r>
      <w:r w:rsidR="00450234">
        <w:t xml:space="preserve">s </w:t>
      </w:r>
      <w:r w:rsidRPr="00450234">
        <w:t>nécessaires</w:t>
      </w:r>
      <w:r w:rsidR="00450234">
        <w:t>, le c</w:t>
      </w:r>
      <w:r w:rsidRPr="00450234">
        <w:t>a</w:t>
      </w:r>
      <w:r w:rsidR="00450234" w:rsidRPr="00450234">
        <w:t>s</w:t>
      </w:r>
      <w:r w:rsidR="00450234">
        <w:t xml:space="preserve"> </w:t>
      </w:r>
      <w:r w:rsidRPr="00450234">
        <w:t>échéant</w:t>
      </w:r>
      <w:r>
        <w:rPr>
          <w:color w:val="000000"/>
          <w:lang w:val="fr-CH"/>
        </w:rPr>
        <w:t>.</w:t>
      </w:r>
    </w:p>
    <w:p w14:paraId="3874F84C" w14:textId="77777777" w:rsidR="001239FC" w:rsidRPr="00450234" w:rsidRDefault="001239FC" w:rsidP="001239FC">
      <w:pPr>
        <w:pStyle w:val="Reasons"/>
      </w:pPr>
      <w:bookmarkStart w:id="8" w:name="_GoBack"/>
      <w:bookmarkEnd w:id="8"/>
    </w:p>
    <w:p w14:paraId="124C9BDB" w14:textId="12461227" w:rsidR="00E451AF" w:rsidRPr="00E451AF" w:rsidRDefault="00E451AF" w:rsidP="000651D8">
      <w:pPr>
        <w:spacing w:line="480" w:lineRule="auto"/>
        <w:jc w:val="center"/>
      </w:pPr>
      <w:r>
        <w:t>______________</w:t>
      </w:r>
    </w:p>
    <w:sectPr w:rsidR="00E451AF" w:rsidRPr="00E451AF">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B72BC" w14:textId="77777777" w:rsidR="005B24F5" w:rsidRDefault="005B24F5">
      <w:r>
        <w:separator/>
      </w:r>
    </w:p>
  </w:endnote>
  <w:endnote w:type="continuationSeparator" w:id="0">
    <w:p w14:paraId="3D244D52" w14:textId="77777777" w:rsidR="005B24F5" w:rsidRDefault="005B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63C2A" w14:textId="0AF8E7F1" w:rsidR="005B24F5" w:rsidRDefault="005B24F5">
    <w:pPr>
      <w:rPr>
        <w:lang w:val="en-US"/>
      </w:rPr>
    </w:pPr>
    <w:r>
      <w:fldChar w:fldCharType="begin"/>
    </w:r>
    <w:r>
      <w:rPr>
        <w:lang w:val="en-US"/>
      </w:rPr>
      <w:instrText xml:space="preserve"> FILENAME \p  \* MERGEFORMAT </w:instrText>
    </w:r>
    <w:r>
      <w:fldChar w:fldCharType="separate"/>
    </w:r>
    <w:r w:rsidR="003E0575">
      <w:rPr>
        <w:noProof/>
        <w:lang w:val="en-US"/>
      </w:rPr>
      <w:t>P:\FRA\ITU-R\CONF-R\CMR19\000\011ADD24ADD16F.docx</w:t>
    </w:r>
    <w:r>
      <w:fldChar w:fldCharType="end"/>
    </w:r>
    <w:r>
      <w:rPr>
        <w:lang w:val="en-US"/>
      </w:rPr>
      <w:tab/>
    </w:r>
    <w:r>
      <w:fldChar w:fldCharType="begin"/>
    </w:r>
    <w:r>
      <w:instrText xml:space="preserve"> SAVEDATE \@ DD.MM.YY </w:instrText>
    </w:r>
    <w:r>
      <w:fldChar w:fldCharType="separate"/>
    </w:r>
    <w:r w:rsidR="003E0575">
      <w:rPr>
        <w:noProof/>
      </w:rPr>
      <w:t>08.10.19</w:t>
    </w:r>
    <w:r>
      <w:fldChar w:fldCharType="end"/>
    </w:r>
    <w:r>
      <w:rPr>
        <w:lang w:val="en-US"/>
      </w:rPr>
      <w:tab/>
    </w:r>
    <w:r>
      <w:fldChar w:fldCharType="begin"/>
    </w:r>
    <w:r>
      <w:instrText xml:space="preserve"> PRINTDATE \@ DD.MM.YY </w:instrText>
    </w:r>
    <w:r>
      <w:fldChar w:fldCharType="separate"/>
    </w:r>
    <w:r w:rsidR="003E0575">
      <w:rPr>
        <w:noProof/>
      </w:rPr>
      <w:t>08.10.19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FC8BF" w14:textId="749A00C5" w:rsidR="005B24F5" w:rsidRDefault="005B24F5" w:rsidP="007B2C34">
    <w:pPr>
      <w:pStyle w:val="Footer"/>
      <w:rPr>
        <w:lang w:val="en-US"/>
      </w:rPr>
    </w:pPr>
    <w:r>
      <w:fldChar w:fldCharType="begin"/>
    </w:r>
    <w:r>
      <w:rPr>
        <w:lang w:val="en-US"/>
      </w:rPr>
      <w:instrText xml:space="preserve"> FILENAME \p  \* MERGEFORMAT </w:instrText>
    </w:r>
    <w:r>
      <w:fldChar w:fldCharType="separate"/>
    </w:r>
    <w:r w:rsidR="003E0575">
      <w:rPr>
        <w:lang w:val="en-US"/>
      </w:rPr>
      <w:t>P:\FRA\ITU-R\CONF-R\CMR19\000\011ADD24ADD16F.docx</w:t>
    </w:r>
    <w:r>
      <w:fldChar w:fldCharType="end"/>
    </w:r>
    <w:r w:rsidRPr="00822130">
      <w:rPr>
        <w:lang w:val="en-US"/>
      </w:rPr>
      <w:t xml:space="preserve"> (460783)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7D7DB" w14:textId="091C3EB1" w:rsidR="005B24F5" w:rsidRDefault="005B24F5" w:rsidP="001A11F6">
    <w:pPr>
      <w:pStyle w:val="Footer"/>
      <w:rPr>
        <w:lang w:val="en-US"/>
      </w:rPr>
    </w:pPr>
    <w:r>
      <w:fldChar w:fldCharType="begin"/>
    </w:r>
    <w:r>
      <w:rPr>
        <w:lang w:val="en-US"/>
      </w:rPr>
      <w:instrText xml:space="preserve"> FILENAME \p  \* MERGEFORMAT </w:instrText>
    </w:r>
    <w:r>
      <w:fldChar w:fldCharType="separate"/>
    </w:r>
    <w:r w:rsidR="003E0575">
      <w:rPr>
        <w:lang w:val="en-US"/>
      </w:rPr>
      <w:t>P:\FRA\ITU-R\CONF-R\CMR19\000\011ADD24ADD16F.docx</w:t>
    </w:r>
    <w:r>
      <w:fldChar w:fldCharType="end"/>
    </w:r>
    <w:r w:rsidRPr="00822130">
      <w:rPr>
        <w:lang w:val="en-US"/>
      </w:rPr>
      <w:t xml:space="preserve"> (460783)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ACBB4" w14:textId="77777777" w:rsidR="005B24F5" w:rsidRDefault="005B24F5">
      <w:r>
        <w:rPr>
          <w:b/>
        </w:rPr>
        <w:t>_______________</w:t>
      </w:r>
    </w:p>
  </w:footnote>
  <w:footnote w:type="continuationSeparator" w:id="0">
    <w:p w14:paraId="59D4D962" w14:textId="77777777" w:rsidR="005B24F5" w:rsidRDefault="005B24F5">
      <w:r>
        <w:continuationSeparator/>
      </w:r>
    </w:p>
  </w:footnote>
  <w:footnote w:id="1">
    <w:p w14:paraId="41F588E4" w14:textId="74D1D6B5" w:rsidR="005B24F5" w:rsidRPr="00822130" w:rsidRDefault="005B24F5" w:rsidP="00107FBE">
      <w:pPr>
        <w:pStyle w:val="FootnoteText"/>
        <w:rPr>
          <w:lang w:val="en-US"/>
        </w:rPr>
      </w:pPr>
      <w:r>
        <w:rPr>
          <w:rStyle w:val="FootnoteReference"/>
        </w:rPr>
        <w:footnoteRef/>
      </w:r>
      <w:r w:rsidRPr="00822130">
        <w:rPr>
          <w:lang w:val="en-US"/>
        </w:rPr>
        <w:t xml:space="preserve"> Alaska SAR Facility. RADARSAT-1 Standard Beam SAR Images </w:t>
      </w:r>
      <m:oMath>
        <m:r>
          <w:rPr>
            <w:rFonts w:ascii="Cambria Math" w:hAnsi="Cambria Math"/>
            <w:lang w:val="en-US"/>
          </w:rPr>
          <m:t>-</m:t>
        </m:r>
      </m:oMath>
      <w:r w:rsidRPr="00822130">
        <w:rPr>
          <w:lang w:val="en-US"/>
        </w:rPr>
        <w:t xml:space="preserve"> National Snow and Ice, Geophysical Institute </w:t>
      </w:r>
      <w:r w:rsidR="00700561" w:rsidRPr="00700561">
        <w:rPr>
          <w:lang w:val="en-US"/>
        </w:rPr>
        <w:t>–</w:t>
      </w:r>
      <w:r w:rsidRPr="00822130">
        <w:rPr>
          <w:lang w:val="en-US"/>
        </w:rPr>
        <w:t xml:space="preserve"> University of Alaska Fairbanks, 1999.</w:t>
      </w:r>
    </w:p>
  </w:footnote>
  <w:footnote w:id="2">
    <w:p w14:paraId="03916960" w14:textId="77777777" w:rsidR="005B24F5" w:rsidRPr="00822130" w:rsidRDefault="005B24F5" w:rsidP="00107FBE">
      <w:pPr>
        <w:pStyle w:val="FootnoteText"/>
        <w:rPr>
          <w:lang w:val="en-US"/>
        </w:rPr>
      </w:pPr>
      <w:r>
        <w:rPr>
          <w:rStyle w:val="FootnoteReference"/>
        </w:rPr>
        <w:footnoteRef/>
      </w:r>
      <w:r w:rsidRPr="00822130">
        <w:rPr>
          <w:lang w:val="en-US"/>
        </w:rPr>
        <w:t xml:space="preserve"> Amelung F. NISAR Science Users’ Handbook, National Aeronautics and Space Administration,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57001" w14:textId="77777777" w:rsidR="005B24F5" w:rsidRDefault="005B24F5" w:rsidP="004F1F8E">
    <w:pPr>
      <w:pStyle w:val="Header"/>
    </w:pPr>
    <w:r>
      <w:fldChar w:fldCharType="begin"/>
    </w:r>
    <w:r>
      <w:instrText xml:space="preserve"> PAGE </w:instrText>
    </w:r>
    <w:r>
      <w:fldChar w:fldCharType="separate"/>
    </w:r>
    <w:r>
      <w:rPr>
        <w:noProof/>
      </w:rPr>
      <w:t>2</w:t>
    </w:r>
    <w:r>
      <w:fldChar w:fldCharType="end"/>
    </w:r>
  </w:p>
  <w:p w14:paraId="78E6CF5F" w14:textId="77777777" w:rsidR="005B24F5" w:rsidRDefault="005B24F5" w:rsidP="00FD7AA3">
    <w:pPr>
      <w:pStyle w:val="Header"/>
    </w:pPr>
    <w:r>
      <w:t>CMR19/11(Add.24)(Add.16)-</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6B858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125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EEE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E6C6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C473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1685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7AD7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F2E2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E08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7A54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C435E1-A2FC-4B8E-BAF7-D6143454FCEE}"/>
    <w:docVar w:name="dgnword-eventsink" w:val="2108160234928"/>
  </w:docVars>
  <w:rsids>
    <w:rsidRoot w:val="00BB1D82"/>
    <w:rsid w:val="00000E66"/>
    <w:rsid w:val="00007EC7"/>
    <w:rsid w:val="00010B43"/>
    <w:rsid w:val="00016648"/>
    <w:rsid w:val="0003522F"/>
    <w:rsid w:val="00063A1F"/>
    <w:rsid w:val="000651D8"/>
    <w:rsid w:val="00065ABF"/>
    <w:rsid w:val="00080E2C"/>
    <w:rsid w:val="00081366"/>
    <w:rsid w:val="000863B3"/>
    <w:rsid w:val="000A4755"/>
    <w:rsid w:val="000A55AE"/>
    <w:rsid w:val="000B2E0C"/>
    <w:rsid w:val="000B3D0C"/>
    <w:rsid w:val="00107FBE"/>
    <w:rsid w:val="00111446"/>
    <w:rsid w:val="001167B9"/>
    <w:rsid w:val="00120A41"/>
    <w:rsid w:val="001239FC"/>
    <w:rsid w:val="001267A0"/>
    <w:rsid w:val="0015203F"/>
    <w:rsid w:val="00160C64"/>
    <w:rsid w:val="00176774"/>
    <w:rsid w:val="0018169B"/>
    <w:rsid w:val="0019352B"/>
    <w:rsid w:val="001960D0"/>
    <w:rsid w:val="001A11F6"/>
    <w:rsid w:val="001F17E8"/>
    <w:rsid w:val="00204306"/>
    <w:rsid w:val="00226DC7"/>
    <w:rsid w:val="00232FD2"/>
    <w:rsid w:val="002543EE"/>
    <w:rsid w:val="00256544"/>
    <w:rsid w:val="0026554E"/>
    <w:rsid w:val="002A4622"/>
    <w:rsid w:val="002A6F8F"/>
    <w:rsid w:val="002B17E5"/>
    <w:rsid w:val="002C0EBF"/>
    <w:rsid w:val="002C28A4"/>
    <w:rsid w:val="002D7E0A"/>
    <w:rsid w:val="0030529C"/>
    <w:rsid w:val="00315AFE"/>
    <w:rsid w:val="00316E7F"/>
    <w:rsid w:val="0032050B"/>
    <w:rsid w:val="003256A2"/>
    <w:rsid w:val="003342B1"/>
    <w:rsid w:val="00344EDF"/>
    <w:rsid w:val="00357BFA"/>
    <w:rsid w:val="003606A6"/>
    <w:rsid w:val="0036650C"/>
    <w:rsid w:val="00393ACD"/>
    <w:rsid w:val="00397939"/>
    <w:rsid w:val="003A583E"/>
    <w:rsid w:val="003B739C"/>
    <w:rsid w:val="003D3BA5"/>
    <w:rsid w:val="003E0575"/>
    <w:rsid w:val="003E112B"/>
    <w:rsid w:val="003E1D1C"/>
    <w:rsid w:val="003E7B05"/>
    <w:rsid w:val="003F3719"/>
    <w:rsid w:val="003F6BF7"/>
    <w:rsid w:val="003F6F2D"/>
    <w:rsid w:val="00450234"/>
    <w:rsid w:val="00466211"/>
    <w:rsid w:val="00480CE7"/>
    <w:rsid w:val="00483196"/>
    <w:rsid w:val="004834A9"/>
    <w:rsid w:val="004C5060"/>
    <w:rsid w:val="004D01FC"/>
    <w:rsid w:val="004E28C3"/>
    <w:rsid w:val="004F0DEB"/>
    <w:rsid w:val="004F1200"/>
    <w:rsid w:val="004F1F8E"/>
    <w:rsid w:val="004F667B"/>
    <w:rsid w:val="00512A32"/>
    <w:rsid w:val="005343DA"/>
    <w:rsid w:val="00560874"/>
    <w:rsid w:val="00586CF2"/>
    <w:rsid w:val="005A7C75"/>
    <w:rsid w:val="005B24F5"/>
    <w:rsid w:val="005C3768"/>
    <w:rsid w:val="005C42C8"/>
    <w:rsid w:val="005C6C3F"/>
    <w:rsid w:val="005D1A42"/>
    <w:rsid w:val="00613635"/>
    <w:rsid w:val="0062093D"/>
    <w:rsid w:val="00637ECF"/>
    <w:rsid w:val="00647B59"/>
    <w:rsid w:val="00690C7B"/>
    <w:rsid w:val="006A4B45"/>
    <w:rsid w:val="006D4724"/>
    <w:rsid w:val="006F5FA2"/>
    <w:rsid w:val="00700561"/>
    <w:rsid w:val="0070076C"/>
    <w:rsid w:val="00701BAE"/>
    <w:rsid w:val="00704D57"/>
    <w:rsid w:val="00721F04"/>
    <w:rsid w:val="00730E95"/>
    <w:rsid w:val="00734589"/>
    <w:rsid w:val="007426B9"/>
    <w:rsid w:val="00764342"/>
    <w:rsid w:val="00774362"/>
    <w:rsid w:val="007847D2"/>
    <w:rsid w:val="00786598"/>
    <w:rsid w:val="00786CFD"/>
    <w:rsid w:val="00790C74"/>
    <w:rsid w:val="007A04E8"/>
    <w:rsid w:val="007A7E3E"/>
    <w:rsid w:val="007B2C34"/>
    <w:rsid w:val="007C76ED"/>
    <w:rsid w:val="007E691F"/>
    <w:rsid w:val="00815944"/>
    <w:rsid w:val="00822130"/>
    <w:rsid w:val="00830086"/>
    <w:rsid w:val="00851625"/>
    <w:rsid w:val="008610F4"/>
    <w:rsid w:val="00863C0A"/>
    <w:rsid w:val="00867F8D"/>
    <w:rsid w:val="00871ED4"/>
    <w:rsid w:val="008A3120"/>
    <w:rsid w:val="008A4B97"/>
    <w:rsid w:val="008C5B8E"/>
    <w:rsid w:val="008C5DD5"/>
    <w:rsid w:val="008C6B99"/>
    <w:rsid w:val="008D41BE"/>
    <w:rsid w:val="008D58D3"/>
    <w:rsid w:val="008E3BC9"/>
    <w:rsid w:val="009050AD"/>
    <w:rsid w:val="00923064"/>
    <w:rsid w:val="00930FFD"/>
    <w:rsid w:val="009354C2"/>
    <w:rsid w:val="00936D25"/>
    <w:rsid w:val="009374E4"/>
    <w:rsid w:val="00941EA5"/>
    <w:rsid w:val="00952BF6"/>
    <w:rsid w:val="00964700"/>
    <w:rsid w:val="00966C16"/>
    <w:rsid w:val="0098732F"/>
    <w:rsid w:val="0099507B"/>
    <w:rsid w:val="009A045F"/>
    <w:rsid w:val="009A6A2B"/>
    <w:rsid w:val="009C7E7C"/>
    <w:rsid w:val="009E1032"/>
    <w:rsid w:val="00A00473"/>
    <w:rsid w:val="00A03C9B"/>
    <w:rsid w:val="00A14C5F"/>
    <w:rsid w:val="00A16C58"/>
    <w:rsid w:val="00A303F2"/>
    <w:rsid w:val="00A36F88"/>
    <w:rsid w:val="00A37105"/>
    <w:rsid w:val="00A46D84"/>
    <w:rsid w:val="00A606C3"/>
    <w:rsid w:val="00A61D76"/>
    <w:rsid w:val="00A71BF4"/>
    <w:rsid w:val="00A83B09"/>
    <w:rsid w:val="00A84541"/>
    <w:rsid w:val="00AA09BA"/>
    <w:rsid w:val="00AA57E1"/>
    <w:rsid w:val="00AA5D85"/>
    <w:rsid w:val="00AE36A0"/>
    <w:rsid w:val="00B00294"/>
    <w:rsid w:val="00B0049C"/>
    <w:rsid w:val="00B0606E"/>
    <w:rsid w:val="00B3749C"/>
    <w:rsid w:val="00B64FD0"/>
    <w:rsid w:val="00BA5BD0"/>
    <w:rsid w:val="00BB1D82"/>
    <w:rsid w:val="00BB4E30"/>
    <w:rsid w:val="00BC1011"/>
    <w:rsid w:val="00BD51C5"/>
    <w:rsid w:val="00BF26E7"/>
    <w:rsid w:val="00C20723"/>
    <w:rsid w:val="00C53FCA"/>
    <w:rsid w:val="00C6259C"/>
    <w:rsid w:val="00C652A4"/>
    <w:rsid w:val="00C76BAF"/>
    <w:rsid w:val="00C814B9"/>
    <w:rsid w:val="00C95EE3"/>
    <w:rsid w:val="00CC7D27"/>
    <w:rsid w:val="00CD516F"/>
    <w:rsid w:val="00D119A7"/>
    <w:rsid w:val="00D1289C"/>
    <w:rsid w:val="00D24AAF"/>
    <w:rsid w:val="00D25FBA"/>
    <w:rsid w:val="00D27578"/>
    <w:rsid w:val="00D32B28"/>
    <w:rsid w:val="00D42954"/>
    <w:rsid w:val="00D66EAC"/>
    <w:rsid w:val="00D730DF"/>
    <w:rsid w:val="00D772F0"/>
    <w:rsid w:val="00D77BDC"/>
    <w:rsid w:val="00DC402B"/>
    <w:rsid w:val="00DE0932"/>
    <w:rsid w:val="00E03A27"/>
    <w:rsid w:val="00E049F1"/>
    <w:rsid w:val="00E23F8B"/>
    <w:rsid w:val="00E37A25"/>
    <w:rsid w:val="00E451AF"/>
    <w:rsid w:val="00E537FF"/>
    <w:rsid w:val="00E6539B"/>
    <w:rsid w:val="00E70A31"/>
    <w:rsid w:val="00E70CA1"/>
    <w:rsid w:val="00E723A7"/>
    <w:rsid w:val="00EA3F38"/>
    <w:rsid w:val="00EA5AB6"/>
    <w:rsid w:val="00EB1634"/>
    <w:rsid w:val="00EB68C0"/>
    <w:rsid w:val="00EC7615"/>
    <w:rsid w:val="00ED16AA"/>
    <w:rsid w:val="00ED6B8D"/>
    <w:rsid w:val="00EE3D7B"/>
    <w:rsid w:val="00EF662E"/>
    <w:rsid w:val="00F10064"/>
    <w:rsid w:val="00F148F1"/>
    <w:rsid w:val="00F31960"/>
    <w:rsid w:val="00F536AD"/>
    <w:rsid w:val="00F711A7"/>
    <w:rsid w:val="00FA3BBF"/>
    <w:rsid w:val="00FC41F8"/>
    <w:rsid w:val="00FD7AA3"/>
    <w:rsid w:val="00FF1C40"/>
    <w:rsid w:val="00FF213C"/>
    <w:rsid w:val="00FF35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0C40F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NormalaftertitleChar">
    <w:name w:val="Normal after title Char"/>
    <w:basedOn w:val="DefaultParagraphFont"/>
    <w:link w:val="Normalaftertitle"/>
    <w:rsid w:val="00EB1634"/>
    <w:rPr>
      <w:rFonts w:ascii="Times New Roman" w:hAnsi="Times New Roman"/>
      <w:sz w:val="24"/>
      <w:lang w:val="fr-FR" w:eastAsia="en-US"/>
    </w:rPr>
  </w:style>
  <w:style w:type="paragraph" w:styleId="BodyText">
    <w:name w:val="Body Text"/>
    <w:basedOn w:val="Normal"/>
    <w:link w:val="BodyTextChar"/>
    <w:rsid w:val="00D27578"/>
    <w:pPr>
      <w:tabs>
        <w:tab w:val="clear" w:pos="1134"/>
        <w:tab w:val="clear" w:pos="1871"/>
        <w:tab w:val="clear" w:pos="2268"/>
      </w:tabs>
      <w:overflowPunct/>
      <w:autoSpaceDE/>
      <w:autoSpaceDN/>
      <w:adjustRightInd/>
      <w:spacing w:before="0" w:after="120"/>
      <w:textAlignment w:val="auto"/>
    </w:pPr>
    <w:rPr>
      <w:sz w:val="20"/>
      <w:lang w:val="en-US"/>
    </w:rPr>
  </w:style>
  <w:style w:type="character" w:customStyle="1" w:styleId="BodyTextChar">
    <w:name w:val="Body Text Char"/>
    <w:basedOn w:val="DefaultParagraphFont"/>
    <w:link w:val="BodyText"/>
    <w:rsid w:val="00D27578"/>
    <w:rPr>
      <w:rFonts w:ascii="Times New Roman" w:hAnsi="Times New Roman"/>
      <w:lang w:eastAsia="en-US"/>
    </w:rPr>
  </w:style>
  <w:style w:type="character" w:customStyle="1" w:styleId="CallChar">
    <w:name w:val="Call Char"/>
    <w:link w:val="Call"/>
    <w:locked/>
    <w:rsid w:val="00D27578"/>
    <w:rPr>
      <w:rFonts w:ascii="Times New Roman" w:hAnsi="Times New Roman"/>
      <w:i/>
      <w:sz w:val="24"/>
      <w:lang w:val="fr-FR" w:eastAsia="en-US"/>
    </w:rPr>
  </w:style>
  <w:style w:type="character" w:styleId="CommentReference">
    <w:name w:val="annotation reference"/>
    <w:rsid w:val="00D2757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R16-WRC19-C-0011!A24-A16!MSW-F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367C0-043A-4FD1-836E-4E6FA3A00FA4}">
  <ds:schemaRefs>
    <ds:schemaRef ds:uri="http://schemas.microsoft.com/sharepoint/v3/contenttype/forms"/>
  </ds:schemaRefs>
</ds:datastoreItem>
</file>

<file path=customXml/itemProps2.xml><?xml version="1.0" encoding="utf-8"?>
<ds:datastoreItem xmlns:ds="http://schemas.openxmlformats.org/officeDocument/2006/customXml" ds:itemID="{3E2861BC-786A-4801-BA04-309DCC4D7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3D45D-CDE5-45F4-A535-7312C6EA5CAC}">
  <ds:schemaRefs>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 ds:uri="996b2e75-67fd-4955-a3b0-5ab9934cb50b"/>
    <ds:schemaRef ds:uri="http://purl.org/dc/terms/"/>
    <ds:schemaRef ds:uri="http://schemas.microsoft.com/office/2006/documentManagement/types"/>
    <ds:schemaRef ds:uri="http://schemas.microsoft.com/office/infopath/2007/PartnerControls"/>
    <ds:schemaRef ds:uri="32a1a8c5-2265-4ebc-b7a0-2071e2c5c9bb"/>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9FA43007-501E-4A58-AE93-794C4ADE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3527</Words>
  <Characters>19592</Characters>
  <Application>Microsoft Office Word</Application>
  <DocSecurity>0</DocSecurity>
  <Lines>306</Lines>
  <Paragraphs>90</Paragraphs>
  <ScaleCrop>false</ScaleCrop>
  <HeadingPairs>
    <vt:vector size="2" baseType="variant">
      <vt:variant>
        <vt:lpstr>Title</vt:lpstr>
      </vt:variant>
      <vt:variant>
        <vt:i4>1</vt:i4>
      </vt:variant>
    </vt:vector>
  </HeadingPairs>
  <TitlesOfParts>
    <vt:vector size="1" baseType="lpstr">
      <vt:lpstr>R16-WRC19-C-0011!A24-A16!MSW-F</vt:lpstr>
    </vt:vector>
  </TitlesOfParts>
  <Manager>Secrétariat général - Pool</Manager>
  <Company>Union internationale des télécommunications (UIT)</Company>
  <LinksUpToDate>false</LinksUpToDate>
  <CharactersWithSpaces>23034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R16-WRC19-C-0011!A24-A16!MSW-F</dc:title>
  <dc:subject>Conférence mondiale des radiocommunications - 2019</dc:subject>
  <dc:creator>Documents Proposals Manager (DPM)</dc:creator>
  <cp:keywords>DPM_v2019.9.18.2_prod</cp:keywords>
  <dc:description/>
  <cp:lastModifiedBy>French1</cp:lastModifiedBy>
  <cp:revision>19</cp:revision>
  <cp:lastPrinted>2019-10-08T10:21:00Z</cp:lastPrinted>
  <dcterms:created xsi:type="dcterms:W3CDTF">2019-09-24T12:20:00Z</dcterms:created>
  <dcterms:modified xsi:type="dcterms:W3CDTF">2019-10-08T10:21:00Z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