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FB39CC" w14:paraId="43EC1EF7" w14:textId="77777777" w:rsidTr="005A6D78">
        <w:trPr>
          <w:cantSplit/>
        </w:trPr>
        <w:tc>
          <w:tcPr>
            <w:tcW w:w="6804" w:type="dxa"/>
          </w:tcPr>
          <w:p w14:paraId="25E01F1B" w14:textId="77777777" w:rsidR="00BB1D82" w:rsidRPr="00FB39CC" w:rsidRDefault="00851625" w:rsidP="00964B1C">
            <w:pPr>
              <w:spacing w:before="400" w:after="48"/>
              <w:rPr>
                <w:rFonts w:ascii="Verdana" w:hAnsi="Verdana"/>
                <w:b/>
                <w:bCs/>
                <w:sz w:val="20"/>
              </w:rPr>
            </w:pPr>
            <w:r w:rsidRPr="00FB39CC">
              <w:rPr>
                <w:rFonts w:ascii="Verdana" w:hAnsi="Verdana"/>
                <w:b/>
                <w:bCs/>
                <w:sz w:val="20"/>
              </w:rPr>
              <w:t>Conférence mondiale des radiocommunications (CMR-1</w:t>
            </w:r>
            <w:r w:rsidR="00FD7AA3" w:rsidRPr="00FB39CC">
              <w:rPr>
                <w:rFonts w:ascii="Verdana" w:hAnsi="Verdana"/>
                <w:b/>
                <w:bCs/>
                <w:sz w:val="20"/>
              </w:rPr>
              <w:t>9</w:t>
            </w:r>
            <w:r w:rsidRPr="00FB39CC">
              <w:rPr>
                <w:rFonts w:ascii="Verdana" w:hAnsi="Verdana"/>
                <w:b/>
                <w:bCs/>
                <w:sz w:val="20"/>
              </w:rPr>
              <w:t>)</w:t>
            </w:r>
            <w:r w:rsidRPr="00FB39CC">
              <w:rPr>
                <w:rFonts w:ascii="Verdana" w:hAnsi="Verdana"/>
                <w:b/>
                <w:bCs/>
                <w:sz w:val="20"/>
              </w:rPr>
              <w:br/>
            </w:r>
            <w:r w:rsidR="00063A1F" w:rsidRPr="00FB39CC">
              <w:rPr>
                <w:rFonts w:ascii="Verdana" w:hAnsi="Verdana"/>
                <w:b/>
                <w:bCs/>
                <w:sz w:val="18"/>
                <w:szCs w:val="18"/>
              </w:rPr>
              <w:t xml:space="preserve">Charm el-Cheikh, </w:t>
            </w:r>
            <w:r w:rsidR="00081366" w:rsidRPr="00FB39CC">
              <w:rPr>
                <w:rFonts w:ascii="Verdana" w:hAnsi="Verdana"/>
                <w:b/>
                <w:bCs/>
                <w:sz w:val="18"/>
                <w:szCs w:val="18"/>
              </w:rPr>
              <w:t>É</w:t>
            </w:r>
            <w:r w:rsidR="00063A1F" w:rsidRPr="00FB39CC">
              <w:rPr>
                <w:rFonts w:ascii="Verdana" w:hAnsi="Verdana"/>
                <w:b/>
                <w:bCs/>
                <w:sz w:val="18"/>
                <w:szCs w:val="18"/>
              </w:rPr>
              <w:t>gypte</w:t>
            </w:r>
            <w:r w:rsidRPr="00FB39CC">
              <w:rPr>
                <w:rFonts w:ascii="Verdana" w:hAnsi="Verdana"/>
                <w:b/>
                <w:bCs/>
                <w:sz w:val="18"/>
                <w:szCs w:val="18"/>
              </w:rPr>
              <w:t>,</w:t>
            </w:r>
            <w:r w:rsidR="00E537FF" w:rsidRPr="00FB39CC">
              <w:rPr>
                <w:rFonts w:ascii="Verdana" w:hAnsi="Verdana"/>
                <w:b/>
                <w:bCs/>
                <w:sz w:val="18"/>
                <w:szCs w:val="18"/>
              </w:rPr>
              <w:t xml:space="preserve"> </w:t>
            </w:r>
            <w:r w:rsidRPr="00FB39CC">
              <w:rPr>
                <w:rFonts w:ascii="Verdana" w:hAnsi="Verdana"/>
                <w:b/>
                <w:bCs/>
                <w:sz w:val="18"/>
                <w:szCs w:val="18"/>
              </w:rPr>
              <w:t>2</w:t>
            </w:r>
            <w:r w:rsidR="00FD7AA3" w:rsidRPr="00FB39CC">
              <w:rPr>
                <w:rFonts w:ascii="Verdana" w:hAnsi="Verdana"/>
                <w:b/>
                <w:bCs/>
                <w:sz w:val="18"/>
                <w:szCs w:val="18"/>
              </w:rPr>
              <w:t xml:space="preserve">8 octobre </w:t>
            </w:r>
            <w:r w:rsidR="00F10064" w:rsidRPr="00FB39CC">
              <w:rPr>
                <w:rFonts w:ascii="Verdana" w:hAnsi="Verdana"/>
                <w:b/>
                <w:bCs/>
                <w:sz w:val="18"/>
                <w:szCs w:val="18"/>
              </w:rPr>
              <w:t>–</w:t>
            </w:r>
            <w:r w:rsidR="00FD7AA3" w:rsidRPr="00FB39CC">
              <w:rPr>
                <w:rFonts w:ascii="Verdana" w:hAnsi="Verdana"/>
                <w:b/>
                <w:bCs/>
                <w:sz w:val="18"/>
                <w:szCs w:val="18"/>
              </w:rPr>
              <w:t xml:space="preserve"> </w:t>
            </w:r>
            <w:r w:rsidRPr="00FB39CC">
              <w:rPr>
                <w:rFonts w:ascii="Verdana" w:hAnsi="Verdana"/>
                <w:b/>
                <w:bCs/>
                <w:sz w:val="18"/>
                <w:szCs w:val="18"/>
              </w:rPr>
              <w:t>2</w:t>
            </w:r>
            <w:r w:rsidR="00FD7AA3" w:rsidRPr="00FB39CC">
              <w:rPr>
                <w:rFonts w:ascii="Verdana" w:hAnsi="Verdana"/>
                <w:b/>
                <w:bCs/>
                <w:sz w:val="18"/>
                <w:szCs w:val="18"/>
              </w:rPr>
              <w:t>2</w:t>
            </w:r>
            <w:r w:rsidRPr="00FB39CC">
              <w:rPr>
                <w:rFonts w:ascii="Verdana" w:hAnsi="Verdana"/>
                <w:b/>
                <w:bCs/>
                <w:sz w:val="18"/>
                <w:szCs w:val="18"/>
              </w:rPr>
              <w:t xml:space="preserve"> novembre 201</w:t>
            </w:r>
            <w:r w:rsidR="00FD7AA3" w:rsidRPr="00FB39CC">
              <w:rPr>
                <w:rFonts w:ascii="Verdana" w:hAnsi="Verdana"/>
                <w:b/>
                <w:bCs/>
                <w:sz w:val="18"/>
                <w:szCs w:val="18"/>
              </w:rPr>
              <w:t>9</w:t>
            </w:r>
          </w:p>
        </w:tc>
        <w:tc>
          <w:tcPr>
            <w:tcW w:w="3227" w:type="dxa"/>
          </w:tcPr>
          <w:p w14:paraId="22161338" w14:textId="77777777" w:rsidR="00BB1D82" w:rsidRPr="00FB39CC" w:rsidRDefault="000A55AE" w:rsidP="00964B1C">
            <w:pPr>
              <w:spacing w:before="0"/>
              <w:jc w:val="right"/>
            </w:pPr>
            <w:bookmarkStart w:id="0" w:name="ditulogo"/>
            <w:bookmarkEnd w:id="0"/>
            <w:r w:rsidRPr="00FB39CC">
              <w:rPr>
                <w:rFonts w:ascii="Verdana" w:hAnsi="Verdana"/>
                <w:b/>
                <w:bCs/>
                <w:noProof/>
                <w:lang w:eastAsia="zh-CN"/>
              </w:rPr>
              <w:drawing>
                <wp:inline distT="0" distB="0" distL="0" distR="0" wp14:anchorId="49F68DFC" wp14:editId="12B1CBA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FB39CC" w14:paraId="6ED5ACB0" w14:textId="77777777" w:rsidTr="005A6D78">
        <w:trPr>
          <w:cantSplit/>
        </w:trPr>
        <w:tc>
          <w:tcPr>
            <w:tcW w:w="6804" w:type="dxa"/>
            <w:tcBorders>
              <w:bottom w:val="single" w:sz="12" w:space="0" w:color="auto"/>
            </w:tcBorders>
          </w:tcPr>
          <w:p w14:paraId="546CB87B" w14:textId="77777777" w:rsidR="00BB1D82" w:rsidRPr="00FB39CC" w:rsidRDefault="00BB1D82" w:rsidP="00964B1C">
            <w:pPr>
              <w:spacing w:before="0" w:after="48"/>
              <w:rPr>
                <w:b/>
                <w:smallCaps/>
                <w:szCs w:val="24"/>
              </w:rPr>
            </w:pPr>
            <w:bookmarkStart w:id="1" w:name="dhead"/>
          </w:p>
        </w:tc>
        <w:tc>
          <w:tcPr>
            <w:tcW w:w="3227" w:type="dxa"/>
            <w:tcBorders>
              <w:bottom w:val="single" w:sz="12" w:space="0" w:color="auto"/>
            </w:tcBorders>
          </w:tcPr>
          <w:p w14:paraId="69EE1CD9" w14:textId="77777777" w:rsidR="00BB1D82" w:rsidRPr="00FB39CC" w:rsidRDefault="00BB1D82" w:rsidP="00964B1C">
            <w:pPr>
              <w:spacing w:before="0"/>
              <w:rPr>
                <w:rFonts w:ascii="Verdana" w:hAnsi="Verdana"/>
                <w:szCs w:val="24"/>
              </w:rPr>
            </w:pPr>
          </w:p>
        </w:tc>
      </w:tr>
      <w:tr w:rsidR="00BB1D82" w:rsidRPr="00FB39CC" w14:paraId="09C98D05" w14:textId="77777777" w:rsidTr="005A6D78">
        <w:trPr>
          <w:cantSplit/>
        </w:trPr>
        <w:tc>
          <w:tcPr>
            <w:tcW w:w="6804" w:type="dxa"/>
            <w:tcBorders>
              <w:top w:val="single" w:sz="12" w:space="0" w:color="auto"/>
            </w:tcBorders>
          </w:tcPr>
          <w:p w14:paraId="164EBF72" w14:textId="77777777" w:rsidR="00BB1D82" w:rsidRPr="00FB39CC" w:rsidRDefault="00BB1D82" w:rsidP="00964B1C">
            <w:pPr>
              <w:spacing w:before="0" w:after="48"/>
              <w:rPr>
                <w:rFonts w:ascii="Verdana" w:hAnsi="Verdana"/>
                <w:b/>
                <w:smallCaps/>
                <w:sz w:val="20"/>
              </w:rPr>
            </w:pPr>
          </w:p>
        </w:tc>
        <w:tc>
          <w:tcPr>
            <w:tcW w:w="3227" w:type="dxa"/>
            <w:tcBorders>
              <w:top w:val="single" w:sz="12" w:space="0" w:color="auto"/>
            </w:tcBorders>
          </w:tcPr>
          <w:p w14:paraId="66133448" w14:textId="77777777" w:rsidR="00BB1D82" w:rsidRPr="00FB39CC" w:rsidRDefault="00BB1D82" w:rsidP="00964B1C">
            <w:pPr>
              <w:spacing w:before="0"/>
              <w:rPr>
                <w:rFonts w:ascii="Verdana" w:hAnsi="Verdana"/>
                <w:sz w:val="20"/>
              </w:rPr>
            </w:pPr>
          </w:p>
        </w:tc>
      </w:tr>
      <w:tr w:rsidR="00BB1D82" w:rsidRPr="00FB39CC" w14:paraId="6182192A" w14:textId="77777777" w:rsidTr="005A6D78">
        <w:trPr>
          <w:cantSplit/>
        </w:trPr>
        <w:tc>
          <w:tcPr>
            <w:tcW w:w="6804" w:type="dxa"/>
          </w:tcPr>
          <w:p w14:paraId="1433AAA6" w14:textId="77777777" w:rsidR="00BB1D82" w:rsidRPr="00FB39CC" w:rsidRDefault="006D4724" w:rsidP="00964B1C">
            <w:pPr>
              <w:spacing w:before="0"/>
              <w:rPr>
                <w:rFonts w:ascii="Verdana" w:hAnsi="Verdana"/>
                <w:b/>
                <w:sz w:val="20"/>
              </w:rPr>
            </w:pPr>
            <w:r w:rsidRPr="00FB39CC">
              <w:rPr>
                <w:rFonts w:ascii="Verdana" w:hAnsi="Verdana"/>
                <w:b/>
                <w:sz w:val="20"/>
              </w:rPr>
              <w:t>SÉANCE PLÉNIÈRE</w:t>
            </w:r>
          </w:p>
        </w:tc>
        <w:tc>
          <w:tcPr>
            <w:tcW w:w="3227" w:type="dxa"/>
          </w:tcPr>
          <w:p w14:paraId="1D264DC4" w14:textId="77777777" w:rsidR="00BB1D82" w:rsidRPr="00FB39CC" w:rsidRDefault="006D4724" w:rsidP="00964B1C">
            <w:pPr>
              <w:spacing w:before="0"/>
              <w:rPr>
                <w:rFonts w:ascii="Verdana" w:hAnsi="Verdana"/>
                <w:sz w:val="20"/>
              </w:rPr>
            </w:pPr>
            <w:r w:rsidRPr="00FB39CC">
              <w:rPr>
                <w:rFonts w:ascii="Verdana" w:hAnsi="Verdana"/>
                <w:b/>
                <w:sz w:val="20"/>
              </w:rPr>
              <w:t>Addendum 18 au</w:t>
            </w:r>
            <w:r w:rsidRPr="00FB39CC">
              <w:rPr>
                <w:rFonts w:ascii="Verdana" w:hAnsi="Verdana"/>
                <w:b/>
                <w:sz w:val="20"/>
              </w:rPr>
              <w:br/>
              <w:t>Document 11(Add.24)</w:t>
            </w:r>
            <w:r w:rsidR="00BB1D82" w:rsidRPr="00FB39CC">
              <w:rPr>
                <w:rFonts w:ascii="Verdana" w:hAnsi="Verdana"/>
                <w:b/>
                <w:sz w:val="20"/>
              </w:rPr>
              <w:t>-</w:t>
            </w:r>
            <w:r w:rsidRPr="00FB39CC">
              <w:rPr>
                <w:rFonts w:ascii="Verdana" w:hAnsi="Verdana"/>
                <w:b/>
                <w:sz w:val="20"/>
              </w:rPr>
              <w:t>F</w:t>
            </w:r>
          </w:p>
        </w:tc>
      </w:tr>
      <w:bookmarkEnd w:id="1"/>
      <w:tr w:rsidR="00690C7B" w:rsidRPr="00FB39CC" w14:paraId="70E9CA7E" w14:textId="77777777" w:rsidTr="005A6D78">
        <w:trPr>
          <w:cantSplit/>
        </w:trPr>
        <w:tc>
          <w:tcPr>
            <w:tcW w:w="6804" w:type="dxa"/>
          </w:tcPr>
          <w:p w14:paraId="570C4C9A" w14:textId="77777777" w:rsidR="00690C7B" w:rsidRPr="00FB39CC" w:rsidRDefault="00690C7B" w:rsidP="00964B1C">
            <w:pPr>
              <w:spacing w:before="0"/>
              <w:rPr>
                <w:rFonts w:ascii="Verdana" w:hAnsi="Verdana"/>
                <w:b/>
                <w:sz w:val="20"/>
              </w:rPr>
            </w:pPr>
          </w:p>
        </w:tc>
        <w:tc>
          <w:tcPr>
            <w:tcW w:w="3227" w:type="dxa"/>
          </w:tcPr>
          <w:p w14:paraId="0DE3A2D0" w14:textId="77777777" w:rsidR="00690C7B" w:rsidRPr="00FB39CC" w:rsidRDefault="00690C7B" w:rsidP="00964B1C">
            <w:pPr>
              <w:spacing w:before="0"/>
              <w:rPr>
                <w:rFonts w:ascii="Verdana" w:hAnsi="Verdana"/>
                <w:b/>
                <w:sz w:val="20"/>
              </w:rPr>
            </w:pPr>
            <w:r w:rsidRPr="00FB39CC">
              <w:rPr>
                <w:rFonts w:ascii="Verdana" w:hAnsi="Verdana"/>
                <w:b/>
                <w:sz w:val="20"/>
              </w:rPr>
              <w:t>17 septembre 2019</w:t>
            </w:r>
          </w:p>
        </w:tc>
      </w:tr>
      <w:tr w:rsidR="00690C7B" w:rsidRPr="00FB39CC" w14:paraId="1F0387EA" w14:textId="77777777" w:rsidTr="005A6D78">
        <w:trPr>
          <w:cantSplit/>
        </w:trPr>
        <w:tc>
          <w:tcPr>
            <w:tcW w:w="6804" w:type="dxa"/>
          </w:tcPr>
          <w:p w14:paraId="540A482C" w14:textId="77777777" w:rsidR="00690C7B" w:rsidRPr="00FB39CC" w:rsidRDefault="00690C7B" w:rsidP="00964B1C">
            <w:pPr>
              <w:spacing w:before="0" w:after="48"/>
              <w:rPr>
                <w:rFonts w:ascii="Verdana" w:hAnsi="Verdana"/>
                <w:b/>
                <w:smallCaps/>
                <w:sz w:val="20"/>
              </w:rPr>
            </w:pPr>
          </w:p>
        </w:tc>
        <w:tc>
          <w:tcPr>
            <w:tcW w:w="3227" w:type="dxa"/>
          </w:tcPr>
          <w:p w14:paraId="297F9854" w14:textId="685D9A79" w:rsidR="00690C7B" w:rsidRPr="00FB39CC" w:rsidRDefault="00690C7B" w:rsidP="00964B1C">
            <w:pPr>
              <w:spacing w:before="0"/>
              <w:rPr>
                <w:rFonts w:ascii="Verdana" w:hAnsi="Verdana"/>
                <w:b/>
                <w:sz w:val="20"/>
              </w:rPr>
            </w:pPr>
            <w:r w:rsidRPr="00FB39CC">
              <w:rPr>
                <w:rFonts w:ascii="Verdana" w:hAnsi="Verdana"/>
                <w:b/>
                <w:sz w:val="20"/>
              </w:rPr>
              <w:t>Original: anglais</w:t>
            </w:r>
            <w:r w:rsidR="000F2BD6" w:rsidRPr="00FB39CC">
              <w:rPr>
                <w:rFonts w:ascii="Verdana" w:hAnsi="Verdana"/>
                <w:b/>
                <w:sz w:val="20"/>
              </w:rPr>
              <w:t>/espagnol</w:t>
            </w:r>
          </w:p>
        </w:tc>
      </w:tr>
      <w:tr w:rsidR="00690C7B" w:rsidRPr="00FB39CC" w14:paraId="40CAD0AB" w14:textId="77777777" w:rsidTr="00C11970">
        <w:trPr>
          <w:cantSplit/>
        </w:trPr>
        <w:tc>
          <w:tcPr>
            <w:tcW w:w="10031" w:type="dxa"/>
            <w:gridSpan w:val="2"/>
          </w:tcPr>
          <w:p w14:paraId="6581D4BA" w14:textId="77777777" w:rsidR="00690C7B" w:rsidRPr="00FB39CC" w:rsidRDefault="00690C7B" w:rsidP="00964B1C">
            <w:pPr>
              <w:spacing w:before="0"/>
              <w:rPr>
                <w:rFonts w:ascii="Verdana" w:hAnsi="Verdana"/>
                <w:b/>
                <w:sz w:val="20"/>
              </w:rPr>
            </w:pPr>
          </w:p>
        </w:tc>
      </w:tr>
      <w:tr w:rsidR="00690C7B" w:rsidRPr="00FB39CC" w14:paraId="75E11736" w14:textId="77777777" w:rsidTr="0050008E">
        <w:trPr>
          <w:cantSplit/>
        </w:trPr>
        <w:tc>
          <w:tcPr>
            <w:tcW w:w="10031" w:type="dxa"/>
            <w:gridSpan w:val="2"/>
          </w:tcPr>
          <w:p w14:paraId="3FB3F594" w14:textId="77777777" w:rsidR="00690C7B" w:rsidRPr="00FB39CC" w:rsidRDefault="00690C7B" w:rsidP="00964B1C">
            <w:pPr>
              <w:pStyle w:val="Source"/>
            </w:pPr>
            <w:bookmarkStart w:id="2" w:name="dsource" w:colFirst="0" w:colLast="0"/>
            <w:r w:rsidRPr="00FB39CC">
              <w:t>États Membres de la Commission interaméricaine des télécommunications (CITEL)</w:t>
            </w:r>
          </w:p>
        </w:tc>
      </w:tr>
      <w:tr w:rsidR="00690C7B" w:rsidRPr="00FB39CC" w14:paraId="79266653" w14:textId="77777777" w:rsidTr="0050008E">
        <w:trPr>
          <w:cantSplit/>
        </w:trPr>
        <w:tc>
          <w:tcPr>
            <w:tcW w:w="10031" w:type="dxa"/>
            <w:gridSpan w:val="2"/>
          </w:tcPr>
          <w:p w14:paraId="57447AC3" w14:textId="5A7AD57B" w:rsidR="00690C7B" w:rsidRPr="00FB39CC" w:rsidRDefault="000F2BD6" w:rsidP="00964B1C">
            <w:pPr>
              <w:pStyle w:val="Title1"/>
            </w:pPr>
            <w:bookmarkStart w:id="3" w:name="dtitle1" w:colFirst="0" w:colLast="0"/>
            <w:bookmarkEnd w:id="2"/>
            <w:r w:rsidRPr="00FB39CC">
              <w:t>PROPOSITIONS POUR LES TRAVAUX DE LA CONFÉRENCE</w:t>
            </w:r>
          </w:p>
        </w:tc>
      </w:tr>
      <w:tr w:rsidR="00690C7B" w:rsidRPr="00FB39CC" w14:paraId="4B2D2916" w14:textId="77777777" w:rsidTr="0050008E">
        <w:trPr>
          <w:cantSplit/>
        </w:trPr>
        <w:tc>
          <w:tcPr>
            <w:tcW w:w="10031" w:type="dxa"/>
            <w:gridSpan w:val="2"/>
          </w:tcPr>
          <w:p w14:paraId="51307609" w14:textId="77777777" w:rsidR="00690C7B" w:rsidRPr="00FB39CC" w:rsidRDefault="00690C7B" w:rsidP="00964B1C">
            <w:pPr>
              <w:pStyle w:val="Title2"/>
            </w:pPr>
            <w:bookmarkStart w:id="4" w:name="dtitle2" w:colFirst="0" w:colLast="0"/>
            <w:bookmarkEnd w:id="3"/>
          </w:p>
        </w:tc>
      </w:tr>
      <w:tr w:rsidR="00690C7B" w:rsidRPr="00FB39CC" w14:paraId="49C104DF" w14:textId="77777777" w:rsidTr="0050008E">
        <w:trPr>
          <w:cantSplit/>
        </w:trPr>
        <w:tc>
          <w:tcPr>
            <w:tcW w:w="10031" w:type="dxa"/>
            <w:gridSpan w:val="2"/>
          </w:tcPr>
          <w:p w14:paraId="1E8E0776" w14:textId="77777777" w:rsidR="00690C7B" w:rsidRPr="00FB39CC" w:rsidRDefault="00690C7B" w:rsidP="00964B1C">
            <w:pPr>
              <w:pStyle w:val="Agendaitem"/>
              <w:rPr>
                <w:lang w:val="fr-FR"/>
              </w:rPr>
            </w:pPr>
            <w:bookmarkStart w:id="5" w:name="dtitle3" w:colFirst="0" w:colLast="0"/>
            <w:bookmarkEnd w:id="4"/>
            <w:r w:rsidRPr="00FB39CC">
              <w:rPr>
                <w:lang w:val="fr-FR"/>
              </w:rPr>
              <w:t>Point 10 de l'ordre du jour</w:t>
            </w:r>
          </w:p>
        </w:tc>
      </w:tr>
    </w:tbl>
    <w:bookmarkEnd w:id="5"/>
    <w:p w14:paraId="4B80FDFD" w14:textId="73EBC742" w:rsidR="001C0E40" w:rsidRPr="00FB39CC" w:rsidRDefault="0052749A" w:rsidP="00964B1C">
      <w:r w:rsidRPr="00FB39CC">
        <w:t>10</w:t>
      </w:r>
      <w:r w:rsidRPr="00FB39CC">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w:t>
      </w:r>
      <w:r w:rsidR="00724065" w:rsidRPr="00FB39CC">
        <w:t xml:space="preserve"> </w:t>
      </w:r>
      <w:r w:rsidRPr="00FB39CC">
        <w:t>Convention</w:t>
      </w:r>
      <w:r w:rsidR="0047084B" w:rsidRPr="00FB39CC">
        <w:t>.</w:t>
      </w:r>
    </w:p>
    <w:p w14:paraId="471C125E" w14:textId="1AF98DFF" w:rsidR="000F2BD6" w:rsidRPr="00FB39CC" w:rsidRDefault="000F2BD6" w:rsidP="00964B1C">
      <w:pPr>
        <w:pStyle w:val="Headingb"/>
      </w:pPr>
      <w:r w:rsidRPr="00FB39CC">
        <w:t>Introduction</w:t>
      </w:r>
    </w:p>
    <w:p w14:paraId="2E9CA568" w14:textId="44577460" w:rsidR="003A583E" w:rsidRPr="00FB39CC" w:rsidRDefault="000E61D9" w:rsidP="00964B1C">
      <w:r w:rsidRPr="00FB39CC">
        <w:t>Au titre du</w:t>
      </w:r>
      <w:r w:rsidR="00D768EF" w:rsidRPr="00FB39CC">
        <w:t xml:space="preserve"> point 10 de son ordre du jour, la CMR-19 est invitée à</w:t>
      </w:r>
      <w:r w:rsidR="00724065" w:rsidRPr="00FB39CC">
        <w:t xml:space="preserve"> </w:t>
      </w:r>
      <w:r w:rsidR="00D768EF" w:rsidRPr="00FB39CC">
        <w:t>recommander au Conseil</w:t>
      </w:r>
      <w:r w:rsidR="00724065" w:rsidRPr="00FB39CC">
        <w:t xml:space="preserve"> </w:t>
      </w:r>
      <w:r w:rsidR="000F2BD6" w:rsidRPr="00FB39CC">
        <w:t xml:space="preserve">des points à inscrire à l'ordre du jour de la CMR suivante et </w:t>
      </w:r>
      <w:r w:rsidR="00D768EF" w:rsidRPr="00FB39CC">
        <w:t xml:space="preserve">à </w:t>
      </w:r>
      <w:r w:rsidR="000F2BD6" w:rsidRPr="00FB39CC">
        <w:t>exposer ses vues sur l'ordre du jour préliminaire de la conférence ultérieure ainsi que sur des points éventuels à inscrire à l'ordre du jour de conférences futures, conformément à l'article 7 de la Convention</w:t>
      </w:r>
      <w:r w:rsidR="00D768EF" w:rsidRPr="00FB39CC">
        <w:t>. Au titre de ce point de l</w:t>
      </w:r>
      <w:r w:rsidR="005D5547" w:rsidRPr="00FB39CC">
        <w:t>'</w:t>
      </w:r>
      <w:r w:rsidR="00D768EF" w:rsidRPr="00FB39CC">
        <w:t>ordre du jour, la CITEL propose</w:t>
      </w:r>
      <w:r w:rsidR="000F2BD6" w:rsidRPr="00FB39CC">
        <w:t xml:space="preserve"> </w:t>
      </w:r>
      <w:r w:rsidRPr="00FB39CC">
        <w:t>d'</w:t>
      </w:r>
      <w:r w:rsidR="00D768EF" w:rsidRPr="00FB39CC">
        <w:t>inscrire à l</w:t>
      </w:r>
      <w:r w:rsidR="005D5547" w:rsidRPr="00FB39CC">
        <w:t>'</w:t>
      </w:r>
      <w:r w:rsidR="00D768EF" w:rsidRPr="00FB39CC">
        <w:t>ordre du jour de la CMR</w:t>
      </w:r>
      <w:r w:rsidR="005A6D78" w:rsidRPr="00FB39CC">
        <w:noBreakHyphen/>
      </w:r>
      <w:r w:rsidR="00D768EF" w:rsidRPr="00FB39CC">
        <w:t>23 un point visant à envisager des études relatives à une attribution éventuelle au service mobile dans la bande de fréquences</w:t>
      </w:r>
      <w:r w:rsidR="00724065" w:rsidRPr="00FB39CC">
        <w:t xml:space="preserve"> </w:t>
      </w:r>
      <w:r w:rsidR="000F2BD6" w:rsidRPr="00FB39CC">
        <w:t>1</w:t>
      </w:r>
      <w:r w:rsidR="005A6D78" w:rsidRPr="00FB39CC">
        <w:t> </w:t>
      </w:r>
      <w:r w:rsidR="000F2BD6" w:rsidRPr="00FB39CC">
        <w:t>300</w:t>
      </w:r>
      <w:r w:rsidR="005D5547" w:rsidRPr="00FB39CC">
        <w:noBreakHyphen/>
      </w:r>
      <w:r w:rsidR="000F2BD6" w:rsidRPr="00FB39CC">
        <w:t>1</w:t>
      </w:r>
      <w:r w:rsidR="005A6D78" w:rsidRPr="00FB39CC">
        <w:t> </w:t>
      </w:r>
      <w:r w:rsidR="000F2BD6" w:rsidRPr="00FB39CC">
        <w:t>350 MHz</w:t>
      </w:r>
      <w:r w:rsidR="00D768EF" w:rsidRPr="00FB39CC">
        <w:t>.</w:t>
      </w:r>
    </w:p>
    <w:p w14:paraId="762F627A" w14:textId="2E56F946" w:rsidR="000F2BD6" w:rsidRPr="00FB39CC" w:rsidRDefault="001103DB" w:rsidP="00964B1C">
      <w:pPr>
        <w:pStyle w:val="Headingb"/>
      </w:pPr>
      <w:r w:rsidRPr="00FB39CC">
        <w:t>Considérations générales</w:t>
      </w:r>
      <w:r w:rsidR="00724065" w:rsidRPr="00FB39CC">
        <w:t xml:space="preserve"> </w:t>
      </w:r>
    </w:p>
    <w:p w14:paraId="12E1C65A" w14:textId="04C8B703" w:rsidR="000F2BD6" w:rsidRPr="00FB39CC" w:rsidRDefault="001103DB" w:rsidP="00964B1C">
      <w:r w:rsidRPr="00FB39CC">
        <w:t>Il est largement admis que l</w:t>
      </w:r>
      <w:r w:rsidR="005D5547" w:rsidRPr="00FB39CC">
        <w:t>'</w:t>
      </w:r>
      <w:r w:rsidRPr="00FB39CC">
        <w:t>infrastructure large bande contribue à la fourniture d</w:t>
      </w:r>
      <w:r w:rsidR="005D5547" w:rsidRPr="00FB39CC">
        <w:t>'</w:t>
      </w:r>
      <w:r w:rsidRPr="00FB39CC">
        <w:t>un accès à l</w:t>
      </w:r>
      <w:r w:rsidR="005D5547" w:rsidRPr="00FB39CC">
        <w:t>'</w:t>
      </w:r>
      <w:r w:rsidRPr="00FB39CC">
        <w:t>Internet et facilite la mise en place d</w:t>
      </w:r>
      <w:r w:rsidR="005D5547" w:rsidRPr="00FB39CC">
        <w:t>'</w:t>
      </w:r>
      <w:r w:rsidRPr="00FB39CC">
        <w:t xml:space="preserve">une société intelligente et connectée. </w:t>
      </w:r>
      <w:r w:rsidR="00732D07" w:rsidRPr="00FB39CC">
        <w:rPr>
          <w:color w:val="000000"/>
        </w:rPr>
        <w:t>Comme le souligne l</w:t>
      </w:r>
      <w:r w:rsidRPr="00FB39CC">
        <w:rPr>
          <w:color w:val="000000"/>
        </w:rPr>
        <w:t xml:space="preserve">a Commission </w:t>
      </w:r>
      <w:r w:rsidR="005D5547" w:rsidRPr="00FB39CC">
        <w:rPr>
          <w:color w:val="000000"/>
        </w:rPr>
        <w:t>«</w:t>
      </w:r>
      <w:r w:rsidRPr="00FB39CC">
        <w:rPr>
          <w:color w:val="000000"/>
        </w:rPr>
        <w:t>Le large bande au service du développement durable</w:t>
      </w:r>
      <w:r w:rsidR="005D5547" w:rsidRPr="00FB39CC">
        <w:rPr>
          <w:color w:val="000000"/>
        </w:rPr>
        <w:t>»</w:t>
      </w:r>
      <w:r w:rsidR="00732D07" w:rsidRPr="00FB39CC">
        <w:rPr>
          <w:color w:val="000000"/>
        </w:rPr>
        <w:t>,</w:t>
      </w:r>
      <w:r w:rsidR="00732D07" w:rsidRPr="00FB39CC">
        <w:t xml:space="preserve"> «L</w:t>
      </w:r>
      <w:r w:rsidR="005D5547" w:rsidRPr="00FB39CC">
        <w:t>'</w:t>
      </w:r>
      <w:r w:rsidR="000F2BD6" w:rsidRPr="00FB39CC">
        <w:t>importance</w:t>
      </w:r>
      <w:r w:rsidR="00732D07" w:rsidRPr="00FB39CC">
        <w:t xml:space="preserve"> de l</w:t>
      </w:r>
      <w:r w:rsidR="005D5547" w:rsidRPr="00FB39CC">
        <w:t>'</w:t>
      </w:r>
      <w:r w:rsidR="00732D07" w:rsidRPr="00FB39CC">
        <w:t>Internet large bande pour le développement durable est évidente, à mesure que</w:t>
      </w:r>
      <w:r w:rsidR="00724065" w:rsidRPr="00FB39CC">
        <w:t xml:space="preserve"> </w:t>
      </w:r>
      <w:r w:rsidR="00732D07" w:rsidRPr="00FB39CC">
        <w:t>nos sociétés continuent de se développer et d</w:t>
      </w:r>
      <w:r w:rsidR="005D5547" w:rsidRPr="00FB39CC">
        <w:t>'</w:t>
      </w:r>
      <w:r w:rsidR="00732D07" w:rsidRPr="00FB39CC">
        <w:t>évoluer.</w:t>
      </w:r>
      <w:r w:rsidR="000F2BD6" w:rsidRPr="00FB39CC">
        <w:t xml:space="preserve"> </w:t>
      </w:r>
      <w:r w:rsidRPr="00FB39CC">
        <w:rPr>
          <w:color w:val="000000"/>
        </w:rPr>
        <w:t>L'infrastructure large bande constitue une infrastructure essentielle pour un pays, au même titre que les réseaux d'approvisionnement en eau et en électricité</w:t>
      </w:r>
      <w:r w:rsidR="000F0BA4" w:rsidRPr="00FB39CC">
        <w:rPr>
          <w:color w:val="000000"/>
        </w:rPr>
        <w:t>...</w:t>
      </w:r>
      <w:r w:rsidRPr="00FB39CC">
        <w:rPr>
          <w:color w:val="000000"/>
        </w:rPr>
        <w:t>»</w:t>
      </w:r>
      <w:r w:rsidR="005A6D78" w:rsidRPr="00FB39CC">
        <w:rPr>
          <w:rStyle w:val="FootnoteReference"/>
        </w:rPr>
        <w:footnoteReference w:id="1"/>
      </w:r>
      <w:r w:rsidR="00732D07" w:rsidRPr="00FB39CC">
        <w:rPr>
          <w:color w:val="000000"/>
        </w:rPr>
        <w:t>. Grâce à cette infrastructure large bande, il est possible d</w:t>
      </w:r>
      <w:r w:rsidR="005D5547" w:rsidRPr="00FB39CC">
        <w:rPr>
          <w:color w:val="000000"/>
        </w:rPr>
        <w:t>'</w:t>
      </w:r>
      <w:r w:rsidR="00732D07" w:rsidRPr="00FB39CC">
        <w:rPr>
          <w:color w:val="000000"/>
        </w:rPr>
        <w:t>offrir une large gamme d</w:t>
      </w:r>
      <w:r w:rsidR="005D5547" w:rsidRPr="00FB39CC">
        <w:rPr>
          <w:color w:val="000000"/>
        </w:rPr>
        <w:t>'</w:t>
      </w:r>
      <w:r w:rsidR="00732D07" w:rsidRPr="00FB39CC">
        <w:rPr>
          <w:color w:val="000000"/>
        </w:rPr>
        <w:t xml:space="preserve">applications </w:t>
      </w:r>
      <w:r w:rsidR="000E61D9" w:rsidRPr="00FB39CC">
        <w:rPr>
          <w:color w:val="000000"/>
        </w:rPr>
        <w:t xml:space="preserve">dans des domaines tels que </w:t>
      </w:r>
      <w:r w:rsidR="00732D07" w:rsidRPr="00FB39CC">
        <w:rPr>
          <w:color w:val="000000"/>
        </w:rPr>
        <w:t>l</w:t>
      </w:r>
      <w:r w:rsidR="005D5547" w:rsidRPr="00FB39CC">
        <w:rPr>
          <w:color w:val="000000"/>
        </w:rPr>
        <w:t>'</w:t>
      </w:r>
      <w:r w:rsidR="00732D07" w:rsidRPr="00FB39CC">
        <w:rPr>
          <w:color w:val="000000"/>
        </w:rPr>
        <w:t xml:space="preserve">agriculture, </w:t>
      </w:r>
      <w:r w:rsidR="000E61D9" w:rsidRPr="00FB39CC">
        <w:rPr>
          <w:color w:val="000000"/>
        </w:rPr>
        <w:t>l'</w:t>
      </w:r>
      <w:r w:rsidR="00732D07" w:rsidRPr="00FB39CC">
        <w:rPr>
          <w:color w:val="000000"/>
        </w:rPr>
        <w:t>éducation, les soins de santé et les utilisations industrielles. De nouvelles innovations destinées à améliorer et à développer ces applications continuent d</w:t>
      </w:r>
      <w:r w:rsidR="005D5547" w:rsidRPr="00FB39CC">
        <w:rPr>
          <w:color w:val="000000"/>
        </w:rPr>
        <w:t>'</w:t>
      </w:r>
      <w:r w:rsidR="00732D07" w:rsidRPr="00FB39CC">
        <w:rPr>
          <w:color w:val="000000"/>
        </w:rPr>
        <w:t>être mises en œuvre.</w:t>
      </w:r>
      <w:r w:rsidR="00724065" w:rsidRPr="00FB39CC">
        <w:rPr>
          <w:color w:val="000000"/>
        </w:rPr>
        <w:t xml:space="preserve"> </w:t>
      </w:r>
    </w:p>
    <w:p w14:paraId="7A83310D" w14:textId="521F2CDD" w:rsidR="000F2BD6" w:rsidRPr="00FB39CC" w:rsidRDefault="00732D07" w:rsidP="00964B1C">
      <w:r w:rsidRPr="00FB39CC">
        <w:t>Le large bande mobile demeure le principal moyen d</w:t>
      </w:r>
      <w:r w:rsidR="005D5547" w:rsidRPr="00FB39CC">
        <w:t>'</w:t>
      </w:r>
      <w:r w:rsidRPr="00FB39CC">
        <w:t>offrir un accès aux entreprises et aux consommateurs partout dans le monde.</w:t>
      </w:r>
    </w:p>
    <w:p w14:paraId="15FDAF12" w14:textId="5603EA28" w:rsidR="000F2BD6" w:rsidRPr="00FB39CC" w:rsidRDefault="00941C21" w:rsidP="00964B1C">
      <w:r w:rsidRPr="00FB39CC">
        <w:lastRenderedPageBreak/>
        <w:t>Il est important de souligner que cet essor du large bande mobile est</w:t>
      </w:r>
      <w:r w:rsidR="00724065" w:rsidRPr="00FB39CC">
        <w:t xml:space="preserve"> </w:t>
      </w:r>
      <w:r w:rsidRPr="00FB39CC">
        <w:t>généralisé.</w:t>
      </w:r>
    </w:p>
    <w:p w14:paraId="57B7E54C" w14:textId="5981CA4F" w:rsidR="000F2BD6" w:rsidRPr="00FB39CC" w:rsidRDefault="00941C21" w:rsidP="00964B1C">
      <w:r w:rsidRPr="00FB39CC">
        <w:t>Afin d</w:t>
      </w:r>
      <w:r w:rsidR="005D5547" w:rsidRPr="00FB39CC">
        <w:t>'</w:t>
      </w:r>
      <w:r w:rsidRPr="00FB39CC">
        <w:t>assurer une plus grande connectivité au large bande mobile et d</w:t>
      </w:r>
      <w:r w:rsidR="005D5547" w:rsidRPr="00FB39CC">
        <w:t>'</w:t>
      </w:r>
      <w:r w:rsidRPr="00FB39CC">
        <w:t>offrir des débits de données accrus, il est indispensable de garantir un accès suffisant au spectre dans diverses bandes de fréquences, afin de faciliter la mise en place de différentes fonctionnalités (couverture et capacité</w:t>
      </w:r>
      <w:r w:rsidR="00724065" w:rsidRPr="00FB39CC">
        <w:t xml:space="preserve"> </w:t>
      </w:r>
      <w:r w:rsidRPr="00FB39CC">
        <w:t>par exemple) et de permettre différents cas d</w:t>
      </w:r>
      <w:r w:rsidR="005D5547" w:rsidRPr="00FB39CC">
        <w:t>'</w:t>
      </w:r>
      <w:r w:rsidRPr="00FB39CC">
        <w:t>utilisation.</w:t>
      </w:r>
    </w:p>
    <w:p w14:paraId="44E47963" w14:textId="5AB99DD3" w:rsidR="000F2BD6" w:rsidRPr="00FB39CC" w:rsidRDefault="000F2BD6" w:rsidP="00964B1C">
      <w:pPr>
        <w:pStyle w:val="Headingb"/>
      </w:pPr>
      <w:r w:rsidRPr="00FB39CC">
        <w:t>Propos</w:t>
      </w:r>
      <w:r w:rsidR="00941C21" w:rsidRPr="00FB39CC">
        <w:t>ition</w:t>
      </w:r>
    </w:p>
    <w:p w14:paraId="01001176" w14:textId="20E9495B" w:rsidR="000F2BD6" w:rsidRPr="00FB39CC" w:rsidRDefault="00941C21" w:rsidP="00964B1C">
      <w:r w:rsidRPr="00FB39CC">
        <w:t>À partir des résultats des études relatives aux services primaires et aux services dans les bandes adjacentes, selon le cas, la</w:t>
      </w:r>
      <w:r w:rsidR="00724065" w:rsidRPr="00FB39CC">
        <w:t xml:space="preserve"> </w:t>
      </w:r>
      <w:r w:rsidR="000F2BD6" w:rsidRPr="00FB39CC">
        <w:t>CITEL</w:t>
      </w:r>
      <w:r w:rsidRPr="00FB39CC">
        <w:t xml:space="preserve"> propose que la bande 1</w:t>
      </w:r>
      <w:r w:rsidR="005A6D78" w:rsidRPr="00FB39CC">
        <w:t> </w:t>
      </w:r>
      <w:r w:rsidRPr="00FB39CC">
        <w:t>300-1</w:t>
      </w:r>
      <w:r w:rsidR="005A6D78" w:rsidRPr="00FB39CC">
        <w:t> </w:t>
      </w:r>
      <w:r w:rsidRPr="00FB39CC">
        <w:t>350 MHz soit étudiée, en vue d</w:t>
      </w:r>
      <w:r w:rsidR="005D5547" w:rsidRPr="00FB39CC">
        <w:t>'</w:t>
      </w:r>
      <w:r w:rsidRPr="00FB39CC">
        <w:t>une attribution éventuelle au service mobile.</w:t>
      </w:r>
    </w:p>
    <w:p w14:paraId="4A826018" w14:textId="77777777" w:rsidR="0015203F" w:rsidRPr="00FB39CC" w:rsidRDefault="0015203F" w:rsidP="00964B1C">
      <w:pPr>
        <w:tabs>
          <w:tab w:val="clear" w:pos="1134"/>
          <w:tab w:val="clear" w:pos="1871"/>
          <w:tab w:val="clear" w:pos="2268"/>
        </w:tabs>
        <w:overflowPunct/>
        <w:autoSpaceDE/>
        <w:autoSpaceDN/>
        <w:adjustRightInd/>
        <w:spacing w:before="0"/>
        <w:textAlignment w:val="auto"/>
      </w:pPr>
      <w:r w:rsidRPr="00FB39CC">
        <w:br w:type="page"/>
      </w:r>
    </w:p>
    <w:p w14:paraId="06AD6658" w14:textId="77777777" w:rsidR="00856305" w:rsidRPr="00FB39CC" w:rsidRDefault="0052749A" w:rsidP="00964B1C">
      <w:pPr>
        <w:pStyle w:val="Proposal"/>
      </w:pPr>
      <w:r w:rsidRPr="00FB39CC">
        <w:lastRenderedPageBreak/>
        <w:t>ADD</w:t>
      </w:r>
      <w:r w:rsidRPr="00FB39CC">
        <w:tab/>
        <w:t>IAP/11A24A18/1</w:t>
      </w:r>
    </w:p>
    <w:p w14:paraId="453BE77B" w14:textId="018A8561" w:rsidR="00856305" w:rsidRPr="00FB39CC" w:rsidRDefault="0052749A" w:rsidP="00964B1C">
      <w:pPr>
        <w:pStyle w:val="ResNo"/>
      </w:pPr>
      <w:r w:rsidRPr="00FB39CC">
        <w:t>Projet de nouvelle Résolution [IAP</w:t>
      </w:r>
      <w:r w:rsidR="00397017" w:rsidRPr="00FB39CC">
        <w:t>/10(R)-2023] (CMR-19)</w:t>
      </w:r>
    </w:p>
    <w:p w14:paraId="3F162D0B" w14:textId="77777777" w:rsidR="00384108" w:rsidRPr="00FB39CC" w:rsidRDefault="00384108" w:rsidP="00724065">
      <w:pPr>
        <w:pStyle w:val="Restitle"/>
        <w:rPr>
          <w:b w:val="0"/>
        </w:rPr>
      </w:pPr>
      <w:r w:rsidRPr="00FB39CC">
        <w:t>Ordre du jour de la Conférence mondiale des radiocommunications de 2023</w:t>
      </w:r>
    </w:p>
    <w:p w14:paraId="02501292" w14:textId="67C263F8" w:rsidR="00397017" w:rsidRPr="00FB39CC" w:rsidRDefault="00384108" w:rsidP="00964B1C">
      <w:pPr>
        <w:pStyle w:val="Normalaftertitle"/>
      </w:pPr>
      <w:r w:rsidRPr="00FB39CC">
        <w:rPr>
          <w:color w:val="000000"/>
        </w:rPr>
        <w:t>La Conférence mondiale des radiocommunications (Charm el-Cheik, 2019),</w:t>
      </w:r>
    </w:p>
    <w:p w14:paraId="069F45ED" w14:textId="37F690B1" w:rsidR="00856305" w:rsidRPr="00FB39CC" w:rsidRDefault="00397017" w:rsidP="00964B1C">
      <w:pPr>
        <w:pStyle w:val="Call"/>
      </w:pPr>
      <w:r w:rsidRPr="00FB39CC">
        <w:t>consid</w:t>
      </w:r>
      <w:r w:rsidR="00384108" w:rsidRPr="00FB39CC">
        <w:t>é</w:t>
      </w:r>
      <w:r w:rsidRPr="00FB39CC">
        <w:t>r</w:t>
      </w:r>
      <w:r w:rsidR="00384108" w:rsidRPr="00FB39CC">
        <w:t>ant</w:t>
      </w:r>
    </w:p>
    <w:p w14:paraId="73FC5EFB" w14:textId="0436CDF8" w:rsidR="00397017" w:rsidRPr="00FB39CC" w:rsidRDefault="00397017" w:rsidP="00964B1C">
      <w:r w:rsidRPr="00FB39CC">
        <w:rPr>
          <w:i/>
          <w:iCs/>
        </w:rPr>
        <w:t>a)</w:t>
      </w:r>
      <w:r w:rsidRPr="00FB39CC">
        <w:tab/>
        <w:t>que, conformément au numéro 118 de la Convention de l'UIT, le cadre général de l'ordre du jour d'une conférence mondiale des radiocommunications devrait être fixé de quatre à six ans à l'avance et que l'ordre du jour définitif est fixé par le Conseil deux ans avant la conférence;</w:t>
      </w:r>
    </w:p>
    <w:p w14:paraId="30BE5536" w14:textId="41F3ECB6" w:rsidR="00397017" w:rsidRPr="00FB39CC" w:rsidRDefault="00397017" w:rsidP="00964B1C">
      <w:r w:rsidRPr="00FB39CC">
        <w:rPr>
          <w:i/>
          <w:iCs/>
        </w:rPr>
        <w:t>b)</w:t>
      </w:r>
      <w:r w:rsidRPr="00FB39CC">
        <w:tab/>
        <w:t>l'article 13 de la Constitution de l'UIT, concernant la compétence et la fréquence des conférences mondiales des radiocommunications, et l'article 7 de la Convention relatif à leur ordre du jour;</w:t>
      </w:r>
    </w:p>
    <w:p w14:paraId="4588669B" w14:textId="5067B89F" w:rsidR="00397017" w:rsidRPr="00FB39CC" w:rsidRDefault="00397017" w:rsidP="00964B1C">
      <w:r w:rsidRPr="00FB39CC">
        <w:rPr>
          <w:i/>
          <w:iCs/>
        </w:rPr>
        <w:t>c)</w:t>
      </w:r>
      <w:r w:rsidRPr="00FB39CC">
        <w:tab/>
        <w:t>les résolutions et recommandations pertinentes des conférences administratives mondiales des radiocommunications (CAMR) et des conférences mondiales des radiocommunications (CMR) précédentes,</w:t>
      </w:r>
    </w:p>
    <w:p w14:paraId="13880A48" w14:textId="77777777" w:rsidR="00C32814" w:rsidRPr="00FB39CC" w:rsidRDefault="00C32814" w:rsidP="00964B1C">
      <w:pPr>
        <w:pStyle w:val="Call"/>
      </w:pPr>
      <w:r w:rsidRPr="00FB39CC">
        <w:t>décide</w:t>
      </w:r>
    </w:p>
    <w:p w14:paraId="1A642FFC" w14:textId="77777777" w:rsidR="00724065" w:rsidRPr="00FB39CC" w:rsidRDefault="00C32814" w:rsidP="00964B1C">
      <w:r w:rsidRPr="00FB39CC">
        <w:t>de recommander au Conseil de convoquer en 20</w:t>
      </w:r>
      <w:r w:rsidR="00384108" w:rsidRPr="00FB39CC">
        <w:t>23</w:t>
      </w:r>
      <w:r w:rsidRPr="00FB39CC">
        <w:t xml:space="preserve"> une conférence mondiale des radiocommunications d'une durée maximale de quatre semaines, dont l'ordre du jour sera le suivant:</w:t>
      </w:r>
    </w:p>
    <w:p w14:paraId="362299D5" w14:textId="3C76E22F" w:rsidR="00C32814" w:rsidRPr="00FB39CC" w:rsidRDefault="00C32814" w:rsidP="00964B1C">
      <w:r w:rsidRPr="00FB39CC">
        <w:t>1</w:t>
      </w:r>
      <w:r w:rsidRPr="00FB39CC">
        <w:tab/>
        <w:t>sur la base des propositions des administrations, compte tenu des résultats de la CMR</w:t>
      </w:r>
      <w:r w:rsidR="00724065" w:rsidRPr="00FB39CC">
        <w:noBreakHyphen/>
      </w:r>
      <w:r w:rsidRPr="00FB39CC">
        <w:t>1</w:t>
      </w:r>
      <w:r w:rsidR="00384108" w:rsidRPr="00FB39CC">
        <w:t xml:space="preserve">9 </w:t>
      </w:r>
      <w:r w:rsidRPr="00FB39CC">
        <w:t>ainsi que du rapport de la Réunion de préparation à la Conférence et compte dûment tenu des besoins des services existants ou futurs dans les bandes de fréquences considérées, examiner les points suivants et prendre les mesures appropriées:</w:t>
      </w:r>
    </w:p>
    <w:p w14:paraId="6E164CD2" w14:textId="425506E1" w:rsidR="00753E4A" w:rsidRPr="00FB39CC" w:rsidRDefault="00753E4A" w:rsidP="00964B1C">
      <w:r w:rsidRPr="00FB39CC">
        <w:t>1.[MOBILE]</w:t>
      </w:r>
      <w:r w:rsidRPr="00FB39CC">
        <w:tab/>
      </w:r>
      <w:r w:rsidR="00384108" w:rsidRPr="00FB39CC">
        <w:rPr>
          <w:color w:val="000000"/>
        </w:rPr>
        <w:t>étudier la possibilité de faire des attributions additionnelles de fréquences</w:t>
      </w:r>
      <w:r w:rsidR="00724065" w:rsidRPr="00FB39CC">
        <w:rPr>
          <w:color w:val="000000"/>
        </w:rPr>
        <w:t xml:space="preserve"> </w:t>
      </w:r>
      <w:r w:rsidR="00384108" w:rsidRPr="00FB39CC">
        <w:rPr>
          <w:color w:val="000000"/>
        </w:rPr>
        <w:t>au service</w:t>
      </w:r>
      <w:r w:rsidR="00724065" w:rsidRPr="00FB39CC">
        <w:rPr>
          <w:color w:val="000000"/>
        </w:rPr>
        <w:t xml:space="preserve"> </w:t>
      </w:r>
      <w:r w:rsidRPr="00FB39CC">
        <w:t xml:space="preserve">mobile </w:t>
      </w:r>
      <w:r w:rsidR="00384108" w:rsidRPr="00FB39CC">
        <w:rPr>
          <w:color w:val="000000"/>
        </w:rPr>
        <w:t xml:space="preserve">dans la bande </w:t>
      </w:r>
      <w:r w:rsidRPr="00FB39CC">
        <w:t xml:space="preserve">1300-1350 MHz </w:t>
      </w:r>
      <w:r w:rsidR="00384108" w:rsidRPr="00FB39CC">
        <w:t>, afin de faciliter le développement futur des applications du large bande mobile, conformément à la Résolution</w:t>
      </w:r>
      <w:r w:rsidRPr="00FB39CC">
        <w:t xml:space="preserve"> </w:t>
      </w:r>
      <w:r w:rsidRPr="00FB39CC">
        <w:rPr>
          <w:b/>
          <w:bCs/>
        </w:rPr>
        <w:t>[IAP/10(R)/MOBILE] (</w:t>
      </w:r>
      <w:r w:rsidR="00D768EF" w:rsidRPr="00FB39CC">
        <w:rPr>
          <w:b/>
          <w:bCs/>
        </w:rPr>
        <w:t>CMR</w:t>
      </w:r>
      <w:r w:rsidR="00724065" w:rsidRPr="00FB39CC">
        <w:rPr>
          <w:b/>
          <w:bCs/>
        </w:rPr>
        <w:noBreakHyphen/>
      </w:r>
      <w:r w:rsidRPr="00FB39CC">
        <w:rPr>
          <w:b/>
          <w:bCs/>
        </w:rPr>
        <w:t>19)</w:t>
      </w:r>
      <w:r w:rsidRPr="00FB39CC">
        <w:t>;</w:t>
      </w:r>
    </w:p>
    <w:p w14:paraId="32182DDA" w14:textId="0FA315CA" w:rsidR="007838F5" w:rsidRPr="00FB39CC" w:rsidRDefault="007838F5" w:rsidP="00964B1C">
      <w:r w:rsidRPr="00FB39CC">
        <w:t>[…]</w:t>
      </w:r>
    </w:p>
    <w:p w14:paraId="7E126E8B" w14:textId="01087C49" w:rsidR="007838F5" w:rsidRPr="00FB39CC" w:rsidRDefault="007838F5" w:rsidP="00964B1C">
      <w:pPr>
        <w:pStyle w:val="Call"/>
      </w:pPr>
      <w:r w:rsidRPr="00FB39CC">
        <w:t>décide en outre</w:t>
      </w:r>
    </w:p>
    <w:p w14:paraId="2761124A" w14:textId="27821708" w:rsidR="007838F5" w:rsidRPr="00FB39CC" w:rsidRDefault="007838F5" w:rsidP="00964B1C">
      <w:r w:rsidRPr="00FB39CC">
        <w:t>d'activer la Réunion de préparation à la Conférence,</w:t>
      </w:r>
    </w:p>
    <w:p w14:paraId="4B136F1E" w14:textId="28207A81" w:rsidR="007F1D31" w:rsidRPr="00FB39CC" w:rsidRDefault="007838F5" w:rsidP="00964B1C">
      <w:pPr>
        <w:pStyle w:val="Call"/>
      </w:pPr>
      <w:r w:rsidRPr="00FB39CC">
        <w:t>invite le Conseil</w:t>
      </w:r>
    </w:p>
    <w:p w14:paraId="2000403B" w14:textId="784B7466" w:rsidR="007F1D31" w:rsidRPr="00FB39CC" w:rsidRDefault="007838F5" w:rsidP="00964B1C">
      <w:r w:rsidRPr="00FB39CC">
        <w:t>à arrêter définitivement l'ordre du jour, à prendre les dispositions nécessaires en vue de la convocation de la CMR-</w:t>
      </w:r>
      <w:r w:rsidR="00384108" w:rsidRPr="00FB39CC">
        <w:t>23</w:t>
      </w:r>
      <w:r w:rsidRPr="00FB39CC">
        <w:t xml:space="preserve"> et à engager dès que possible les consultations nécessaires avec les </w:t>
      </w:r>
      <w:r w:rsidR="000F0BA4" w:rsidRPr="00FB39CC">
        <w:t>États</w:t>
      </w:r>
      <w:r w:rsidRPr="00FB39CC">
        <w:t xml:space="preserve"> Membres,</w:t>
      </w:r>
    </w:p>
    <w:p w14:paraId="364CC329" w14:textId="44BA6400" w:rsidR="007F1D31" w:rsidRPr="00FB39CC" w:rsidRDefault="007838F5" w:rsidP="00964B1C">
      <w:pPr>
        <w:pStyle w:val="Call"/>
      </w:pPr>
      <w:r w:rsidRPr="00FB39CC">
        <w:t>charge le Directeur du Bureau des radiocommunications</w:t>
      </w:r>
    </w:p>
    <w:p w14:paraId="0AB804BC" w14:textId="46685C1F" w:rsidR="007F1D31" w:rsidRPr="00FB39CC" w:rsidRDefault="007838F5" w:rsidP="00964B1C">
      <w:r w:rsidRPr="00FB39CC">
        <w:t xml:space="preserve">de prendre les dispositions voulues pour la convocation des sessions de la Réunion de préparation à la Conférence et d'élaborer un </w:t>
      </w:r>
      <w:r w:rsidR="00384108" w:rsidRPr="00FB39CC">
        <w:t>r</w:t>
      </w:r>
      <w:r w:rsidRPr="00FB39CC">
        <w:t>apport à l'intention de la CMR-</w:t>
      </w:r>
      <w:r w:rsidR="00384108" w:rsidRPr="00FB39CC">
        <w:t>23</w:t>
      </w:r>
      <w:r w:rsidRPr="00FB39CC">
        <w:t>,</w:t>
      </w:r>
    </w:p>
    <w:p w14:paraId="4D97CD10" w14:textId="53A2C96F" w:rsidR="007F1D31" w:rsidRPr="00FB39CC" w:rsidRDefault="007838F5" w:rsidP="00964B1C">
      <w:pPr>
        <w:pStyle w:val="Call"/>
      </w:pPr>
      <w:r w:rsidRPr="00FB39CC">
        <w:t>charge le Secrétaire général</w:t>
      </w:r>
    </w:p>
    <w:p w14:paraId="7E87A94A" w14:textId="509A6169" w:rsidR="007838F5" w:rsidRPr="00FB39CC" w:rsidRDefault="007838F5" w:rsidP="00964B1C">
      <w:r w:rsidRPr="00FB39CC">
        <w:t>de communiquer la présente Résolution aux organisations internationales ou régionales concernées.</w:t>
      </w:r>
    </w:p>
    <w:p w14:paraId="274A57DC" w14:textId="626F6D57" w:rsidR="00856305" w:rsidRPr="00FB39CC" w:rsidRDefault="0052749A" w:rsidP="00964B1C">
      <w:pPr>
        <w:pStyle w:val="Reasons"/>
      </w:pPr>
      <w:r w:rsidRPr="00FB39CC">
        <w:rPr>
          <w:b/>
        </w:rPr>
        <w:t>Motifs:</w:t>
      </w:r>
      <w:r w:rsidRPr="00FB39CC">
        <w:tab/>
      </w:r>
      <w:r w:rsidR="00384108" w:rsidRPr="00FB39CC">
        <w:t>Faciliter le développement des applications large bande mobile de Terre.</w:t>
      </w:r>
    </w:p>
    <w:p w14:paraId="6A1966B1" w14:textId="77777777" w:rsidR="00856305" w:rsidRPr="00FB39CC" w:rsidRDefault="0052749A" w:rsidP="00964B1C">
      <w:pPr>
        <w:pStyle w:val="Proposal"/>
      </w:pPr>
      <w:r w:rsidRPr="00FB39CC">
        <w:lastRenderedPageBreak/>
        <w:t>ADD</w:t>
      </w:r>
      <w:r w:rsidRPr="00FB39CC">
        <w:tab/>
        <w:t>IAP/11A24A18/2</w:t>
      </w:r>
    </w:p>
    <w:p w14:paraId="6B8570FC" w14:textId="0B80C050" w:rsidR="00856305" w:rsidRPr="00FB39CC" w:rsidRDefault="0052749A" w:rsidP="00964B1C">
      <w:pPr>
        <w:pStyle w:val="ResNo"/>
      </w:pPr>
      <w:r w:rsidRPr="00FB39CC">
        <w:t>Projet de nouvelle Résolution [IAP</w:t>
      </w:r>
      <w:r w:rsidR="000071AF" w:rsidRPr="00FB39CC">
        <w:t>/10(R)/MOBILE] (CMR-19)</w:t>
      </w:r>
    </w:p>
    <w:p w14:paraId="794C67D5" w14:textId="51126EEC" w:rsidR="00856305" w:rsidRPr="00FB39CC" w:rsidRDefault="00384108" w:rsidP="00964B1C">
      <w:pPr>
        <w:pStyle w:val="Restitle"/>
      </w:pPr>
      <w:r w:rsidRPr="00FB39CC">
        <w:rPr>
          <w:rFonts w:ascii="Times New Roman"/>
        </w:rPr>
        <w:t>É</w:t>
      </w:r>
      <w:r w:rsidRPr="00FB39CC">
        <w:rPr>
          <w:rFonts w:ascii="Times New Roman"/>
        </w:rPr>
        <w:t xml:space="preserve">tudes </w:t>
      </w:r>
      <w:r w:rsidRPr="00FB39CC">
        <w:rPr>
          <w:color w:val="000000"/>
        </w:rPr>
        <w:t xml:space="preserve">relatives à des attributions possibles </w:t>
      </w:r>
      <w:r w:rsidRPr="00FB39CC">
        <w:rPr>
          <w:rFonts w:ascii="Times New Roman"/>
        </w:rPr>
        <w:t>au service mobile dans</w:t>
      </w:r>
      <w:r w:rsidR="006A1164" w:rsidRPr="00FB39CC">
        <w:rPr>
          <w:rFonts w:ascii="Times New Roman"/>
        </w:rPr>
        <w:br/>
      </w:r>
      <w:r w:rsidRPr="00FB39CC">
        <w:rPr>
          <w:rFonts w:ascii="Times New Roman"/>
        </w:rPr>
        <w:t>la bande 1</w:t>
      </w:r>
      <w:r w:rsidR="005A6D78" w:rsidRPr="00FB39CC">
        <w:rPr>
          <w:rFonts w:ascii="Times New Roman"/>
        </w:rPr>
        <w:t> </w:t>
      </w:r>
      <w:r w:rsidRPr="00FB39CC">
        <w:rPr>
          <w:rFonts w:ascii="Times New Roman"/>
        </w:rPr>
        <w:t>300-1</w:t>
      </w:r>
      <w:r w:rsidR="005A6D78" w:rsidRPr="00FB39CC">
        <w:rPr>
          <w:rFonts w:ascii="Times New Roman"/>
        </w:rPr>
        <w:t> </w:t>
      </w:r>
      <w:r w:rsidRPr="00FB39CC">
        <w:rPr>
          <w:rFonts w:ascii="Times New Roman"/>
        </w:rPr>
        <w:t>350 MHz pour le d</w:t>
      </w:r>
      <w:r w:rsidRPr="00FB39CC">
        <w:rPr>
          <w:rFonts w:ascii="Times New Roman"/>
        </w:rPr>
        <w:t>é</w:t>
      </w:r>
      <w:r w:rsidRPr="00FB39CC">
        <w:rPr>
          <w:rFonts w:ascii="Times New Roman"/>
        </w:rPr>
        <w:t xml:space="preserve">veloppement futur </w:t>
      </w:r>
      <w:r w:rsidR="000F0BA4" w:rsidRPr="00FB39CC">
        <w:rPr>
          <w:rFonts w:ascii="Times New Roman"/>
        </w:rPr>
        <w:br/>
      </w:r>
      <w:r w:rsidRPr="00FB39CC">
        <w:rPr>
          <w:rFonts w:ascii="Times New Roman"/>
        </w:rPr>
        <w:t>des applications</w:t>
      </w:r>
      <w:r w:rsidR="000F0BA4" w:rsidRPr="00FB39CC">
        <w:rPr>
          <w:rFonts w:ascii="Times New Roman"/>
        </w:rPr>
        <w:t xml:space="preserve"> </w:t>
      </w:r>
      <w:r w:rsidRPr="00FB39CC">
        <w:rPr>
          <w:rFonts w:ascii="Times New Roman"/>
        </w:rPr>
        <w:t>large bande mobile</w:t>
      </w:r>
      <w:r w:rsidR="00724065" w:rsidRPr="00FB39CC">
        <w:rPr>
          <w:rFonts w:ascii="Times New Roman"/>
        </w:rPr>
        <w:t xml:space="preserve"> </w:t>
      </w:r>
      <w:r w:rsidRPr="00FB39CC">
        <w:rPr>
          <w:rFonts w:ascii="Times New Roman"/>
        </w:rPr>
        <w:t>de Terre</w:t>
      </w:r>
      <w:r w:rsidR="00724065" w:rsidRPr="00FB39CC">
        <w:rPr>
          <w:rFonts w:ascii="Times New Roman"/>
        </w:rPr>
        <w:t xml:space="preserve"> </w:t>
      </w:r>
    </w:p>
    <w:p w14:paraId="593D6B48" w14:textId="35EF0307" w:rsidR="007C63A1" w:rsidRPr="00FB39CC" w:rsidRDefault="00384108" w:rsidP="00964B1C">
      <w:pPr>
        <w:pStyle w:val="Normalaftertitle"/>
      </w:pPr>
      <w:r w:rsidRPr="00FB39CC">
        <w:rPr>
          <w:color w:val="000000"/>
        </w:rPr>
        <w:t>La Conférence mondiale des radiocommunications (Charm el-Cheik, 2019),</w:t>
      </w:r>
      <w:r w:rsidR="00724065" w:rsidRPr="00FB39CC">
        <w:rPr>
          <w:color w:val="000000"/>
        </w:rPr>
        <w:t xml:space="preserve"> </w:t>
      </w:r>
    </w:p>
    <w:p w14:paraId="2693EFF1" w14:textId="77777777" w:rsidR="00384108" w:rsidRPr="00FB39CC" w:rsidRDefault="00384108" w:rsidP="00964B1C">
      <w:pPr>
        <w:pStyle w:val="Call"/>
      </w:pPr>
      <w:r w:rsidRPr="00FB39CC">
        <w:t>considérant</w:t>
      </w:r>
    </w:p>
    <w:p w14:paraId="033852FD" w14:textId="72F69110" w:rsidR="00856305" w:rsidRPr="00FB39CC" w:rsidRDefault="007C63A1" w:rsidP="00964B1C">
      <w:r w:rsidRPr="00FB39CC">
        <w:rPr>
          <w:i/>
          <w:iCs/>
        </w:rPr>
        <w:t>a)</w:t>
      </w:r>
      <w:r w:rsidRPr="00FB39CC">
        <w:tab/>
      </w:r>
      <w:r w:rsidR="00261037" w:rsidRPr="00FB39CC">
        <w:t xml:space="preserve">que la connectivité large bande </w:t>
      </w:r>
      <w:r w:rsidR="00261037" w:rsidRPr="00FB39CC">
        <w:rPr>
          <w:color w:val="000000"/>
        </w:rPr>
        <w:t>contribue au développement socio-économique mondial</w:t>
      </w:r>
      <w:r w:rsidRPr="00FB39CC">
        <w:t>;</w:t>
      </w:r>
    </w:p>
    <w:p w14:paraId="16F97DB8" w14:textId="3F04A2F0" w:rsidR="007C63A1" w:rsidRPr="00FB39CC" w:rsidRDefault="007C63A1" w:rsidP="00964B1C">
      <w:r w:rsidRPr="00FB39CC">
        <w:rPr>
          <w:i/>
          <w:iCs/>
        </w:rPr>
        <w:t>b)</w:t>
      </w:r>
      <w:r w:rsidRPr="00FB39CC">
        <w:rPr>
          <w:i/>
          <w:iCs/>
        </w:rPr>
        <w:tab/>
      </w:r>
      <w:r w:rsidRPr="00FB39CC">
        <w:t>que la demande de services de communication</w:t>
      </w:r>
      <w:r w:rsidR="00724065" w:rsidRPr="00FB39CC">
        <w:t xml:space="preserve"> </w:t>
      </w:r>
      <w:r w:rsidRPr="00FB39CC">
        <w:t>large bande</w:t>
      </w:r>
      <w:r w:rsidR="00261037" w:rsidRPr="00FB39CC">
        <w:t xml:space="preserve"> </w:t>
      </w:r>
      <w:r w:rsidRPr="00FB39CC">
        <w:t>augmente régulièrement dans le monde entier;</w:t>
      </w:r>
    </w:p>
    <w:p w14:paraId="5A028328" w14:textId="0388564F" w:rsidR="007C63A1" w:rsidRPr="00FB39CC" w:rsidRDefault="007C63A1" w:rsidP="00964B1C">
      <w:r w:rsidRPr="00FB39CC">
        <w:rPr>
          <w:i/>
          <w:iCs/>
        </w:rPr>
        <w:t>c)</w:t>
      </w:r>
      <w:r w:rsidRPr="00FB39CC">
        <w:tab/>
      </w:r>
      <w:r w:rsidR="00261037" w:rsidRPr="00FB39CC">
        <w:t>que le large bande mobile joue un rôle important et sans cesse croissant pour connecter les utilisateurs à l</w:t>
      </w:r>
      <w:r w:rsidR="005D5547" w:rsidRPr="00FB39CC">
        <w:t>'</w:t>
      </w:r>
      <w:r w:rsidR="00261037" w:rsidRPr="00FB39CC">
        <w:t>Internet;</w:t>
      </w:r>
    </w:p>
    <w:p w14:paraId="56C7A348" w14:textId="49B0AB18" w:rsidR="00FD3A0C" w:rsidRPr="00FB39CC" w:rsidRDefault="007C63A1" w:rsidP="00964B1C">
      <w:r w:rsidRPr="00FB39CC">
        <w:rPr>
          <w:i/>
          <w:iCs/>
        </w:rPr>
        <w:t>d)</w:t>
      </w:r>
      <w:r w:rsidRPr="00FB39CC">
        <w:tab/>
      </w:r>
      <w:r w:rsidR="00FD3A0C" w:rsidRPr="00FB39CC">
        <w:t>que les progrès techniques et les besoins des utilisateurs favoriseront l</w:t>
      </w:r>
      <w:r w:rsidR="005D5547" w:rsidRPr="00FB39CC">
        <w:t>'</w:t>
      </w:r>
      <w:r w:rsidR="00FD3A0C" w:rsidRPr="00FB39CC">
        <w:t>innovation et accéléreront le développement futur des applications des communications</w:t>
      </w:r>
      <w:r w:rsidR="00724065" w:rsidRPr="00FB39CC">
        <w:t>;</w:t>
      </w:r>
    </w:p>
    <w:p w14:paraId="38745EFE" w14:textId="2F8F918E" w:rsidR="006813B9" w:rsidRPr="00FB39CC" w:rsidRDefault="006813B9" w:rsidP="00964B1C">
      <w:r w:rsidRPr="00FB39CC">
        <w:rPr>
          <w:i/>
          <w:iCs/>
        </w:rPr>
        <w:t>e)</w:t>
      </w:r>
      <w:r w:rsidRPr="00FB39CC">
        <w:tab/>
        <w:t>que la disponibilité en temps voulu de fréquences est importante pour prendre en charge les applications futures;</w:t>
      </w:r>
    </w:p>
    <w:p w14:paraId="31CFB733" w14:textId="2063D032" w:rsidR="006813B9" w:rsidRPr="00FB39CC" w:rsidRDefault="006813B9" w:rsidP="00964B1C">
      <w:r w:rsidRPr="00FB39CC">
        <w:rPr>
          <w:i/>
          <w:iCs/>
        </w:rPr>
        <w:t>f)</w:t>
      </w:r>
      <w:r w:rsidRPr="00FB39CC">
        <w:tab/>
      </w:r>
      <w:r w:rsidR="00FD3A0C" w:rsidRPr="00FB39CC">
        <w:t xml:space="preserve">que toutes les études </w:t>
      </w:r>
      <w:r w:rsidR="00FD3A0C" w:rsidRPr="00FB39CC">
        <w:rPr>
          <w:color w:val="000000"/>
        </w:rPr>
        <w:t xml:space="preserve">menées en préparation de </w:t>
      </w:r>
      <w:r w:rsidR="00FD3A0C" w:rsidRPr="00FB39CC">
        <w:t>la CMR-15 concernant la compatibilité entre les radars et les Télécommunications mobiles internationales</w:t>
      </w:r>
      <w:r w:rsidRPr="00FB39CC">
        <w:t xml:space="preserve"> (IMT)</w:t>
      </w:r>
      <w:r w:rsidR="00FD3A0C" w:rsidRPr="00FB39CC">
        <w:t xml:space="preserve"> dans cette gamme de fréquences</w:t>
      </w:r>
      <w:r w:rsidRPr="00FB39CC">
        <w:t>,</w:t>
      </w:r>
      <w:r w:rsidR="00FD3A0C" w:rsidRPr="00FB39CC">
        <w:rPr>
          <w:color w:val="000000"/>
        </w:rPr>
        <w:t xml:space="preserve"> qui reposaient sur les paramètres fournis à l</w:t>
      </w:r>
      <w:r w:rsidR="005D5547" w:rsidRPr="00FB39CC">
        <w:rPr>
          <w:color w:val="000000"/>
        </w:rPr>
        <w:t>'</w:t>
      </w:r>
      <w:r w:rsidR="00FD3A0C" w:rsidRPr="00FB39CC">
        <w:rPr>
          <w:color w:val="000000"/>
        </w:rPr>
        <w:t>époque, ont montré</w:t>
      </w:r>
      <w:r w:rsidR="00724065" w:rsidRPr="00FB39CC">
        <w:rPr>
          <w:color w:val="000000"/>
        </w:rPr>
        <w:t xml:space="preserve"> </w:t>
      </w:r>
      <w:r w:rsidR="00FD3A0C" w:rsidRPr="00FB39CC">
        <w:rPr>
          <w:color w:val="000000"/>
        </w:rPr>
        <w:t>qu'à l'intérieur de la même zone géographique, l'exploitation sur la même fréquence de systèmes mobiles large bande et de systèmes radar</w:t>
      </w:r>
      <w:r w:rsidR="00724065" w:rsidRPr="00FB39CC">
        <w:rPr>
          <w:color w:val="000000"/>
        </w:rPr>
        <w:t xml:space="preserve"> </w:t>
      </w:r>
      <w:r w:rsidR="00FD3A0C" w:rsidRPr="00FB39CC">
        <w:rPr>
          <w:color w:val="000000"/>
        </w:rPr>
        <w:t>était impossible</w:t>
      </w:r>
      <w:r w:rsidR="00724065" w:rsidRPr="00FB39CC">
        <w:rPr>
          <w:color w:val="000000"/>
        </w:rPr>
        <w:t>;</w:t>
      </w:r>
    </w:p>
    <w:p w14:paraId="6176079A" w14:textId="3036CA2F" w:rsidR="00673FCB" w:rsidRPr="00FB39CC" w:rsidRDefault="002A7DA9" w:rsidP="00964B1C">
      <w:r w:rsidRPr="00FB39CC">
        <w:rPr>
          <w:i/>
          <w:iCs/>
        </w:rPr>
        <w:t>g)</w:t>
      </w:r>
      <w:r w:rsidRPr="00FB39CC">
        <w:tab/>
      </w:r>
      <w:r w:rsidR="00FD3A0C" w:rsidRPr="00FB39CC">
        <w:t xml:space="preserve">que </w:t>
      </w:r>
      <w:r w:rsidR="00FD3A0C" w:rsidRPr="00FB39CC">
        <w:rPr>
          <w:color w:val="000000"/>
        </w:rPr>
        <w:t>cette gamme de fréquences est largement utilisée dans certains pays pour les systèmes radar</w:t>
      </w:r>
      <w:r w:rsidR="00724065" w:rsidRPr="00FB39CC">
        <w:rPr>
          <w:color w:val="000000"/>
        </w:rPr>
        <w:t>;</w:t>
      </w:r>
    </w:p>
    <w:p w14:paraId="11CF8AE8" w14:textId="4C1ACD07" w:rsidR="002A7DA9" w:rsidRPr="00FB39CC" w:rsidRDefault="002A7DA9" w:rsidP="00964B1C">
      <w:r w:rsidRPr="00FB39CC">
        <w:rPr>
          <w:i/>
          <w:iCs/>
        </w:rPr>
        <w:t>h)</w:t>
      </w:r>
      <w:r w:rsidRPr="00FB39CC">
        <w:tab/>
      </w:r>
      <w:r w:rsidR="00FD3A0C" w:rsidRPr="00FB39CC">
        <w:t>que la</w:t>
      </w:r>
      <w:r w:rsidR="00724065" w:rsidRPr="00FB39CC">
        <w:t xml:space="preserve"> </w:t>
      </w:r>
      <w:r w:rsidR="00D768EF" w:rsidRPr="00FB39CC">
        <w:t>CMR</w:t>
      </w:r>
      <w:r w:rsidRPr="00FB39CC">
        <w:t xml:space="preserve">-15 </w:t>
      </w:r>
      <w:r w:rsidR="00295125" w:rsidRPr="00FB39CC">
        <w:t xml:space="preserve">a noté que dans les </w:t>
      </w:r>
      <w:r w:rsidR="00FD3A0C" w:rsidRPr="00FB39CC">
        <w:rPr>
          <w:color w:val="000000"/>
        </w:rPr>
        <w:t>pays</w:t>
      </w:r>
      <w:r w:rsidR="00295125" w:rsidRPr="00FB39CC">
        <w:rPr>
          <w:color w:val="000000"/>
        </w:rPr>
        <w:t xml:space="preserve"> o</w:t>
      </w:r>
      <w:r w:rsidR="000E61D9" w:rsidRPr="00FB39CC">
        <w:rPr>
          <w:color w:val="000000"/>
        </w:rPr>
        <w:t>ù</w:t>
      </w:r>
      <w:r w:rsidR="00295125" w:rsidRPr="00FB39CC">
        <w:rPr>
          <w:color w:val="000000"/>
        </w:rPr>
        <w:t xml:space="preserve"> </w:t>
      </w:r>
      <w:r w:rsidR="00FD3A0C" w:rsidRPr="00FB39CC">
        <w:rPr>
          <w:color w:val="000000"/>
        </w:rPr>
        <w:t xml:space="preserve">la bande de fréquences n'est pas entièrement utilisée par </w:t>
      </w:r>
      <w:r w:rsidR="00295125" w:rsidRPr="00FB39CC">
        <w:rPr>
          <w:color w:val="000000"/>
        </w:rPr>
        <w:t>c</w:t>
      </w:r>
      <w:r w:rsidR="00FD3A0C" w:rsidRPr="00FB39CC">
        <w:rPr>
          <w:color w:val="000000"/>
        </w:rPr>
        <w:t>es systèmes</w:t>
      </w:r>
      <w:r w:rsidR="00295125" w:rsidRPr="00FB39CC">
        <w:rPr>
          <w:color w:val="000000"/>
        </w:rPr>
        <w:t>,</w:t>
      </w:r>
      <w:r w:rsidR="00FD3A0C" w:rsidRPr="00FB39CC">
        <w:rPr>
          <w:color w:val="000000"/>
        </w:rPr>
        <w:t xml:space="preserve"> d</w:t>
      </w:r>
      <w:r w:rsidR="00295125" w:rsidRPr="00FB39CC">
        <w:rPr>
          <w:color w:val="000000"/>
        </w:rPr>
        <w:t xml:space="preserve">es </w:t>
      </w:r>
      <w:r w:rsidR="00FD3A0C" w:rsidRPr="00FB39CC">
        <w:rPr>
          <w:color w:val="000000"/>
        </w:rPr>
        <w:t xml:space="preserve">études menées par l'UIT-R </w:t>
      </w:r>
      <w:r w:rsidR="00295125" w:rsidRPr="00FB39CC">
        <w:rPr>
          <w:color w:val="000000"/>
        </w:rPr>
        <w:t xml:space="preserve">ont fait apparaître </w:t>
      </w:r>
      <w:r w:rsidR="00FD3A0C" w:rsidRPr="00FB39CC">
        <w:rPr>
          <w:color w:val="000000"/>
        </w:rPr>
        <w:t>que le partage sera peut</w:t>
      </w:r>
      <w:r w:rsidR="00B63D31" w:rsidRPr="00FB39CC">
        <w:rPr>
          <w:color w:val="000000"/>
        </w:rPr>
        <w:noBreakHyphen/>
      </w:r>
      <w:r w:rsidR="00FD3A0C" w:rsidRPr="00FB39CC">
        <w:rPr>
          <w:color w:val="000000"/>
        </w:rPr>
        <w:t>être possible dans ces pays, à condition que différentes mesures d'atténuation soient adoptées et qu'une coordination soit assurée</w:t>
      </w:r>
      <w:r w:rsidR="00295125" w:rsidRPr="00FB39CC">
        <w:rPr>
          <w:color w:val="000000"/>
        </w:rPr>
        <w:t>, mais n</w:t>
      </w:r>
      <w:r w:rsidR="005D5547" w:rsidRPr="00FB39CC">
        <w:rPr>
          <w:color w:val="000000"/>
        </w:rPr>
        <w:t>'</w:t>
      </w:r>
      <w:r w:rsidR="00295125" w:rsidRPr="00FB39CC">
        <w:rPr>
          <w:color w:val="000000"/>
        </w:rPr>
        <w:t>a pu parvenir à des conclusions quant à l</w:t>
      </w:r>
      <w:r w:rsidR="005D5547" w:rsidRPr="00FB39CC">
        <w:rPr>
          <w:color w:val="000000"/>
        </w:rPr>
        <w:t>'</w:t>
      </w:r>
      <w:r w:rsidR="00295125" w:rsidRPr="00FB39CC">
        <w:rPr>
          <w:color w:val="000000"/>
        </w:rPr>
        <w:t>applicabilité, la complexité, les possibilités d'application pratique ou la faisabilité de ces mesures</w:t>
      </w:r>
      <w:r w:rsidR="00724065" w:rsidRPr="00FB39CC">
        <w:rPr>
          <w:color w:val="000000"/>
        </w:rPr>
        <w:t>;</w:t>
      </w:r>
    </w:p>
    <w:p w14:paraId="6210921D" w14:textId="1810956D" w:rsidR="002A7DA9" w:rsidRPr="00FB39CC" w:rsidRDefault="002A7DA9" w:rsidP="00964B1C">
      <w:r w:rsidRPr="00FB39CC">
        <w:rPr>
          <w:i/>
          <w:iCs/>
        </w:rPr>
        <w:t>i)</w:t>
      </w:r>
      <w:r w:rsidRPr="00FB39CC">
        <w:tab/>
      </w:r>
      <w:r w:rsidR="00295125" w:rsidRPr="00FB39CC">
        <w:t xml:space="preserve">que certaines administrations envisagent la possibilité de réaménager/redéployer </w:t>
      </w:r>
      <w:r w:rsidR="00DD36FD" w:rsidRPr="00FB39CC">
        <w:t xml:space="preserve">dans </w:t>
      </w:r>
      <w:r w:rsidR="00295125" w:rsidRPr="00FB39CC">
        <w:t>des bandes de fréquences certains services exploités dans des parties de la bande de fréquences</w:t>
      </w:r>
      <w:r w:rsidR="00DD36FD" w:rsidRPr="00FB39CC">
        <w:t xml:space="preserve"> </w:t>
      </w:r>
      <w:r w:rsidR="00295125" w:rsidRPr="00FB39CC">
        <w:t>1</w:t>
      </w:r>
      <w:r w:rsidR="005A6D78" w:rsidRPr="00FB39CC">
        <w:t> </w:t>
      </w:r>
      <w:r w:rsidR="00295125" w:rsidRPr="00FB39CC">
        <w:t>300-1</w:t>
      </w:r>
      <w:r w:rsidR="005A6D78" w:rsidRPr="00FB39CC">
        <w:t> </w:t>
      </w:r>
      <w:r w:rsidR="00295125" w:rsidRPr="00FB39CC">
        <w:t xml:space="preserve">350 MHz </w:t>
      </w:r>
      <w:r w:rsidR="00DD36FD" w:rsidRPr="00FB39CC">
        <w:t>attribuée aux</w:t>
      </w:r>
      <w:r w:rsidR="00295125" w:rsidRPr="00FB39CC">
        <w:t xml:space="preserve"> services mobiles, </w:t>
      </w:r>
      <w:r w:rsidR="00295125" w:rsidRPr="00FB39CC">
        <w:rPr>
          <w:color w:val="000000"/>
        </w:rPr>
        <w:t>ce qui exige</w:t>
      </w:r>
      <w:r w:rsidR="00724065" w:rsidRPr="00FB39CC">
        <w:rPr>
          <w:color w:val="000000"/>
        </w:rPr>
        <w:t xml:space="preserve"> </w:t>
      </w:r>
      <w:r w:rsidR="00295125" w:rsidRPr="00FB39CC">
        <w:rPr>
          <w:color w:val="000000"/>
        </w:rPr>
        <w:t>des investissements importants</w:t>
      </w:r>
      <w:r w:rsidRPr="00FB39CC">
        <w:t>;</w:t>
      </w:r>
    </w:p>
    <w:p w14:paraId="1878684C" w14:textId="667FD22C" w:rsidR="002A7DA9" w:rsidRPr="00FB39CC" w:rsidRDefault="002A7DA9" w:rsidP="00964B1C">
      <w:r w:rsidRPr="00FB39CC">
        <w:rPr>
          <w:i/>
          <w:iCs/>
        </w:rPr>
        <w:t>j)</w:t>
      </w:r>
      <w:r w:rsidRPr="00FB39CC">
        <w:tab/>
      </w:r>
      <w:r w:rsidR="00DD36FD" w:rsidRPr="00FB39CC">
        <w:t>que l</w:t>
      </w:r>
      <w:r w:rsidR="005D5547" w:rsidRPr="00FB39CC">
        <w:t>'</w:t>
      </w:r>
      <w:r w:rsidR="00DD36FD" w:rsidRPr="00FB39CC">
        <w:t>on</w:t>
      </w:r>
      <w:r w:rsidR="00724065" w:rsidRPr="00FB39CC">
        <w:t xml:space="preserve"> </w:t>
      </w:r>
      <w:r w:rsidR="00DD36FD" w:rsidRPr="00FB39CC">
        <w:t>met actuellement au point</w:t>
      </w:r>
      <w:r w:rsidR="00724065" w:rsidRPr="00FB39CC">
        <w:t xml:space="preserve"> </w:t>
      </w:r>
      <w:r w:rsidR="00DD36FD" w:rsidRPr="00FB39CC">
        <w:rPr>
          <w:color w:val="000000"/>
        </w:rPr>
        <w:t>des techniques perfectionnées de partage de fréquences</w:t>
      </w:r>
      <w:r w:rsidR="00DD36FD" w:rsidRPr="00FB39CC">
        <w:t xml:space="preserve"> qui pourraient faciliter l</w:t>
      </w:r>
      <w:r w:rsidR="005D5547" w:rsidRPr="00FB39CC">
        <w:t>'</w:t>
      </w:r>
      <w:r w:rsidR="00DD36FD" w:rsidRPr="00FB39CC">
        <w:t>utilisation additionnelle de fréquences par plusieurs services différents actuellement exploités;</w:t>
      </w:r>
    </w:p>
    <w:p w14:paraId="545C6035" w14:textId="5F1149A7" w:rsidR="002A7DA9" w:rsidRPr="00FB39CC" w:rsidRDefault="00251267" w:rsidP="00964B1C">
      <w:r w:rsidRPr="00FB39CC">
        <w:rPr>
          <w:i/>
        </w:rPr>
        <w:t>k)</w:t>
      </w:r>
      <w:r w:rsidRPr="00FB39CC">
        <w:tab/>
        <w:t>qu'il est nécessaire de protéger les services existants lorsqu'on examine des bandes de fréquences en vue de faire d'éventuelles attributions additionnelles à un service</w:t>
      </w:r>
      <w:r w:rsidR="0047084B" w:rsidRPr="00FB39CC">
        <w:t>,</w:t>
      </w:r>
    </w:p>
    <w:p w14:paraId="3EAE87B7" w14:textId="76662DC2" w:rsidR="0052749A" w:rsidRPr="00FB39CC" w:rsidRDefault="00DD36FD" w:rsidP="00964B1C">
      <w:pPr>
        <w:pStyle w:val="Call"/>
      </w:pPr>
      <w:r w:rsidRPr="00FB39CC">
        <w:t>reconnaissant</w:t>
      </w:r>
    </w:p>
    <w:p w14:paraId="48995BF6" w14:textId="14988E51" w:rsidR="0052749A" w:rsidRPr="00FB39CC" w:rsidRDefault="0052749A" w:rsidP="00964B1C">
      <w:r w:rsidRPr="00FB39CC">
        <w:rPr>
          <w:i/>
          <w:iCs/>
        </w:rPr>
        <w:t>a)</w:t>
      </w:r>
      <w:r w:rsidRPr="00FB39CC">
        <w:tab/>
      </w:r>
      <w:r w:rsidR="00DD36FD" w:rsidRPr="00FB39CC">
        <w:t>que la bande de fréquences 1</w:t>
      </w:r>
      <w:r w:rsidR="005A6D78" w:rsidRPr="00FB39CC">
        <w:t> </w:t>
      </w:r>
      <w:r w:rsidR="00DD36FD" w:rsidRPr="00FB39CC">
        <w:t>300-1</w:t>
      </w:r>
      <w:r w:rsidR="005A6D78" w:rsidRPr="00FB39CC">
        <w:t> </w:t>
      </w:r>
      <w:r w:rsidR="00DD36FD" w:rsidRPr="00FB39CC">
        <w:t>350 MHz est attribuée à titre primaire aux services de radiolocalisation, de radionavigation aéronautique et de radionavigation par satellite;</w:t>
      </w:r>
    </w:p>
    <w:p w14:paraId="3E69B619" w14:textId="30F904B4" w:rsidR="0052749A" w:rsidRPr="00FB39CC" w:rsidRDefault="0052749A" w:rsidP="00964B1C">
      <w:r w:rsidRPr="00FB39CC">
        <w:rPr>
          <w:i/>
          <w:iCs/>
        </w:rPr>
        <w:lastRenderedPageBreak/>
        <w:t>b)</w:t>
      </w:r>
      <w:r w:rsidRPr="00FB39CC">
        <w:tab/>
      </w:r>
      <w:r w:rsidR="00CC34A3" w:rsidRPr="00FB39CC">
        <w:t>que le service de radionavigation par satellite (espace vers Terre) (espace</w:t>
      </w:r>
      <w:r w:rsidR="005A6D78" w:rsidRPr="00FB39CC">
        <w:t>-</w:t>
      </w:r>
      <w:r w:rsidR="00CC34A3" w:rsidRPr="00FB39CC">
        <w:t>espace) dispose notamment d</w:t>
      </w:r>
      <w:r w:rsidR="005D5547" w:rsidRPr="00FB39CC">
        <w:t>'</w:t>
      </w:r>
      <w:r w:rsidR="00CC34A3" w:rsidRPr="00FB39CC">
        <w:t>une attribution à titre primaire dans la bande de fréquences adjacente</w:t>
      </w:r>
      <w:r w:rsidR="00724065" w:rsidRPr="00FB39CC">
        <w:t xml:space="preserve"> </w:t>
      </w:r>
      <w:r w:rsidRPr="00FB39CC">
        <w:t>1</w:t>
      </w:r>
      <w:r w:rsidR="005A6D78" w:rsidRPr="00FB39CC">
        <w:t> </w:t>
      </w:r>
      <w:r w:rsidRPr="00FB39CC">
        <w:t>240</w:t>
      </w:r>
      <w:r w:rsidR="0047084B" w:rsidRPr="00FB39CC">
        <w:noBreakHyphen/>
      </w:r>
      <w:r w:rsidRPr="00FB39CC">
        <w:t>1</w:t>
      </w:r>
      <w:r w:rsidR="005A6D78" w:rsidRPr="00FB39CC">
        <w:t> </w:t>
      </w:r>
      <w:r w:rsidRPr="00FB39CC">
        <w:t>300 MHz;</w:t>
      </w:r>
    </w:p>
    <w:p w14:paraId="787BACBA" w14:textId="740B4F10" w:rsidR="0052749A" w:rsidRPr="00FB39CC" w:rsidRDefault="0052749A" w:rsidP="00964B1C">
      <w:r w:rsidRPr="00FB39CC">
        <w:rPr>
          <w:i/>
          <w:iCs/>
        </w:rPr>
        <w:t>c)</w:t>
      </w:r>
      <w:r w:rsidRPr="00FB39CC">
        <w:tab/>
      </w:r>
      <w:r w:rsidR="00FD3C3A" w:rsidRPr="00FB39CC">
        <w:t xml:space="preserve">que, conformément au numéro </w:t>
      </w:r>
      <w:r w:rsidRPr="00FB39CC">
        <w:rPr>
          <w:b/>
          <w:bCs/>
        </w:rPr>
        <w:t>5.149 (</w:t>
      </w:r>
      <w:r w:rsidR="00D768EF" w:rsidRPr="00FB39CC">
        <w:rPr>
          <w:b/>
          <w:bCs/>
        </w:rPr>
        <w:t>CMR</w:t>
      </w:r>
      <w:r w:rsidRPr="00FB39CC">
        <w:rPr>
          <w:b/>
          <w:bCs/>
        </w:rPr>
        <w:t>-07)</w:t>
      </w:r>
      <w:r w:rsidR="00FD3C3A" w:rsidRPr="00FB39CC">
        <w:t xml:space="preserve">, les administrations sont priées de prendre toutes les mesures pratiquement réalisables pour protéger le service de radioastronomie contre les brouillages préjudiciables dans la bande de fréquences </w:t>
      </w:r>
      <w:r w:rsidRPr="00FB39CC">
        <w:t>1</w:t>
      </w:r>
      <w:r w:rsidR="005A6D78" w:rsidRPr="00FB39CC">
        <w:t> </w:t>
      </w:r>
      <w:r w:rsidRPr="00FB39CC">
        <w:t>330-1</w:t>
      </w:r>
      <w:r w:rsidR="005A6D78" w:rsidRPr="00FB39CC">
        <w:t> </w:t>
      </w:r>
      <w:r w:rsidRPr="00FB39CC">
        <w:t xml:space="preserve">400 MHz, </w:t>
      </w:r>
      <w:r w:rsidR="000E61D9" w:rsidRPr="00FB39CC">
        <w:t xml:space="preserve">qui comprend des </w:t>
      </w:r>
      <w:r w:rsidR="00FD3C3A" w:rsidRPr="00FB39CC">
        <w:rPr>
          <w:color w:val="000000"/>
        </w:rPr>
        <w:t>raies spectrales</w:t>
      </w:r>
      <w:r w:rsidR="00724065" w:rsidRPr="00FB39CC">
        <w:rPr>
          <w:color w:val="000000"/>
        </w:rPr>
        <w:t xml:space="preserve"> </w:t>
      </w:r>
      <w:r w:rsidR="00FD3C3A" w:rsidRPr="00FB39CC">
        <w:rPr>
          <w:color w:val="000000"/>
        </w:rPr>
        <w:t>importantes pour les études astronomiques actuelles,</w:t>
      </w:r>
    </w:p>
    <w:p w14:paraId="3B9E5EFF" w14:textId="1E84F112" w:rsidR="0052749A" w:rsidRPr="00FB39CC" w:rsidRDefault="00FD3C3A" w:rsidP="00964B1C">
      <w:pPr>
        <w:pStyle w:val="Call"/>
      </w:pPr>
      <w:r w:rsidRPr="00FB39CC">
        <w:t>décide d</w:t>
      </w:r>
      <w:r w:rsidR="005D5547" w:rsidRPr="00FB39CC">
        <w:t>'</w:t>
      </w:r>
      <w:r w:rsidRPr="00FB39CC">
        <w:t>inviter l</w:t>
      </w:r>
      <w:r w:rsidR="005D5547" w:rsidRPr="00FB39CC">
        <w:t>'</w:t>
      </w:r>
      <w:r w:rsidRPr="00FB39CC">
        <w:t>UIT</w:t>
      </w:r>
      <w:r w:rsidR="005A6D78" w:rsidRPr="00FB39CC">
        <w:t>-</w:t>
      </w:r>
      <w:r w:rsidRPr="00FB39CC">
        <w:t>R</w:t>
      </w:r>
    </w:p>
    <w:p w14:paraId="45AF2731" w14:textId="2473ADFD" w:rsidR="0052749A" w:rsidRPr="00FB39CC" w:rsidRDefault="0052749A" w:rsidP="00964B1C">
      <w:r w:rsidRPr="00FB39CC">
        <w:t>1</w:t>
      </w:r>
      <w:r w:rsidRPr="00FB39CC">
        <w:tab/>
      </w:r>
      <w:r w:rsidR="00FD3C3A" w:rsidRPr="00FB39CC">
        <w:t xml:space="preserve">à </w:t>
      </w:r>
      <w:r w:rsidR="00FD3C3A" w:rsidRPr="00FB39CC">
        <w:rPr>
          <w:color w:val="000000"/>
        </w:rPr>
        <w:t>définir les caractéristiques techniques et opérationnelles des systèmes du service mobile dans la bande de fréquences</w:t>
      </w:r>
      <w:r w:rsidR="00724065" w:rsidRPr="00FB39CC">
        <w:t xml:space="preserve"> </w:t>
      </w:r>
      <w:r w:rsidRPr="00FB39CC">
        <w:t>1</w:t>
      </w:r>
      <w:r w:rsidR="005A6D78" w:rsidRPr="00FB39CC">
        <w:t> </w:t>
      </w:r>
      <w:r w:rsidRPr="00FB39CC">
        <w:t>300-1</w:t>
      </w:r>
      <w:r w:rsidR="005A6D78" w:rsidRPr="00FB39CC">
        <w:t> </w:t>
      </w:r>
      <w:r w:rsidRPr="00FB39CC">
        <w:t>350 MHz;</w:t>
      </w:r>
    </w:p>
    <w:p w14:paraId="23442DFD" w14:textId="1B88E0E9" w:rsidR="00251267" w:rsidRPr="00FB39CC" w:rsidRDefault="0052749A" w:rsidP="00964B1C">
      <w:r w:rsidRPr="00FB39CC">
        <w:t>2</w:t>
      </w:r>
      <w:r w:rsidRPr="00FB39CC">
        <w:tab/>
      </w:r>
      <w:r w:rsidR="00FD3C3A" w:rsidRPr="00FB39CC">
        <w:t>à mener des</w:t>
      </w:r>
      <w:r w:rsidR="00FD3C3A" w:rsidRPr="00FB39CC">
        <w:rPr>
          <w:color w:val="000000"/>
        </w:rPr>
        <w:t xml:space="preserve"> études de partage et de compatibilité</w:t>
      </w:r>
      <w:r w:rsidR="00724065" w:rsidRPr="00FB39CC">
        <w:rPr>
          <w:color w:val="000000"/>
        </w:rPr>
        <w:t xml:space="preserve"> </w:t>
      </w:r>
      <w:r w:rsidR="00FD3C3A" w:rsidRPr="00FB39CC">
        <w:rPr>
          <w:color w:val="000000"/>
        </w:rPr>
        <w:t>pour assurer la protection des services auxquels la bande est attribuée à titre primaire</w:t>
      </w:r>
      <w:r w:rsidR="00F12078" w:rsidRPr="00FB39CC">
        <w:rPr>
          <w:color w:val="000000"/>
        </w:rPr>
        <w:t xml:space="preserve"> et des services exploités dans les bandes adjacentes, selon le cas, compte tenu du point </w:t>
      </w:r>
      <w:r w:rsidR="00F12078" w:rsidRPr="00FB39CC">
        <w:rPr>
          <w:i/>
          <w:iCs/>
          <w:color w:val="000000"/>
        </w:rPr>
        <w:t>f)</w:t>
      </w:r>
      <w:r w:rsidR="00F12078" w:rsidRPr="00FB39CC">
        <w:rPr>
          <w:color w:val="000000"/>
        </w:rPr>
        <w:t xml:space="preserve"> du </w:t>
      </w:r>
      <w:r w:rsidR="00F12078" w:rsidRPr="00FB39CC">
        <w:rPr>
          <w:i/>
          <w:iCs/>
          <w:color w:val="000000"/>
        </w:rPr>
        <w:t>considérant</w:t>
      </w:r>
      <w:r w:rsidR="00F12078" w:rsidRPr="00FB39CC">
        <w:rPr>
          <w:color w:val="000000"/>
        </w:rPr>
        <w:t>, pour la bande de fréquences</w:t>
      </w:r>
      <w:r w:rsidR="00FD3C3A" w:rsidRPr="00FB39CC">
        <w:t xml:space="preserve"> </w:t>
      </w:r>
      <w:r w:rsidRPr="00FB39CC">
        <w:t>1</w:t>
      </w:r>
      <w:r w:rsidR="005A6D78" w:rsidRPr="00FB39CC">
        <w:t> </w:t>
      </w:r>
      <w:r w:rsidRPr="00FB39CC">
        <w:t>300-1</w:t>
      </w:r>
      <w:r w:rsidR="005A6D78" w:rsidRPr="00FB39CC">
        <w:t> </w:t>
      </w:r>
      <w:r w:rsidRPr="00FB39CC">
        <w:t>350 MHz;</w:t>
      </w:r>
    </w:p>
    <w:p w14:paraId="4096AAAE" w14:textId="372AAD18" w:rsidR="0052749A" w:rsidRPr="00FB39CC" w:rsidRDefault="0052749A" w:rsidP="00964B1C">
      <w:r w:rsidRPr="00FB39CC">
        <w:t>3</w:t>
      </w:r>
      <w:r w:rsidRPr="00FB39CC">
        <w:tab/>
      </w:r>
      <w:r w:rsidR="00322860" w:rsidRPr="00FB39CC">
        <w:t xml:space="preserve">à terminer </w:t>
      </w:r>
      <w:r w:rsidR="000E61D9" w:rsidRPr="00FB39CC">
        <w:t>ces</w:t>
      </w:r>
      <w:r w:rsidR="00322860" w:rsidRPr="00FB39CC">
        <w:t xml:space="preserve"> études avant la Conférence mondiale des radiocommunications de 2023,</w:t>
      </w:r>
    </w:p>
    <w:p w14:paraId="6F1EA72E" w14:textId="403AD9B5" w:rsidR="0052749A" w:rsidRPr="00FB39CC" w:rsidRDefault="00322860" w:rsidP="00964B1C">
      <w:pPr>
        <w:pStyle w:val="Call"/>
      </w:pPr>
      <w:r w:rsidRPr="00FB39CC">
        <w:t>décide en outre d</w:t>
      </w:r>
      <w:r w:rsidR="005D5547" w:rsidRPr="00FB39CC">
        <w:t>'</w:t>
      </w:r>
      <w:r w:rsidRPr="00FB39CC">
        <w:t xml:space="preserve">inviter la </w:t>
      </w:r>
      <w:r w:rsidR="00D768EF" w:rsidRPr="00FB39CC">
        <w:t>CMR</w:t>
      </w:r>
      <w:r w:rsidR="0052749A" w:rsidRPr="00FB39CC">
        <w:t>-23</w:t>
      </w:r>
    </w:p>
    <w:p w14:paraId="2BFC1B4D" w14:textId="63119156" w:rsidR="0052749A" w:rsidRPr="00FB39CC" w:rsidRDefault="00322860" w:rsidP="00964B1C">
      <w:r w:rsidRPr="00FB39CC">
        <w:t xml:space="preserve">à envisager, compte tenu des études effectuées </w:t>
      </w:r>
      <w:r w:rsidRPr="00FB39CC">
        <w:rPr>
          <w:color w:val="000000"/>
        </w:rPr>
        <w:t>conformément au</w:t>
      </w:r>
      <w:r w:rsidR="00724065" w:rsidRPr="00FB39CC">
        <w:rPr>
          <w:color w:val="000000"/>
        </w:rPr>
        <w:t xml:space="preserve"> </w:t>
      </w:r>
      <w:r w:rsidRPr="00FB39CC">
        <w:rPr>
          <w:i/>
          <w:iCs/>
          <w:color w:val="000000"/>
        </w:rPr>
        <w:t>décide d'inviter l'UIT-R</w:t>
      </w:r>
      <w:r w:rsidRPr="00FB39CC">
        <w:rPr>
          <w:color w:val="000000"/>
        </w:rPr>
        <w:t xml:space="preserve"> </w:t>
      </w:r>
      <w:r w:rsidRPr="00FB39CC">
        <w:t>ci-dessus, des attributions possibles au service mobile</w:t>
      </w:r>
      <w:r w:rsidR="00DF51B5" w:rsidRPr="00FB39CC">
        <w:t>.</w:t>
      </w:r>
    </w:p>
    <w:p w14:paraId="6B3091D5" w14:textId="78FAD25E" w:rsidR="0052749A" w:rsidRPr="00FB39CC" w:rsidRDefault="0052749A" w:rsidP="00964B1C">
      <w:pPr>
        <w:pStyle w:val="Reasons"/>
      </w:pPr>
      <w:r w:rsidRPr="00FB39CC">
        <w:rPr>
          <w:b/>
        </w:rPr>
        <w:t>Motifs:</w:t>
      </w:r>
      <w:r w:rsidRPr="00FB39CC">
        <w:tab/>
      </w:r>
      <w:r w:rsidR="00322860" w:rsidRPr="00FB39CC">
        <w:t>Faciliter le développement futur des applications large</w:t>
      </w:r>
      <w:r w:rsidR="00724065" w:rsidRPr="00FB39CC">
        <w:t xml:space="preserve"> </w:t>
      </w:r>
      <w:r w:rsidR="00322860" w:rsidRPr="00FB39CC">
        <w:t>bande mobile de Terre.</w:t>
      </w:r>
    </w:p>
    <w:p w14:paraId="415775AA" w14:textId="5349DA24" w:rsidR="0052749A" w:rsidRPr="00FB39CC" w:rsidRDefault="0052749A" w:rsidP="00964B1C">
      <w:pPr>
        <w:jc w:val="center"/>
      </w:pPr>
      <w:r w:rsidRPr="00FB39CC">
        <w:t>______________</w:t>
      </w:r>
      <w:bookmarkStart w:id="6" w:name="_GoBack"/>
      <w:bookmarkEnd w:id="6"/>
    </w:p>
    <w:sectPr w:rsidR="0052749A" w:rsidRPr="00FB39CC">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AC30A" w14:textId="77777777" w:rsidR="0070076C" w:rsidRDefault="0070076C">
      <w:r>
        <w:separator/>
      </w:r>
    </w:p>
  </w:endnote>
  <w:endnote w:type="continuationSeparator" w:id="0">
    <w:p w14:paraId="626DCF86"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7F7E" w14:textId="67D753C0" w:rsidR="00936D25" w:rsidRDefault="00936D25">
    <w:pPr>
      <w:rPr>
        <w:lang w:val="en-US"/>
      </w:rPr>
    </w:pPr>
    <w:r>
      <w:fldChar w:fldCharType="begin"/>
    </w:r>
    <w:r>
      <w:rPr>
        <w:lang w:val="en-US"/>
      </w:rPr>
      <w:instrText xml:space="preserve"> FILENAME \p  \* MERGEFORMAT </w:instrText>
    </w:r>
    <w:r>
      <w:fldChar w:fldCharType="separate"/>
    </w:r>
    <w:r w:rsidR="000F405F">
      <w:rPr>
        <w:noProof/>
        <w:lang w:val="en-US"/>
      </w:rPr>
      <w:t>P:\FRA\ITU-R\CONF-R\CMR19\000\011ADD24ADD18F.docx</w:t>
    </w:r>
    <w:r>
      <w:fldChar w:fldCharType="end"/>
    </w:r>
    <w:r>
      <w:rPr>
        <w:lang w:val="en-US"/>
      </w:rPr>
      <w:tab/>
    </w:r>
    <w:r>
      <w:fldChar w:fldCharType="begin"/>
    </w:r>
    <w:r>
      <w:instrText xml:space="preserve"> SAVEDATE \@ DD.MM.YY </w:instrText>
    </w:r>
    <w:r>
      <w:fldChar w:fldCharType="separate"/>
    </w:r>
    <w:r w:rsidR="000F405F">
      <w:rPr>
        <w:noProof/>
      </w:rPr>
      <w:t>27.09.19</w:t>
    </w:r>
    <w:r>
      <w:fldChar w:fldCharType="end"/>
    </w:r>
    <w:r>
      <w:rPr>
        <w:lang w:val="en-US"/>
      </w:rPr>
      <w:tab/>
    </w:r>
    <w:r>
      <w:fldChar w:fldCharType="begin"/>
    </w:r>
    <w:r>
      <w:instrText xml:space="preserve"> PRINTDATE \@ DD.MM.YY </w:instrText>
    </w:r>
    <w:r>
      <w:fldChar w:fldCharType="separate"/>
    </w:r>
    <w:r w:rsidR="000F405F">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3AC5" w14:textId="169A84DB" w:rsidR="00936D25" w:rsidRDefault="00EC6DC9" w:rsidP="00396786">
    <w:pPr>
      <w:pStyle w:val="Footer"/>
      <w:rPr>
        <w:lang w:val="en-US"/>
      </w:rPr>
    </w:pPr>
    <w:r>
      <w:fldChar w:fldCharType="begin"/>
    </w:r>
    <w:r w:rsidRPr="003F17FA">
      <w:rPr>
        <w:lang w:val="en-US"/>
      </w:rPr>
      <w:instrText xml:space="preserve"> FILENAME \p  \* MERGEFORMAT </w:instrText>
    </w:r>
    <w:r>
      <w:fldChar w:fldCharType="separate"/>
    </w:r>
    <w:r w:rsidR="000F405F">
      <w:rPr>
        <w:lang w:val="en-US"/>
      </w:rPr>
      <w:t>P:\FRA\ITU-R\CONF-R\CMR19\000\011ADD24ADD18F.docx</w:t>
    </w:r>
    <w:r>
      <w:fldChar w:fldCharType="end"/>
    </w:r>
    <w:r w:rsidR="00396786" w:rsidRPr="003F17FA">
      <w:rPr>
        <w:lang w:val="en-US"/>
      </w:rPr>
      <w:t xml:space="preserve"> (460789)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209D" w14:textId="0B1B1FF2" w:rsidR="00936D25" w:rsidRDefault="00AC1C3D" w:rsidP="00AC1C3D">
    <w:pPr>
      <w:pStyle w:val="Footer"/>
      <w:rPr>
        <w:lang w:val="en-US"/>
      </w:rPr>
    </w:pPr>
    <w:r>
      <w:fldChar w:fldCharType="begin"/>
    </w:r>
    <w:r w:rsidRPr="00AC1C3D">
      <w:rPr>
        <w:lang w:val="en-GB"/>
      </w:rPr>
      <w:instrText xml:space="preserve"> FILENAME \p  \* MERGEFORMAT </w:instrText>
    </w:r>
    <w:r>
      <w:fldChar w:fldCharType="separate"/>
    </w:r>
    <w:r w:rsidR="000F405F">
      <w:rPr>
        <w:lang w:val="en-GB"/>
      </w:rPr>
      <w:t>P:\FRA\ITU-R\CONF-R\CMR19\000\011ADD24ADD18F.docx</w:t>
    </w:r>
    <w:r>
      <w:fldChar w:fldCharType="end"/>
    </w:r>
    <w:r w:rsidR="00396786" w:rsidRPr="003F17FA">
      <w:rPr>
        <w:lang w:val="en-US"/>
      </w:rPr>
      <w:t xml:space="preserve"> (460789)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F5821" w14:textId="77777777" w:rsidR="0070076C" w:rsidRDefault="0070076C">
      <w:r>
        <w:rPr>
          <w:b/>
        </w:rPr>
        <w:t>_______________</w:t>
      </w:r>
    </w:p>
  </w:footnote>
  <w:footnote w:type="continuationSeparator" w:id="0">
    <w:p w14:paraId="231BF68A" w14:textId="77777777" w:rsidR="0070076C" w:rsidRDefault="0070076C">
      <w:r>
        <w:continuationSeparator/>
      </w:r>
    </w:p>
  </w:footnote>
  <w:footnote w:id="1">
    <w:p w14:paraId="53AE8F9D" w14:textId="387F8BAE" w:rsidR="005A6D78" w:rsidRPr="00BB446A" w:rsidRDefault="005A6D78" w:rsidP="005A6D78">
      <w:pPr>
        <w:pStyle w:val="FootnoteText"/>
        <w:rPr>
          <w:sz w:val="20"/>
          <w:lang w:val="en-US"/>
        </w:rPr>
      </w:pPr>
      <w:r w:rsidRPr="00BB446A">
        <w:rPr>
          <w:rStyle w:val="FootnoteReference"/>
          <w:sz w:val="20"/>
        </w:rPr>
        <w:footnoteRef/>
      </w:r>
      <w:r w:rsidR="000F0BA4">
        <w:rPr>
          <w:sz w:val="20"/>
          <w:lang w:val="en-GB"/>
        </w:rPr>
        <w:tab/>
      </w:r>
      <w:hyperlink r:id="rId1" w:history="1">
        <w:r w:rsidR="000F0BA4" w:rsidRPr="000F0BA4">
          <w:rPr>
            <w:rStyle w:val="Hyperlink"/>
            <w:lang w:val="en-GB"/>
          </w:rPr>
          <w:t>https://www.itu.int/dms_pub/itu-s/opb/pol/S-POL-BROADBAN</w:t>
        </w:r>
        <w:r w:rsidR="000F0BA4" w:rsidRPr="000F0BA4">
          <w:rPr>
            <w:rStyle w:val="Hyperlink"/>
            <w:lang w:val="en-GB"/>
          </w:rPr>
          <w:t>D</w:t>
        </w:r>
        <w:r w:rsidR="000F0BA4" w:rsidRPr="000F0BA4">
          <w:rPr>
            <w:rStyle w:val="Hyperlink"/>
            <w:lang w:val="en-GB"/>
          </w:rPr>
          <w:t>.19-2018-PDF-E.pdf</w:t>
        </w:r>
      </w:hyperlink>
      <w:r w:rsidRPr="000F0BA4">
        <w:t xml:space="preserve"> p6</w:t>
      </w:r>
      <w:r w:rsidRPr="005A6D78">
        <w:rPr>
          <w:sz w:val="2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A67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824211B" w14:textId="77777777" w:rsidR="004F1F8E" w:rsidRDefault="004F1F8E" w:rsidP="00FD7AA3">
    <w:pPr>
      <w:pStyle w:val="Header"/>
    </w:pPr>
    <w:r>
      <w:t>CMR1</w:t>
    </w:r>
    <w:r w:rsidR="00FD7AA3">
      <w:t>9</w:t>
    </w:r>
    <w:r>
      <w:t>/</w:t>
    </w:r>
    <w:r w:rsidR="006A4B45">
      <w:t>11(Add.24)(Add.18)-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32F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1E81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041C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C22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A6FA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C868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E419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3247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84C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08FC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9DE19C9-8D89-475B-9D3C-76C1F8EECB48}"/>
    <w:docVar w:name="dgnword-eventsink" w:val="2635399231760"/>
  </w:docVars>
  <w:rsids>
    <w:rsidRoot w:val="00BB1D82"/>
    <w:rsid w:val="000071AF"/>
    <w:rsid w:val="00007EC7"/>
    <w:rsid w:val="00010B43"/>
    <w:rsid w:val="00016648"/>
    <w:rsid w:val="0003522F"/>
    <w:rsid w:val="00063A1F"/>
    <w:rsid w:val="00080E2C"/>
    <w:rsid w:val="00081366"/>
    <w:rsid w:val="000863B3"/>
    <w:rsid w:val="000A4755"/>
    <w:rsid w:val="000A55AE"/>
    <w:rsid w:val="000B2E0C"/>
    <w:rsid w:val="000B3D0C"/>
    <w:rsid w:val="000E61D9"/>
    <w:rsid w:val="000F0BA4"/>
    <w:rsid w:val="000F2BD6"/>
    <w:rsid w:val="000F405F"/>
    <w:rsid w:val="00104385"/>
    <w:rsid w:val="001103DB"/>
    <w:rsid w:val="001167B9"/>
    <w:rsid w:val="001267A0"/>
    <w:rsid w:val="0015203F"/>
    <w:rsid w:val="00160C64"/>
    <w:rsid w:val="0018169B"/>
    <w:rsid w:val="0019352B"/>
    <w:rsid w:val="001960D0"/>
    <w:rsid w:val="001A11F6"/>
    <w:rsid w:val="001F17E8"/>
    <w:rsid w:val="00204306"/>
    <w:rsid w:val="00232FD2"/>
    <w:rsid w:val="00251267"/>
    <w:rsid w:val="00261037"/>
    <w:rsid w:val="0026554E"/>
    <w:rsid w:val="00295125"/>
    <w:rsid w:val="002A4622"/>
    <w:rsid w:val="002A6F8F"/>
    <w:rsid w:val="002A7DA9"/>
    <w:rsid w:val="002B17E5"/>
    <w:rsid w:val="002C0EBF"/>
    <w:rsid w:val="002C28A4"/>
    <w:rsid w:val="002D7E0A"/>
    <w:rsid w:val="00315AFE"/>
    <w:rsid w:val="00322860"/>
    <w:rsid w:val="003606A6"/>
    <w:rsid w:val="0036650C"/>
    <w:rsid w:val="00384108"/>
    <w:rsid w:val="0039351E"/>
    <w:rsid w:val="00393ACD"/>
    <w:rsid w:val="00396786"/>
    <w:rsid w:val="00397017"/>
    <w:rsid w:val="003A583E"/>
    <w:rsid w:val="003E112B"/>
    <w:rsid w:val="003E1D1C"/>
    <w:rsid w:val="003E7B05"/>
    <w:rsid w:val="003F17FA"/>
    <w:rsid w:val="003F3719"/>
    <w:rsid w:val="003F6F2D"/>
    <w:rsid w:val="004177EF"/>
    <w:rsid w:val="00466211"/>
    <w:rsid w:val="0047084B"/>
    <w:rsid w:val="00483196"/>
    <w:rsid w:val="004834A9"/>
    <w:rsid w:val="004D01FC"/>
    <w:rsid w:val="004E28C3"/>
    <w:rsid w:val="004F1F8E"/>
    <w:rsid w:val="00512A32"/>
    <w:rsid w:val="0052749A"/>
    <w:rsid w:val="005343DA"/>
    <w:rsid w:val="00560874"/>
    <w:rsid w:val="00586CF2"/>
    <w:rsid w:val="005A6D78"/>
    <w:rsid w:val="005A7C75"/>
    <w:rsid w:val="005C3768"/>
    <w:rsid w:val="005C6C3F"/>
    <w:rsid w:val="005D5547"/>
    <w:rsid w:val="00613635"/>
    <w:rsid w:val="0062093D"/>
    <w:rsid w:val="00637ECF"/>
    <w:rsid w:val="00647B59"/>
    <w:rsid w:val="00673FCB"/>
    <w:rsid w:val="006813B9"/>
    <w:rsid w:val="00690C7B"/>
    <w:rsid w:val="006A1164"/>
    <w:rsid w:val="006A4B45"/>
    <w:rsid w:val="006D4724"/>
    <w:rsid w:val="006F5FA2"/>
    <w:rsid w:val="0070076C"/>
    <w:rsid w:val="00701BAE"/>
    <w:rsid w:val="00721F04"/>
    <w:rsid w:val="00724065"/>
    <w:rsid w:val="00730E95"/>
    <w:rsid w:val="00732D07"/>
    <w:rsid w:val="00734489"/>
    <w:rsid w:val="007426B9"/>
    <w:rsid w:val="00753E4A"/>
    <w:rsid w:val="00764342"/>
    <w:rsid w:val="00774362"/>
    <w:rsid w:val="007838F5"/>
    <w:rsid w:val="00786598"/>
    <w:rsid w:val="00790C74"/>
    <w:rsid w:val="007A04E8"/>
    <w:rsid w:val="007B2C34"/>
    <w:rsid w:val="007C63A1"/>
    <w:rsid w:val="007F1D31"/>
    <w:rsid w:val="00830086"/>
    <w:rsid w:val="00851625"/>
    <w:rsid w:val="00856305"/>
    <w:rsid w:val="00863C0A"/>
    <w:rsid w:val="008A3120"/>
    <w:rsid w:val="008A4B97"/>
    <w:rsid w:val="008C5B8E"/>
    <w:rsid w:val="008C5DD5"/>
    <w:rsid w:val="008D41BE"/>
    <w:rsid w:val="008D58D3"/>
    <w:rsid w:val="008E3BC9"/>
    <w:rsid w:val="008F2B99"/>
    <w:rsid w:val="00923064"/>
    <w:rsid w:val="00930FFD"/>
    <w:rsid w:val="00936D25"/>
    <w:rsid w:val="00941C21"/>
    <w:rsid w:val="00941EA5"/>
    <w:rsid w:val="00964700"/>
    <w:rsid w:val="00964B1C"/>
    <w:rsid w:val="00966C16"/>
    <w:rsid w:val="0098732F"/>
    <w:rsid w:val="009A045F"/>
    <w:rsid w:val="009A6A2B"/>
    <w:rsid w:val="009C7E7C"/>
    <w:rsid w:val="00A00473"/>
    <w:rsid w:val="00A03C9B"/>
    <w:rsid w:val="00A37105"/>
    <w:rsid w:val="00A606C3"/>
    <w:rsid w:val="00A83B09"/>
    <w:rsid w:val="00A84541"/>
    <w:rsid w:val="00AC1C3D"/>
    <w:rsid w:val="00AE36A0"/>
    <w:rsid w:val="00B00294"/>
    <w:rsid w:val="00B3749C"/>
    <w:rsid w:val="00B63D31"/>
    <w:rsid w:val="00B64FD0"/>
    <w:rsid w:val="00BA566B"/>
    <w:rsid w:val="00BA5BD0"/>
    <w:rsid w:val="00BB1D82"/>
    <w:rsid w:val="00BD51C5"/>
    <w:rsid w:val="00BF26E7"/>
    <w:rsid w:val="00C32814"/>
    <w:rsid w:val="00C53FCA"/>
    <w:rsid w:val="00C76BAF"/>
    <w:rsid w:val="00C814B9"/>
    <w:rsid w:val="00CC34A3"/>
    <w:rsid w:val="00CD516F"/>
    <w:rsid w:val="00D119A7"/>
    <w:rsid w:val="00D25FBA"/>
    <w:rsid w:val="00D32B28"/>
    <w:rsid w:val="00D42954"/>
    <w:rsid w:val="00D66EAC"/>
    <w:rsid w:val="00D730DF"/>
    <w:rsid w:val="00D768EF"/>
    <w:rsid w:val="00D772F0"/>
    <w:rsid w:val="00D77BDC"/>
    <w:rsid w:val="00DC402B"/>
    <w:rsid w:val="00DD36FD"/>
    <w:rsid w:val="00DE0932"/>
    <w:rsid w:val="00DF51B5"/>
    <w:rsid w:val="00E03A27"/>
    <w:rsid w:val="00E049F1"/>
    <w:rsid w:val="00E37A25"/>
    <w:rsid w:val="00E537FF"/>
    <w:rsid w:val="00E6539B"/>
    <w:rsid w:val="00E70A31"/>
    <w:rsid w:val="00E723A7"/>
    <w:rsid w:val="00EA3F38"/>
    <w:rsid w:val="00EA5AB6"/>
    <w:rsid w:val="00EC6DC9"/>
    <w:rsid w:val="00EC7615"/>
    <w:rsid w:val="00ED16AA"/>
    <w:rsid w:val="00ED6B8D"/>
    <w:rsid w:val="00EE3D7B"/>
    <w:rsid w:val="00EF662E"/>
    <w:rsid w:val="00F10064"/>
    <w:rsid w:val="00F12078"/>
    <w:rsid w:val="00F148F1"/>
    <w:rsid w:val="00F711A7"/>
    <w:rsid w:val="00FA3BBF"/>
    <w:rsid w:val="00FB39CC"/>
    <w:rsid w:val="00FC41F8"/>
    <w:rsid w:val="00FD3A0C"/>
    <w:rsid w:val="00FD3C3A"/>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2F491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
    <w:qForma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aliases w:val="超级链接,CEO_Hyperlink"/>
    <w:qFormat/>
    <w:rsid w:val="005A6D78"/>
    <w:rPr>
      <w:color w:val="0000FF"/>
      <w:u w:val="single"/>
    </w:rPr>
  </w:style>
  <w:style w:type="character" w:styleId="UnresolvedMention">
    <w:name w:val="Unresolved Mention"/>
    <w:basedOn w:val="DefaultParagraphFont"/>
    <w:uiPriority w:val="99"/>
    <w:semiHidden/>
    <w:unhideWhenUsed/>
    <w:rsid w:val="000F0BA4"/>
    <w:rPr>
      <w:color w:val="605E5C"/>
      <w:shd w:val="clear" w:color="auto" w:fill="E1DFDD"/>
    </w:rPr>
  </w:style>
  <w:style w:type="character" w:styleId="FollowedHyperlink">
    <w:name w:val="FollowedHyperlink"/>
    <w:basedOn w:val="DefaultParagraphFont"/>
    <w:semiHidden/>
    <w:unhideWhenUsed/>
    <w:rsid w:val="000F0B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dms_pub/itu-s/opb/pol/S-POL-BROADBAND.19-2018-PD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R16-WRC19-C-0011!A24-A18!MSW-F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9B9FAA3-51EA-49C7-A86A-F0E7C3C7556E}">
  <ds:schemaRefs>
    <ds:schemaRef ds:uri="http://schemas.microsoft.com/sharepoint/v3/contenttype/forms"/>
  </ds:schemaRefs>
</ds:datastoreItem>
</file>

<file path=customXml/itemProps3.xml><?xml version="1.0" encoding="utf-8"?>
<ds:datastoreItem xmlns:ds="http://schemas.openxmlformats.org/officeDocument/2006/customXml" ds:itemID="{CA2F6504-FBFA-40AD-B75D-7697C2500662}">
  <ds:schemaRefs>
    <ds:schemaRef ds:uri="http://purl.org/dc/elements/1.1/"/>
    <ds:schemaRef ds:uri="32a1a8c5-2265-4ebc-b7a0-2071e2c5c9bb"/>
    <ds:schemaRef ds:uri="http://purl.org/dc/terms/"/>
    <ds:schemaRef ds:uri="http://schemas.microsoft.com/office/infopath/2007/PartnerControls"/>
    <ds:schemaRef ds:uri="http://www.w3.org/XML/1998/namespace"/>
    <ds:schemaRef ds:uri="http://schemas.microsoft.com/office/2006/documentManagement/types"/>
    <ds:schemaRef ds:uri="996b2e75-67fd-4955-a3b0-5ab9934cb50b"/>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FF6CDCA-144B-4BB9-B5C3-88DF070F4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1427</Words>
  <Characters>8159</Characters>
  <Application>Microsoft Office Word</Application>
  <DocSecurity>0</DocSecurity>
  <Lines>150</Lines>
  <Paragraphs>68</Paragraphs>
  <ScaleCrop>false</ScaleCrop>
  <HeadingPairs>
    <vt:vector size="2" baseType="variant">
      <vt:variant>
        <vt:lpstr>Title</vt:lpstr>
      </vt:variant>
      <vt:variant>
        <vt:i4>1</vt:i4>
      </vt:variant>
    </vt:vector>
  </HeadingPairs>
  <TitlesOfParts>
    <vt:vector size="1" baseType="lpstr">
      <vt:lpstr>R16-WRC19-C-0011!A24-A18!MSW-F</vt:lpstr>
    </vt:vector>
  </TitlesOfParts>
  <Manager>Secrétariat général - Pool</Manager>
  <Company>Union internationale des télécommunications (UIT)</Company>
  <LinksUpToDate>false</LinksUpToDate>
  <CharactersWithSpaces>9523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R16-WRC19-C-0011!A24-A18!MSW-F</dc:title>
  <dc:subject>Conférence mondiale des radiocommunications - 2019</dc:subject>
  <dc:creator>Documents Proposals Manager (DPM)</dc:creator>
  <cp:keywords>DPM_v2019.9.20.1_prod</cp:keywords>
  <dc:description/>
  <cp:lastModifiedBy>Gozel, Elsa</cp:lastModifiedBy>
  <cp:revision>18</cp:revision>
  <cp:lastPrinted>2019-09-27T13:54:00Z</cp:lastPrinted>
  <dcterms:created xsi:type="dcterms:W3CDTF">2019-09-27T11:11:00Z</dcterms:created>
  <dcterms:modified xsi:type="dcterms:W3CDTF">2019-09-27T13:55:00Z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