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2EBC79BA" w14:textId="77777777" w:rsidTr="00A52F42">
        <w:trPr>
          <w:cantSplit/>
        </w:trPr>
        <w:tc>
          <w:tcPr>
            <w:tcW w:w="6521" w:type="dxa"/>
          </w:tcPr>
          <w:p w14:paraId="2C38D1EA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1AD9C08C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79EE50A" wp14:editId="35C57C1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4403219" w14:textId="77777777" w:rsidTr="00A52F42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F96974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F358BC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4DFC61F" w14:textId="77777777" w:rsidTr="00A52F4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DCEDD0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400FC6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056ACEE" w14:textId="77777777" w:rsidTr="00A52F42">
        <w:trPr>
          <w:cantSplit/>
        </w:trPr>
        <w:tc>
          <w:tcPr>
            <w:tcW w:w="6521" w:type="dxa"/>
          </w:tcPr>
          <w:p w14:paraId="57C070C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0CB329C9" w14:textId="77777777" w:rsidR="005651C9" w:rsidRPr="00A52F4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2F4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A52F4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52F42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A52F4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7DEDC7F" w14:textId="77777777" w:rsidTr="00A52F42">
        <w:trPr>
          <w:cantSplit/>
        </w:trPr>
        <w:tc>
          <w:tcPr>
            <w:tcW w:w="6521" w:type="dxa"/>
          </w:tcPr>
          <w:p w14:paraId="2835070C" w14:textId="77777777" w:rsidR="000F33D8" w:rsidRPr="00A52F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55C100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A52F42" w:rsidRPr="000A0EF3" w14:paraId="37EF4DDF" w14:textId="77777777" w:rsidTr="00A52F42">
        <w:trPr>
          <w:cantSplit/>
        </w:trPr>
        <w:tc>
          <w:tcPr>
            <w:tcW w:w="6521" w:type="dxa"/>
          </w:tcPr>
          <w:p w14:paraId="0BBD975B" w14:textId="77777777" w:rsidR="00A52F42" w:rsidRPr="000A0EF3" w:rsidRDefault="00A52F42" w:rsidP="00A52F42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03643FC6" w14:textId="75EF29F0" w:rsidR="00A52F42" w:rsidRPr="005651C9" w:rsidRDefault="00A52F42" w:rsidP="00A52F42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</w:t>
            </w:r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r w:rsidR="00A2067B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6063C1CD" w14:textId="77777777" w:rsidTr="009546EA">
        <w:trPr>
          <w:cantSplit/>
        </w:trPr>
        <w:tc>
          <w:tcPr>
            <w:tcW w:w="10031" w:type="dxa"/>
            <w:gridSpan w:val="2"/>
          </w:tcPr>
          <w:p w14:paraId="728B2DA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587D4CD" w14:textId="77777777">
        <w:trPr>
          <w:cantSplit/>
        </w:trPr>
        <w:tc>
          <w:tcPr>
            <w:tcW w:w="10031" w:type="dxa"/>
            <w:gridSpan w:val="2"/>
          </w:tcPr>
          <w:p w14:paraId="6E0EB6CD" w14:textId="77777777" w:rsidR="000F33D8" w:rsidRPr="00A52F4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52F4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A52F42" w:rsidRPr="00A52F42" w14:paraId="7E323C2D" w14:textId="77777777">
        <w:trPr>
          <w:cantSplit/>
        </w:trPr>
        <w:tc>
          <w:tcPr>
            <w:tcW w:w="10031" w:type="dxa"/>
            <w:gridSpan w:val="2"/>
          </w:tcPr>
          <w:p w14:paraId="06FB9FE8" w14:textId="546E371E" w:rsidR="00A52F42" w:rsidRPr="005651C9" w:rsidRDefault="00A52F42" w:rsidP="00A52F42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52F42" w14:paraId="509DC531" w14:textId="77777777">
        <w:trPr>
          <w:cantSplit/>
        </w:trPr>
        <w:tc>
          <w:tcPr>
            <w:tcW w:w="10031" w:type="dxa"/>
            <w:gridSpan w:val="2"/>
          </w:tcPr>
          <w:p w14:paraId="683B93B0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3270BAFC" w14:textId="77777777">
        <w:trPr>
          <w:cantSplit/>
        </w:trPr>
        <w:tc>
          <w:tcPr>
            <w:tcW w:w="10031" w:type="dxa"/>
            <w:gridSpan w:val="2"/>
          </w:tcPr>
          <w:p w14:paraId="4FA2C51D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  <w:bookmarkEnd w:id="7"/>
    </w:tbl>
    <w:p w14:paraId="01C0F5C5" w14:textId="77777777" w:rsidR="006F573B" w:rsidRDefault="00970B93" w:rsidP="00822B4E"/>
    <w:p w14:paraId="62A136BE" w14:textId="77777777" w:rsidR="00D51940" w:rsidRDefault="00E74556" w:rsidP="00822B4E">
      <w:r w:rsidRPr="00205246">
        <w:t>10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05246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1CB850B7" w14:textId="1F286F65" w:rsidR="00A52F42" w:rsidRPr="00C72690" w:rsidRDefault="0031023A" w:rsidP="00C72690">
      <w:pPr>
        <w:pStyle w:val="Headingb"/>
        <w:rPr>
          <w:lang w:val="ru-RU"/>
        </w:rPr>
      </w:pPr>
      <w:r w:rsidRPr="00C72690">
        <w:rPr>
          <w:lang w:val="ru-RU"/>
        </w:rPr>
        <w:t>Базовая информация</w:t>
      </w:r>
    </w:p>
    <w:p w14:paraId="469155BA" w14:textId="52074DC6" w:rsidR="006050F6" w:rsidRPr="00341552" w:rsidRDefault="006050F6" w:rsidP="00A52F42">
      <w:r w:rsidRPr="00341552">
        <w:t>Сегодня спутники предлагают быстро растущей клиентской базе широкий выбор услуг широкополосной связи</w:t>
      </w:r>
      <w:r w:rsidR="00341552">
        <w:t>,</w:t>
      </w:r>
      <w:r w:rsidR="007E56CF" w:rsidRPr="00341552">
        <w:t xml:space="preserve"> и </w:t>
      </w:r>
      <w:r w:rsidR="00FF3896" w:rsidRPr="00341552">
        <w:t xml:space="preserve">для удовлетворения спроса </w:t>
      </w:r>
      <w:r w:rsidR="007E56CF" w:rsidRPr="00341552">
        <w:t>разрабатывается все больше систем</w:t>
      </w:r>
      <w:r w:rsidR="00FF3896" w:rsidRPr="00341552">
        <w:t>. Развитие спутниковых технологий обеспечивает разнообразие новых услуг, в том числе инновационных услуг широкополосной связи, передачи видео и подвижной связи, имеющих глобальное покрытие, а обслуживание обеспечивается в местах и регионах, не охваченных традиционными наземными службами</w:t>
      </w:r>
      <w:r w:rsidR="0037114C" w:rsidRPr="00341552">
        <w:t xml:space="preserve">. В противном случае эти регионы </w:t>
      </w:r>
      <w:r w:rsidR="00341552">
        <w:t>потеряли</w:t>
      </w:r>
      <w:r w:rsidR="0037114C" w:rsidRPr="00341552">
        <w:t xml:space="preserve"> бы возможность пользоваться преимуществами новых и инновационных услуг электросвязи.</w:t>
      </w:r>
    </w:p>
    <w:p w14:paraId="75D9F951" w14:textId="18F0107A" w:rsidR="00DD4785" w:rsidRPr="009F3565" w:rsidRDefault="00DD4785" w:rsidP="00A52F42">
      <w:r w:rsidRPr="009F3565">
        <w:t>Фиксированная спутниковая служба может содействовать ряду важных общественно значимых инициатив, включающих телездравоохранение, телеобразование, а также обеспечение общественной безопасности и оказание помощи при бедствиях. Спутники с высокой пропускной способностью дают возможность установления широкополосных соединений в сельских и отдаленных районах</w:t>
      </w:r>
      <w:r w:rsidR="00A105E0" w:rsidRPr="009F3565">
        <w:t>, а новые современные спутники обеспечивают спутниковую широкополосную связь следующего поколения</w:t>
      </w:r>
      <w:r w:rsidR="009F3565">
        <w:t xml:space="preserve"> и</w:t>
      </w:r>
      <w:r w:rsidR="00A105E0" w:rsidRPr="009F3565">
        <w:t xml:space="preserve"> передачу видеопрограмм высокого качества (включая программы в формате 3</w:t>
      </w:r>
      <w:r w:rsidR="00A105E0" w:rsidRPr="00A105E0">
        <w:rPr>
          <w:lang w:val="en-US"/>
        </w:rPr>
        <w:t>D</w:t>
      </w:r>
      <w:r w:rsidR="00A105E0" w:rsidRPr="009F3565">
        <w:t xml:space="preserve"> и с разрешением 4</w:t>
      </w:r>
      <w:r w:rsidR="00A105E0" w:rsidRPr="00A105E0">
        <w:rPr>
          <w:lang w:val="en-US"/>
        </w:rPr>
        <w:t>K</w:t>
      </w:r>
      <w:r w:rsidR="00A105E0" w:rsidRPr="009F3565">
        <w:t>).</w:t>
      </w:r>
    </w:p>
    <w:p w14:paraId="75233D27" w14:textId="07C2C53C" w:rsidR="00A105E0" w:rsidRPr="00CE74B8" w:rsidRDefault="00A105E0" w:rsidP="00A52F42">
      <w:r w:rsidRPr="00B27B4C">
        <w:t xml:space="preserve">Сегодня технологический прогресс в области радиосвязи позволяет спутниковой отрасли предлагать гораздо большую пропускную способность. </w:t>
      </w:r>
      <w:r w:rsidR="00B27B4C">
        <w:t>Э</w:t>
      </w:r>
      <w:r w:rsidR="00B27B4C" w:rsidRPr="00B27B4C">
        <w:t>то развитие учитывает</w:t>
      </w:r>
      <w:r w:rsidR="00B27B4C">
        <w:t>ся</w:t>
      </w:r>
      <w:r w:rsidR="00B27B4C" w:rsidRPr="00B27B4C">
        <w:t xml:space="preserve"> </w:t>
      </w:r>
      <w:r w:rsidR="00B27B4C">
        <w:t>с</w:t>
      </w:r>
      <w:r w:rsidRPr="00B27B4C">
        <w:t>путников</w:t>
      </w:r>
      <w:r w:rsidR="00B27B4C">
        <w:t>ой</w:t>
      </w:r>
      <w:r w:rsidRPr="00B27B4C">
        <w:t xml:space="preserve"> отрасль</w:t>
      </w:r>
      <w:r w:rsidR="00B27B4C">
        <w:t>ю</w:t>
      </w:r>
      <w:r w:rsidRPr="00B27B4C">
        <w:t xml:space="preserve">, </w:t>
      </w:r>
      <w:r w:rsidR="00B27B4C">
        <w:t xml:space="preserve">где </w:t>
      </w:r>
      <w:r w:rsidRPr="00B27B4C">
        <w:t>применя</w:t>
      </w:r>
      <w:r w:rsidR="00B27B4C">
        <w:t>ются</w:t>
      </w:r>
      <w:r w:rsidRPr="00B27B4C">
        <w:t xml:space="preserve"> наиболее эффективные с точки зрения спектра технологии, в том числе достижения</w:t>
      </w:r>
      <w:r w:rsidR="003E1CBE" w:rsidRPr="00B27B4C">
        <w:t>, упрощающие</w:t>
      </w:r>
      <w:r w:rsidRPr="00B27B4C">
        <w:t xml:space="preserve"> </w:t>
      </w:r>
      <w:r w:rsidR="00E050DB" w:rsidRPr="00B27B4C">
        <w:t>повторно</w:t>
      </w:r>
      <w:r w:rsidR="003E1CBE" w:rsidRPr="00B27B4C">
        <w:t>е</w:t>
      </w:r>
      <w:r w:rsidR="00E050DB" w:rsidRPr="00B27B4C">
        <w:t xml:space="preserve"> использовани</w:t>
      </w:r>
      <w:r w:rsidR="003E1CBE" w:rsidRPr="00B27B4C">
        <w:t>е</w:t>
      </w:r>
      <w:r w:rsidR="00E050DB" w:rsidRPr="00B27B4C">
        <w:t xml:space="preserve"> частот за счет </w:t>
      </w:r>
      <w:r w:rsidRPr="00B27B4C">
        <w:t>технологи</w:t>
      </w:r>
      <w:r w:rsidR="00F76920">
        <w:t>и</w:t>
      </w:r>
      <w:r w:rsidRPr="00B27B4C">
        <w:t xml:space="preserve"> точечных лучей.</w:t>
      </w:r>
      <w:r w:rsidR="00A75A84" w:rsidRPr="00B27B4C">
        <w:t xml:space="preserve"> </w:t>
      </w:r>
      <w:r w:rsidR="00A75A84" w:rsidRPr="006C0A93">
        <w:t xml:space="preserve">Для некоторых спутниковых применений, например станций сопряжения, </w:t>
      </w:r>
      <w:r w:rsidR="00F91F63" w:rsidRPr="006C0A93">
        <w:t>использование ведется с малой плотностью, что упрощает</w:t>
      </w:r>
      <w:r w:rsidR="00A75A84" w:rsidRPr="006C0A93">
        <w:t xml:space="preserve"> совместно</w:t>
      </w:r>
      <w:r w:rsidR="00F91F63" w:rsidRPr="006C0A93">
        <w:t>е</w:t>
      </w:r>
      <w:r w:rsidR="00A75A84" w:rsidRPr="006C0A93">
        <w:t xml:space="preserve"> использовани</w:t>
      </w:r>
      <w:r w:rsidR="00F91F63" w:rsidRPr="006C0A93">
        <w:t>е</w:t>
      </w:r>
      <w:r w:rsidR="00A75A84" w:rsidRPr="006C0A93">
        <w:t xml:space="preserve"> </w:t>
      </w:r>
      <w:r w:rsidR="00A75A84" w:rsidRPr="00CE74B8">
        <w:t>частот с другими службами радиосвязи</w:t>
      </w:r>
      <w:r w:rsidR="0014337E" w:rsidRPr="00CE74B8">
        <w:t xml:space="preserve">. </w:t>
      </w:r>
      <w:r w:rsidR="0014337E" w:rsidRPr="00CE74B8">
        <w:lastRenderedPageBreak/>
        <w:t>Однако</w:t>
      </w:r>
      <w:r w:rsidR="007A201A">
        <w:t>,</w:t>
      </w:r>
      <w:r w:rsidR="0014337E" w:rsidRPr="00CE74B8">
        <w:t xml:space="preserve"> даже </w:t>
      </w:r>
      <w:r w:rsidR="007A201A">
        <w:t xml:space="preserve">несмотря на </w:t>
      </w:r>
      <w:r w:rsidR="0014337E" w:rsidRPr="00CE74B8">
        <w:t>так</w:t>
      </w:r>
      <w:r w:rsidR="007A201A">
        <w:t>ую</w:t>
      </w:r>
      <w:r w:rsidR="0014337E" w:rsidRPr="00CE74B8">
        <w:t xml:space="preserve"> эффективност</w:t>
      </w:r>
      <w:r w:rsidR="007A201A">
        <w:t>ь,</w:t>
      </w:r>
      <w:r w:rsidR="0014337E" w:rsidRPr="00CE74B8">
        <w:t xml:space="preserve"> имеющегося спектра для фиксированной спутниковой службы </w:t>
      </w:r>
      <w:r w:rsidR="006C7F1E">
        <w:t>недостаточно</w:t>
      </w:r>
      <w:r w:rsidR="0014337E" w:rsidRPr="00CE74B8">
        <w:t>, чтобы удовлетворить потребность в ней</w:t>
      </w:r>
      <w:r w:rsidR="00C72690">
        <w:rPr>
          <w:rStyle w:val="FootnoteReference"/>
        </w:rPr>
        <w:footnoteReference w:customMarkFollows="1" w:id="1"/>
        <w:t>1</w:t>
      </w:r>
      <w:r w:rsidR="0014337E" w:rsidRPr="00CE74B8">
        <w:t>.</w:t>
      </w:r>
    </w:p>
    <w:p w14:paraId="36984045" w14:textId="3B2B2AF3" w:rsidR="00AD1B9C" w:rsidRPr="00B751D8" w:rsidRDefault="00AD1B9C" w:rsidP="00A52F42">
      <w:r w:rsidRPr="00B751D8">
        <w:t>В условиях заполнения емкости диапазонов C, Ku и Ka спутниковые частоты интенсивно используются, для многих применений приближаясь к насыщению.</w:t>
      </w:r>
      <w:r w:rsidR="00B751D8" w:rsidRPr="00B751D8">
        <w:t xml:space="preserve"> Поэтому спутниковые операторы стремятся получить доступ к дополнительному спектру для фиксированной спутниковой службы, чтобы удовлетворить имеющиеся и ожидаемые потребности в существующих и новых услугах, включая услуги широкополосной связи.</w:t>
      </w:r>
    </w:p>
    <w:p w14:paraId="4F602EC5" w14:textId="608E59EF" w:rsidR="00A52F42" w:rsidRPr="00C72690" w:rsidRDefault="00DB5005" w:rsidP="00C72690">
      <w:pPr>
        <w:pStyle w:val="Headingb"/>
        <w:rPr>
          <w:lang w:val="ru-RU"/>
        </w:rPr>
      </w:pPr>
      <w:r>
        <w:t>Цель</w:t>
      </w:r>
    </w:p>
    <w:p w14:paraId="37EF16E8" w14:textId="372EDC5B" w:rsidR="00A52F42" w:rsidRPr="00C72690" w:rsidRDefault="00DB5005" w:rsidP="00A52F42">
      <w:r w:rsidRPr="00DB5005">
        <w:t xml:space="preserve">Изучить потребности в спектре и дополнительные новые распределения фиксированной спутниковой службе в полосе частот 43,5–45,5 ГГц, принимая во внимание </w:t>
      </w:r>
      <w:r w:rsidR="00660CEE">
        <w:t xml:space="preserve">уже имеющиеся распределения </w:t>
      </w:r>
      <w:r w:rsidRPr="00DB5005">
        <w:t>служб</w:t>
      </w:r>
      <w:r w:rsidR="00660CEE">
        <w:t>ам</w:t>
      </w:r>
      <w:r w:rsidRPr="00DB5005">
        <w:t xml:space="preserve"> радиосвязи в эт</w:t>
      </w:r>
      <w:r w:rsidR="007D1DAA">
        <w:t>ой</w:t>
      </w:r>
      <w:r w:rsidRPr="00DB5005">
        <w:t xml:space="preserve"> полос</w:t>
      </w:r>
      <w:r w:rsidR="007D1DAA">
        <w:t>е</w:t>
      </w:r>
      <w:r w:rsidRPr="00DB5005">
        <w:t>, а также новы</w:t>
      </w:r>
      <w:r w:rsidR="0060400A">
        <w:t>м</w:t>
      </w:r>
      <w:r w:rsidRPr="00DB5005">
        <w:t xml:space="preserve"> служб</w:t>
      </w:r>
      <w:r w:rsidR="0060400A">
        <w:t>ам</w:t>
      </w:r>
      <w:r w:rsidRPr="00DB5005">
        <w:t xml:space="preserve"> и </w:t>
      </w:r>
      <w:r w:rsidR="0060400A">
        <w:t>применениям по итогам</w:t>
      </w:r>
      <w:r w:rsidRPr="00DB5005">
        <w:t xml:space="preserve"> ВКР-19.</w:t>
      </w:r>
    </w:p>
    <w:p w14:paraId="5F602253" w14:textId="77777777" w:rsidR="009B5CC2" w:rsidRPr="00C7269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72690">
        <w:br w:type="page"/>
      </w:r>
    </w:p>
    <w:p w14:paraId="0611A532" w14:textId="77777777" w:rsidR="00AB4658" w:rsidRDefault="00E74556">
      <w:pPr>
        <w:pStyle w:val="Proposal"/>
      </w:pPr>
      <w:r>
        <w:lastRenderedPageBreak/>
        <w:t>ADD</w:t>
      </w:r>
      <w:r>
        <w:tab/>
        <w:t>IAP/11A24A19/1</w:t>
      </w:r>
    </w:p>
    <w:p w14:paraId="33619D73" w14:textId="1875F4BB" w:rsidR="00A52F42" w:rsidRPr="005D323A" w:rsidRDefault="00A52F42" w:rsidP="00A52F42">
      <w:pPr>
        <w:pStyle w:val="ResNo"/>
      </w:pPr>
      <w:r>
        <w:t xml:space="preserve">Проект новой Резолюции </w:t>
      </w:r>
      <w:r w:rsidRPr="005D323A">
        <w:t>[</w:t>
      </w:r>
      <w:r w:rsidRPr="005D323A">
        <w:rPr>
          <w:lang w:val="en-GB"/>
        </w:rPr>
        <w:t>IAP</w:t>
      </w:r>
      <w:r w:rsidRPr="005D323A">
        <w:t>/10(</w:t>
      </w:r>
      <w:r w:rsidRPr="005D323A">
        <w:rPr>
          <w:lang w:val="en-US"/>
        </w:rPr>
        <w:t>S</w:t>
      </w:r>
      <w:r w:rsidRPr="005D323A">
        <w:t>)-2023] (</w:t>
      </w:r>
      <w:r w:rsidR="008274A1">
        <w:t>ВКР</w:t>
      </w:r>
      <w:r w:rsidRPr="005D323A">
        <w:noBreakHyphen/>
        <w:t>19)</w:t>
      </w:r>
    </w:p>
    <w:p w14:paraId="42E21CF8" w14:textId="77777777" w:rsidR="00A52F42" w:rsidRPr="00852F14" w:rsidRDefault="00A52F42" w:rsidP="00A52F42">
      <w:pPr>
        <w:pStyle w:val="Restitle"/>
      </w:pPr>
      <w:bookmarkStart w:id="8" w:name="_Toc323908572"/>
      <w:bookmarkStart w:id="9" w:name="_Toc445216379"/>
      <w:r w:rsidRPr="00852F14">
        <w:t xml:space="preserve">Повестка дня Всемирной конференции радиосвязи </w:t>
      </w:r>
      <w:r>
        <w:t>2023</w:t>
      </w:r>
      <w:r w:rsidRPr="00852F14">
        <w:t xml:space="preserve"> года</w:t>
      </w:r>
      <w:bookmarkEnd w:id="8"/>
      <w:bookmarkEnd w:id="9"/>
    </w:p>
    <w:p w14:paraId="777E27EA" w14:textId="77777777" w:rsidR="00A52F42" w:rsidRDefault="00A52F42" w:rsidP="00A52F42">
      <w:pPr>
        <w:pStyle w:val="Normalaftertitle"/>
      </w:pPr>
      <w:r w:rsidRPr="00852F14">
        <w:t>Всемирная конференция радиосвязи (</w:t>
      </w:r>
      <w:r>
        <w:t>Шарм-эль-Шейх</w:t>
      </w:r>
      <w:r w:rsidRPr="00852F14">
        <w:t>, 201</w:t>
      </w:r>
      <w:r>
        <w:t>9</w:t>
      </w:r>
      <w:r w:rsidRPr="00852F14">
        <w:t xml:space="preserve"> г.),</w:t>
      </w:r>
    </w:p>
    <w:p w14:paraId="613F20B3" w14:textId="69EF6729" w:rsidR="00B803C7" w:rsidRPr="002D195B" w:rsidRDefault="00B803C7" w:rsidP="00B803C7">
      <w:pPr>
        <w:pStyle w:val="Call"/>
      </w:pPr>
      <w:r w:rsidRPr="00852F14">
        <w:t>решает</w:t>
      </w:r>
      <w:r w:rsidRPr="00697003">
        <w:t xml:space="preserve"> </w:t>
      </w:r>
    </w:p>
    <w:p w14:paraId="21968926" w14:textId="5E907227" w:rsidR="002D195B" w:rsidRPr="00B803C7" w:rsidRDefault="002D195B" w:rsidP="002D195B">
      <w:r w:rsidRPr="00B803C7">
        <w:t>рекомендовать Совету провести Всемирную конференцию радиосвязи в 20</w:t>
      </w:r>
      <w:r w:rsidR="00697003">
        <w:t>23</w:t>
      </w:r>
      <w:r w:rsidRPr="00B803C7">
        <w:t xml:space="preserve"> году в течение четырех недель максимум со следующей повесткой дня:</w:t>
      </w:r>
    </w:p>
    <w:p w14:paraId="282E604D" w14:textId="08EC4F18" w:rsidR="00A52F42" w:rsidRPr="00B803C7" w:rsidRDefault="00A52F42" w:rsidP="00970B93">
      <w:r w:rsidRPr="00B803C7">
        <w:t>1</w:t>
      </w:r>
      <w:r w:rsidRPr="00B803C7">
        <w:tab/>
      </w:r>
      <w:r w:rsidR="00B803C7" w:rsidRPr="00B803C7">
        <w:t>на основе предложений администраций, с учетом результатов ВКР-1</w:t>
      </w:r>
      <w:r w:rsidR="00B803C7">
        <w:t>9</w:t>
      </w:r>
      <w:r w:rsidR="00B803C7" w:rsidRPr="00B803C7">
        <w:t xml:space="preserve">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принять по ним надлежащие меры</w:t>
      </w:r>
      <w:r w:rsidRPr="00B803C7">
        <w:t>:</w:t>
      </w:r>
    </w:p>
    <w:p w14:paraId="16313D72" w14:textId="1950F239" w:rsidR="00A52F42" w:rsidRPr="00A02CCA" w:rsidRDefault="00A52F42" w:rsidP="00A52F42">
      <w:r w:rsidRPr="00A02CCA">
        <w:t>1.</w:t>
      </w:r>
      <w:r w:rsidRPr="00642251">
        <w:rPr>
          <w:lang w:val="en-US"/>
        </w:rPr>
        <w:t>x</w:t>
      </w:r>
      <w:r w:rsidRPr="00A02CCA">
        <w:tab/>
      </w:r>
      <w:r w:rsidR="00903BA6" w:rsidRPr="003E701E">
        <w:t>рассмотреть</w:t>
      </w:r>
      <w:r w:rsidR="00903BA6" w:rsidRPr="00A02CCA">
        <w:t xml:space="preserve"> </w:t>
      </w:r>
      <w:r w:rsidR="00903BA6" w:rsidRPr="003E701E">
        <w:t>распределение</w:t>
      </w:r>
      <w:r w:rsidR="00903BA6" w:rsidRPr="00A02CCA">
        <w:t xml:space="preserve"> </w:t>
      </w:r>
      <w:r w:rsidR="00903BA6" w:rsidRPr="003E701E">
        <w:t>полосы</w:t>
      </w:r>
      <w:r w:rsidR="00903BA6" w:rsidRPr="00A02CCA">
        <w:t xml:space="preserve"> </w:t>
      </w:r>
      <w:r w:rsidR="00903BA6" w:rsidRPr="003E701E">
        <w:t>частот</w:t>
      </w:r>
      <w:r w:rsidR="00903BA6" w:rsidRPr="00A02CCA">
        <w:t xml:space="preserve"> 43,5–45,5 </w:t>
      </w:r>
      <w:r w:rsidR="00903BA6" w:rsidRPr="00983D61">
        <w:t>ГГц</w:t>
      </w:r>
      <w:r w:rsidR="00F2218A">
        <w:t>,</w:t>
      </w:r>
      <w:r w:rsidR="00903BA6" w:rsidRPr="00A02CCA">
        <w:t xml:space="preserve"> </w:t>
      </w:r>
      <w:r w:rsidR="00A02CCA">
        <w:t>полностью или частично</w:t>
      </w:r>
      <w:r w:rsidR="00F2218A">
        <w:t>,</w:t>
      </w:r>
      <w:r w:rsidR="00A02CCA">
        <w:t xml:space="preserve"> </w:t>
      </w:r>
      <w:r w:rsidR="003E701E">
        <w:t>фиксированной</w:t>
      </w:r>
      <w:r w:rsidR="003E701E" w:rsidRPr="00A02CCA">
        <w:t xml:space="preserve"> </w:t>
      </w:r>
      <w:r w:rsidR="003E701E">
        <w:t>спутниковой</w:t>
      </w:r>
      <w:r w:rsidR="00903BA6" w:rsidRPr="00A02CCA">
        <w:t xml:space="preserve"> </w:t>
      </w:r>
      <w:r w:rsidR="00903BA6" w:rsidRPr="003E701E">
        <w:t>службе</w:t>
      </w:r>
      <w:r w:rsidR="00903BA6" w:rsidRPr="00A02CCA">
        <w:t xml:space="preserve"> </w:t>
      </w:r>
      <w:r w:rsidR="00903BA6" w:rsidRPr="003E701E">
        <w:t>в</w:t>
      </w:r>
      <w:r w:rsidR="00903BA6" w:rsidRPr="00A02CCA">
        <w:t xml:space="preserve"> </w:t>
      </w:r>
      <w:r w:rsidR="00903BA6" w:rsidRPr="003E701E">
        <w:t>соответствии</w:t>
      </w:r>
      <w:r w:rsidR="00903BA6" w:rsidRPr="00A02CCA">
        <w:t xml:space="preserve"> </w:t>
      </w:r>
      <w:r w:rsidR="00903BA6" w:rsidRPr="003E701E">
        <w:t>с</w:t>
      </w:r>
      <w:r w:rsidR="00903BA6" w:rsidRPr="00A02CCA">
        <w:t xml:space="preserve"> </w:t>
      </w:r>
      <w:r w:rsidR="00903BA6" w:rsidRPr="00C34E00">
        <w:t>Резолюцией</w:t>
      </w:r>
      <w:r w:rsidR="00903BA6" w:rsidRPr="00A02CCA">
        <w:t xml:space="preserve"> </w:t>
      </w:r>
      <w:r w:rsidR="00C34E00" w:rsidRPr="00A02CCA">
        <w:rPr>
          <w:b/>
        </w:rPr>
        <w:t>[</w:t>
      </w:r>
      <w:r w:rsidR="00C34E00" w:rsidRPr="00C34E00">
        <w:rPr>
          <w:b/>
          <w:lang w:val="en-US"/>
        </w:rPr>
        <w:t>IA</w:t>
      </w:r>
      <w:r w:rsidR="00C34E00" w:rsidRPr="00A02CCA">
        <w:rPr>
          <w:b/>
        </w:rPr>
        <w:t>10/10(</w:t>
      </w:r>
      <w:r w:rsidR="00C34E00" w:rsidRPr="00C34E00">
        <w:rPr>
          <w:b/>
          <w:lang w:val="en-US"/>
        </w:rPr>
        <w:t>S</w:t>
      </w:r>
      <w:r w:rsidR="00C34E00" w:rsidRPr="00A02CCA">
        <w:rPr>
          <w:b/>
        </w:rPr>
        <w:t>)-</w:t>
      </w:r>
      <w:r w:rsidR="00C34E00" w:rsidRPr="00C34E00">
        <w:rPr>
          <w:b/>
          <w:lang w:val="en-US"/>
        </w:rPr>
        <w:t>FSS</w:t>
      </w:r>
      <w:r w:rsidR="00C34E00" w:rsidRPr="00A02CCA">
        <w:rPr>
          <w:b/>
        </w:rPr>
        <w:t>] (</w:t>
      </w:r>
      <w:r w:rsidR="00C34E00" w:rsidRPr="00C34E00">
        <w:rPr>
          <w:b/>
        </w:rPr>
        <w:t>ВКР</w:t>
      </w:r>
      <w:r w:rsidR="00C34E00" w:rsidRPr="00A02CCA">
        <w:rPr>
          <w:b/>
        </w:rPr>
        <w:t>-19)</w:t>
      </w:r>
      <w:r w:rsidRPr="00A02CCA">
        <w:t>;</w:t>
      </w:r>
    </w:p>
    <w:p w14:paraId="6686B8D6" w14:textId="77777777" w:rsidR="00AB4658" w:rsidRPr="00A02CCA" w:rsidRDefault="00AB4658">
      <w:pPr>
        <w:pStyle w:val="Reasons"/>
      </w:pPr>
      <w:bookmarkStart w:id="10" w:name="_GoBack"/>
      <w:bookmarkEnd w:id="10"/>
    </w:p>
    <w:p w14:paraId="596DE78C" w14:textId="77777777" w:rsidR="00AB4658" w:rsidRPr="00C72690" w:rsidRDefault="00E74556">
      <w:pPr>
        <w:pStyle w:val="Proposal"/>
      </w:pPr>
      <w:r w:rsidRPr="00A52F42">
        <w:rPr>
          <w:lang w:val="en-GB"/>
        </w:rPr>
        <w:t>ADD</w:t>
      </w:r>
      <w:r w:rsidRPr="00C72690">
        <w:tab/>
      </w:r>
      <w:r w:rsidRPr="00A52F42">
        <w:rPr>
          <w:lang w:val="en-GB"/>
        </w:rPr>
        <w:t>IAP</w:t>
      </w:r>
      <w:r w:rsidRPr="00C72690">
        <w:t>/11</w:t>
      </w:r>
      <w:r w:rsidRPr="00A52F42">
        <w:rPr>
          <w:lang w:val="en-GB"/>
        </w:rPr>
        <w:t>A</w:t>
      </w:r>
      <w:r w:rsidRPr="00C72690">
        <w:t>24</w:t>
      </w:r>
      <w:r w:rsidRPr="00A52F42">
        <w:rPr>
          <w:lang w:val="en-GB"/>
        </w:rPr>
        <w:t>A</w:t>
      </w:r>
      <w:r w:rsidRPr="00C72690">
        <w:t>19/2</w:t>
      </w:r>
    </w:p>
    <w:p w14:paraId="34F65575" w14:textId="5C468CC9" w:rsidR="00A52F42" w:rsidRPr="00B803C7" w:rsidRDefault="00A52F42" w:rsidP="00A52F42">
      <w:pPr>
        <w:pStyle w:val="ResNo"/>
      </w:pPr>
      <w:r>
        <w:t>Проект</w:t>
      </w:r>
      <w:r w:rsidRPr="00B803C7">
        <w:t xml:space="preserve"> </w:t>
      </w:r>
      <w:r>
        <w:t>новой</w:t>
      </w:r>
      <w:r w:rsidRPr="00B803C7">
        <w:t xml:space="preserve"> </w:t>
      </w:r>
      <w:r>
        <w:t>Резолюции</w:t>
      </w:r>
      <w:r w:rsidRPr="00B803C7">
        <w:t xml:space="preserve"> [</w:t>
      </w:r>
      <w:r w:rsidRPr="005D323A">
        <w:rPr>
          <w:lang w:val="en-GB"/>
        </w:rPr>
        <w:t>IAP</w:t>
      </w:r>
      <w:r w:rsidRPr="00B803C7">
        <w:t>/10(</w:t>
      </w:r>
      <w:r w:rsidRPr="005D323A">
        <w:rPr>
          <w:lang w:val="en-US"/>
        </w:rPr>
        <w:t>S</w:t>
      </w:r>
      <w:r w:rsidRPr="00B803C7">
        <w:t>)-</w:t>
      </w:r>
      <w:r w:rsidRPr="005D323A">
        <w:rPr>
          <w:lang w:val="en-US"/>
        </w:rPr>
        <w:t>FSS</w:t>
      </w:r>
      <w:r w:rsidRPr="00B803C7">
        <w:t>] (</w:t>
      </w:r>
      <w:r w:rsidR="000A2B4C">
        <w:t>ВКР</w:t>
      </w:r>
      <w:r w:rsidRPr="00B803C7">
        <w:noBreakHyphen/>
        <w:t>19)</w:t>
      </w:r>
    </w:p>
    <w:p w14:paraId="69394883" w14:textId="77777777" w:rsidR="00A52F42" w:rsidRPr="00852F14" w:rsidRDefault="00A52F42" w:rsidP="00A52F42">
      <w:pPr>
        <w:pStyle w:val="Restitle"/>
      </w:pPr>
      <w:bookmarkStart w:id="11" w:name="_Toc445216267"/>
      <w:r w:rsidRPr="00852F14">
        <w:t xml:space="preserve">Исследования относительно потребностей в спектре и возможного распределения полосы частот </w:t>
      </w:r>
      <w:r>
        <w:t>43,5</w:t>
      </w:r>
      <w:r w:rsidRPr="00852F14">
        <w:t>−</w:t>
      </w:r>
      <w:r>
        <w:t>45</w:t>
      </w:r>
      <w:r w:rsidRPr="00852F14">
        <w:t>,5 ГГц фиксированной спутниковой службе</w:t>
      </w:r>
      <w:bookmarkEnd w:id="11"/>
    </w:p>
    <w:p w14:paraId="559FAFB7" w14:textId="77777777" w:rsidR="00A52F42" w:rsidRDefault="00A52F42" w:rsidP="00A52F42">
      <w:pPr>
        <w:pStyle w:val="Normalaftertitle"/>
      </w:pPr>
      <w:r w:rsidRPr="00852F14">
        <w:t>Всемирная конференция радиосвязи (</w:t>
      </w:r>
      <w:r>
        <w:t>Шарм-эль-Шейх</w:t>
      </w:r>
      <w:r w:rsidRPr="00852F14">
        <w:t>, 201</w:t>
      </w:r>
      <w:r>
        <w:t>9</w:t>
      </w:r>
      <w:r w:rsidRPr="00852F14">
        <w:t xml:space="preserve"> г.),</w:t>
      </w:r>
    </w:p>
    <w:p w14:paraId="6A24EF6C" w14:textId="77777777" w:rsidR="00A52F42" w:rsidRPr="00852F14" w:rsidRDefault="00A52F42" w:rsidP="00A52F42">
      <w:pPr>
        <w:pStyle w:val="Call"/>
      </w:pPr>
      <w:r w:rsidRPr="00852F14">
        <w:t>учитывая</w:t>
      </w:r>
      <w:r w:rsidRPr="00852F14">
        <w:rPr>
          <w:i w:val="0"/>
          <w:iCs/>
        </w:rPr>
        <w:t>,</w:t>
      </w:r>
    </w:p>
    <w:p w14:paraId="2601EA50" w14:textId="77777777" w:rsidR="00A52F42" w:rsidRPr="00852F14" w:rsidRDefault="00A52F42" w:rsidP="00A52F42">
      <w:r w:rsidRPr="00852F14">
        <w:rPr>
          <w:i/>
          <w:iCs/>
        </w:rPr>
        <w:t>a)</w:t>
      </w:r>
      <w:r w:rsidRPr="00852F14">
        <w:tab/>
        <w:t>что спутниковые системы все чаще используется для доставки услуг широкополосной связи и могут способствовать обеспечению универсального широкополосного доступа;</w:t>
      </w:r>
    </w:p>
    <w:p w14:paraId="3286BE01" w14:textId="77777777" w:rsidR="00A52F42" w:rsidRPr="00852F14" w:rsidRDefault="00A52F42" w:rsidP="00A52F42">
      <w:r w:rsidRPr="00852F14">
        <w:rPr>
          <w:i/>
          <w:iCs/>
        </w:rPr>
        <w:t>b)</w:t>
      </w:r>
      <w:r w:rsidRPr="00852F14">
        <w:tab/>
        <w:t>что технологии фиксированной спутниковой службы следующего поколения для обеспечения широкополосной связи будут осуществляться с более высокими скоростями (уже доступна скорость 45 Мб/с), и в ближайшее время ожидается появление более высоких скоростей;</w:t>
      </w:r>
    </w:p>
    <w:p w14:paraId="7633F604" w14:textId="77777777" w:rsidR="00A52F42" w:rsidRPr="00852F14" w:rsidRDefault="00A52F42" w:rsidP="00A52F42">
      <w:r w:rsidRPr="00852F14">
        <w:rPr>
          <w:i/>
        </w:rPr>
        <w:t>c</w:t>
      </w:r>
      <w:r w:rsidRPr="00852F14">
        <w:rPr>
          <w:i/>
          <w:iCs/>
        </w:rPr>
        <w:t>)</w:t>
      </w:r>
      <w:r w:rsidRPr="00852F14">
        <w:tab/>
        <w:t>что для повышения эффективности использования спектра в диапазоне выше 30 ГГц в фиксированной спутниковой службе применяются достижения в области технологий точечных лучей и повторного использования частот;</w:t>
      </w:r>
    </w:p>
    <w:p w14:paraId="4271E67F" w14:textId="77777777" w:rsidR="00A52F42" w:rsidRPr="00852F14" w:rsidRDefault="00A52F42" w:rsidP="00A52F42">
      <w:r w:rsidRPr="00852F14">
        <w:rPr>
          <w:i/>
          <w:iCs/>
        </w:rPr>
        <w:t>d)</w:t>
      </w:r>
      <w:r w:rsidRPr="00852F14">
        <w:tab/>
        <w:t xml:space="preserve">что применения фиксированной спутниковой связи в спектре частот выше 30 ГГц, например станции сопряжения, должны </w:t>
      </w:r>
      <w:r w:rsidRPr="00852F14">
        <w:rPr>
          <w:color w:val="000000"/>
        </w:rPr>
        <w:t>лучше подходить для совместного использования частот с другими службами радиосвязи</w:t>
      </w:r>
      <w:r w:rsidRPr="00852F14">
        <w:t>, по сравнению с применениями высокой плотности фиксированной спутниковой службы (ФСС);</w:t>
      </w:r>
    </w:p>
    <w:p w14:paraId="26A47778" w14:textId="6C5E7BC7" w:rsidR="00A52F42" w:rsidRPr="00C72690" w:rsidRDefault="00A52F42" w:rsidP="00A52F42">
      <w:r w:rsidRPr="00852F14">
        <w:rPr>
          <w:i/>
        </w:rPr>
        <w:t>e)</w:t>
      </w:r>
      <w:r w:rsidRPr="00852F14">
        <w:tab/>
        <w:t>что системы, основанные на использовании новых технологий, которые работают в диапазоне выше 30 ГГц, связанные как с геостационарными (ГСО), так и с негеостационарными (НГСО) спутниковыми группировками, способны обеспечивать рентабельные средства связи с большой пропускной способностью даже в наиболее изолированных регионах мира</w:t>
      </w:r>
      <w:r w:rsidR="00C72690" w:rsidRPr="00C72690">
        <w:t>,</w:t>
      </w:r>
    </w:p>
    <w:p w14:paraId="0E880E90" w14:textId="49AE408E" w:rsidR="00A52F42" w:rsidRPr="00EA320C" w:rsidRDefault="00921A06" w:rsidP="00A52F42">
      <w:pPr>
        <w:pStyle w:val="Call"/>
      </w:pPr>
      <w:r w:rsidRPr="00EA320C">
        <w:lastRenderedPageBreak/>
        <w:t>отмечая</w:t>
      </w:r>
      <w:r w:rsidRPr="00C72690">
        <w:rPr>
          <w:i w:val="0"/>
          <w:iCs/>
        </w:rPr>
        <w:t>,</w:t>
      </w:r>
    </w:p>
    <w:p w14:paraId="14A3673B" w14:textId="00060A83" w:rsidR="00A52F42" w:rsidRPr="00EA320C" w:rsidRDefault="00983D61" w:rsidP="00A52F42">
      <w:r w:rsidRPr="00EA320C">
        <w:t>что полоса частот 43,5–45,5 ГГц распределена подвижной, подвижной спутниковой, радионавигационной и радионавигационной спутниковой службам на первичной основе</w:t>
      </w:r>
      <w:r w:rsidR="00A52F42" w:rsidRPr="00EA320C">
        <w:t>,</w:t>
      </w:r>
    </w:p>
    <w:p w14:paraId="5BBC0FC2" w14:textId="09A39B87" w:rsidR="00A52F42" w:rsidRPr="00EA320C" w:rsidRDefault="008274A1" w:rsidP="00A52F42">
      <w:pPr>
        <w:pStyle w:val="Call"/>
      </w:pPr>
      <w:r w:rsidRPr="00EA320C">
        <w:t>признавая</w:t>
      </w:r>
    </w:p>
    <w:p w14:paraId="58B570B3" w14:textId="77777777" w:rsidR="00A52F42" w:rsidRDefault="00A52F42" w:rsidP="00C72690">
      <w:r w:rsidRPr="00EA320C">
        <w:t>необходимость защиты существующих служб</w:t>
      </w:r>
      <w:r w:rsidRPr="00115FED">
        <w:t xml:space="preserve"> при рассмотрении полос частот с точки зрения возможных дополнительных распределений какой-либо службе,</w:t>
      </w:r>
    </w:p>
    <w:p w14:paraId="43B15A18" w14:textId="77777777" w:rsidR="00A52F42" w:rsidRPr="00852F14" w:rsidRDefault="00A52F42" w:rsidP="00A52F42">
      <w:pPr>
        <w:pStyle w:val="Call"/>
      </w:pPr>
      <w:r w:rsidRPr="00852F14">
        <w:t>решает предложить МСЭ-R</w:t>
      </w:r>
    </w:p>
    <w:p w14:paraId="05DA271C" w14:textId="77777777" w:rsidR="00A52F42" w:rsidRPr="00852F14" w:rsidRDefault="00A52F42" w:rsidP="00A52F42">
      <w:pPr>
        <w:keepNext/>
        <w:keepLines/>
      </w:pPr>
      <w:r w:rsidRPr="00852F14">
        <w:t>провести и своевременно завершить к ВКР</w:t>
      </w:r>
      <w:r w:rsidRPr="00852F14">
        <w:noBreakHyphen/>
        <w:t>23:</w:t>
      </w:r>
    </w:p>
    <w:p w14:paraId="1D1B0F3A" w14:textId="77777777" w:rsidR="00A52F42" w:rsidRPr="00852F14" w:rsidRDefault="00A52F42" w:rsidP="00A52F42">
      <w:r w:rsidRPr="00852F14">
        <w:t>1</w:t>
      </w:r>
      <w:r w:rsidRPr="00852F14">
        <w:tab/>
        <w:t>исследования относительно дополнительных потребностей в спектре для развития фиксированной спутниковой службы, в которых учитываются полосы частот, распределенные этой службе в настоящее время, технические условия их использования и возможности оптимизации применения этих полос частот с целью повышения эффективности использования спектра;</w:t>
      </w:r>
    </w:p>
    <w:p w14:paraId="3223E46F" w14:textId="5EACA16B" w:rsidR="00A52F42" w:rsidRPr="00C72690" w:rsidRDefault="00A52F42" w:rsidP="00A52F42">
      <w:pPr>
        <w:keepNext/>
        <w:keepLines/>
      </w:pPr>
      <w:r w:rsidRPr="00852F14">
        <w:t>2</w:t>
      </w:r>
      <w:r w:rsidRPr="00852F14">
        <w:tab/>
        <w:t xml:space="preserve">исследования совместного использования частот и совместимости с существующими службами на первичной </w:t>
      </w:r>
      <w:r w:rsidR="001824FC">
        <w:t xml:space="preserve">основе </w:t>
      </w:r>
      <w:r w:rsidRPr="00852F14">
        <w:t xml:space="preserve">с целью определить пригодность новых первичных распределений </w:t>
      </w:r>
      <w:r w:rsidRPr="00852F14">
        <w:rPr>
          <w:szCs w:val="24"/>
        </w:rPr>
        <w:t xml:space="preserve">ФСС в полосе частот </w:t>
      </w:r>
      <w:r w:rsidR="008274A1">
        <w:t>43</w:t>
      </w:r>
      <w:r w:rsidRPr="00852F14">
        <w:t>,5−</w:t>
      </w:r>
      <w:r w:rsidR="008274A1">
        <w:t>45</w:t>
      </w:r>
      <w:r w:rsidRPr="00852F14">
        <w:t>,5 ГГц</w:t>
      </w:r>
      <w:r w:rsidR="00C72690" w:rsidRPr="00C72690">
        <w:t>,</w:t>
      </w:r>
    </w:p>
    <w:p w14:paraId="25FF514A" w14:textId="77777777" w:rsidR="00A52F42" w:rsidRPr="00852F14" w:rsidRDefault="00A52F42" w:rsidP="00A52F42">
      <w:pPr>
        <w:pStyle w:val="Call"/>
      </w:pPr>
      <w:r w:rsidRPr="00852F14">
        <w:t>решает далее</w:t>
      </w:r>
    </w:p>
    <w:p w14:paraId="4EDE4AFD" w14:textId="77777777" w:rsidR="00A52F42" w:rsidRPr="00852F14" w:rsidRDefault="00A52F42" w:rsidP="00A52F42">
      <w:r w:rsidRPr="00852F14">
        <w:t>предложить ВКР</w:t>
      </w:r>
      <w:r w:rsidRPr="00852F14">
        <w:noBreakHyphen/>
        <w:t>23 рассмотреть результаты указанных выше исследований и принять соответствующие меры,</w:t>
      </w:r>
    </w:p>
    <w:p w14:paraId="40EFB436" w14:textId="77777777" w:rsidR="00A52F42" w:rsidRPr="00852F14" w:rsidRDefault="00A52F42" w:rsidP="00A52F42">
      <w:pPr>
        <w:pStyle w:val="Call"/>
      </w:pPr>
      <w:r w:rsidRPr="00852F14">
        <w:t>предлагает администрациям</w:t>
      </w:r>
    </w:p>
    <w:p w14:paraId="46E14F76" w14:textId="77777777" w:rsidR="00A52F42" w:rsidRPr="00852F14" w:rsidRDefault="00A52F42" w:rsidP="00A52F42">
      <w:r w:rsidRPr="00852F14">
        <w:t>принять активное участие в этих исследованиях, представляя вклады в МСЭ</w:t>
      </w:r>
      <w:r w:rsidRPr="00852F14">
        <w:noBreakHyphen/>
        <w:t>R.</w:t>
      </w:r>
    </w:p>
    <w:p w14:paraId="651603DE" w14:textId="77777777" w:rsidR="00A52F42" w:rsidRDefault="00A52F42" w:rsidP="00411C49">
      <w:pPr>
        <w:pStyle w:val="Reasons"/>
      </w:pPr>
    </w:p>
    <w:p w14:paraId="6F55BF75" w14:textId="334BDA9D" w:rsidR="00AB4658" w:rsidRDefault="00A52F42" w:rsidP="00A52F42">
      <w:pPr>
        <w:jc w:val="center"/>
      </w:pPr>
      <w:r>
        <w:t>______________</w:t>
      </w:r>
    </w:p>
    <w:sectPr w:rsidR="00AB465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910AE" w14:textId="77777777" w:rsidR="00F1578A" w:rsidRDefault="00F1578A">
      <w:r>
        <w:separator/>
      </w:r>
    </w:p>
  </w:endnote>
  <w:endnote w:type="continuationSeparator" w:id="0">
    <w:p w14:paraId="282E464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296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12636A" w14:textId="4A200A0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2690">
      <w:rPr>
        <w:noProof/>
      </w:rPr>
      <w:t>10.10.19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4192" w14:textId="41FFD628" w:rsidR="00567276" w:rsidRPr="00E74556" w:rsidRDefault="00567276" w:rsidP="00F33B22">
    <w:pPr>
      <w:pStyle w:val="Footer"/>
    </w:pPr>
    <w:r>
      <w:fldChar w:fldCharType="begin"/>
    </w:r>
    <w:r w:rsidRPr="00E74556">
      <w:instrText xml:space="preserve"> FILENAME \p  \* MERGEFORMAT </w:instrText>
    </w:r>
    <w:r>
      <w:fldChar w:fldCharType="separate"/>
    </w:r>
    <w:r w:rsidR="00C72690">
      <w:t>P:\RUS\ITU-R\CONF-R\CMR19\000\011ADD24ADD19R.docx</w:t>
    </w:r>
    <w:r>
      <w:fldChar w:fldCharType="end"/>
    </w:r>
    <w:r w:rsidR="00E74556" w:rsidRPr="00E74556">
      <w:t xml:space="preserve"> (460790)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C50F" w14:textId="220269BD" w:rsidR="00567276" w:rsidRPr="00E74556" w:rsidRDefault="00E74556" w:rsidP="00E74556">
    <w:pPr>
      <w:pStyle w:val="Footer"/>
    </w:pPr>
    <w:r>
      <w:fldChar w:fldCharType="begin"/>
    </w:r>
    <w:r w:rsidRPr="00E74556">
      <w:instrText xml:space="preserve"> FILENAME \p  \* MERGEFORMAT </w:instrText>
    </w:r>
    <w:r>
      <w:fldChar w:fldCharType="separate"/>
    </w:r>
    <w:r w:rsidR="00C72690">
      <w:t>P:\RUS\ITU-R\CONF-R\CMR19\000\011ADD24ADD19R.docx</w:t>
    </w:r>
    <w:r>
      <w:fldChar w:fldCharType="end"/>
    </w:r>
    <w:r w:rsidRPr="00E74556">
      <w:t xml:space="preserve"> (460790)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2FD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C526381" w14:textId="77777777" w:rsidR="00F1578A" w:rsidRDefault="00F1578A">
      <w:r>
        <w:continuationSeparator/>
      </w:r>
    </w:p>
  </w:footnote>
  <w:footnote w:id="1">
    <w:p w14:paraId="5615377B" w14:textId="36A06EB6" w:rsidR="00C72690" w:rsidRPr="00C72690" w:rsidRDefault="00C72690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ab/>
      </w:r>
      <w:hyperlink r:id="rId1" w:history="1">
        <w:r w:rsidRPr="006F2FE4">
          <w:rPr>
            <w:rStyle w:val="Hyperlink"/>
          </w:rPr>
          <w:t>https://www.sia.org/wp-content/uploads/2019/05/2019-SSIR-2-Page-20190507.pdf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885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4F80E0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11(Add.24)(Add.19)-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16C9"/>
    <w:rsid w:val="000A2B4C"/>
    <w:rsid w:val="000C3F55"/>
    <w:rsid w:val="000F33D8"/>
    <w:rsid w:val="000F39B4"/>
    <w:rsid w:val="00113D0B"/>
    <w:rsid w:val="001226EC"/>
    <w:rsid w:val="00123B68"/>
    <w:rsid w:val="00124C09"/>
    <w:rsid w:val="00126F2E"/>
    <w:rsid w:val="0014337E"/>
    <w:rsid w:val="001521AE"/>
    <w:rsid w:val="001824FC"/>
    <w:rsid w:val="001A5585"/>
    <w:rsid w:val="001E5FB4"/>
    <w:rsid w:val="001E6963"/>
    <w:rsid w:val="00202CA0"/>
    <w:rsid w:val="00230582"/>
    <w:rsid w:val="0024168E"/>
    <w:rsid w:val="002449AA"/>
    <w:rsid w:val="00245A1F"/>
    <w:rsid w:val="00290C74"/>
    <w:rsid w:val="002A2D3F"/>
    <w:rsid w:val="002D195B"/>
    <w:rsid w:val="00300F84"/>
    <w:rsid w:val="0031023A"/>
    <w:rsid w:val="003258F2"/>
    <w:rsid w:val="00341552"/>
    <w:rsid w:val="00344EB8"/>
    <w:rsid w:val="00346BEC"/>
    <w:rsid w:val="0037114C"/>
    <w:rsid w:val="00371E4B"/>
    <w:rsid w:val="003724AD"/>
    <w:rsid w:val="003C583C"/>
    <w:rsid w:val="003E1CBE"/>
    <w:rsid w:val="003E701E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00A"/>
    <w:rsid w:val="006050F6"/>
    <w:rsid w:val="006115BE"/>
    <w:rsid w:val="00614771"/>
    <w:rsid w:val="00620DD7"/>
    <w:rsid w:val="00657DE0"/>
    <w:rsid w:val="00660CEE"/>
    <w:rsid w:val="00692C06"/>
    <w:rsid w:val="00697003"/>
    <w:rsid w:val="006A6E9B"/>
    <w:rsid w:val="006C0A93"/>
    <w:rsid w:val="006C7F1E"/>
    <w:rsid w:val="00763F4F"/>
    <w:rsid w:val="00775720"/>
    <w:rsid w:val="007917AE"/>
    <w:rsid w:val="007A08B5"/>
    <w:rsid w:val="007A201A"/>
    <w:rsid w:val="007D1DAA"/>
    <w:rsid w:val="007E56CF"/>
    <w:rsid w:val="00811633"/>
    <w:rsid w:val="00812452"/>
    <w:rsid w:val="00815749"/>
    <w:rsid w:val="008274A1"/>
    <w:rsid w:val="00860ED3"/>
    <w:rsid w:val="00872FC8"/>
    <w:rsid w:val="008B43F2"/>
    <w:rsid w:val="008C3257"/>
    <w:rsid w:val="008C401C"/>
    <w:rsid w:val="00903BA6"/>
    <w:rsid w:val="009119CC"/>
    <w:rsid w:val="00917C0A"/>
    <w:rsid w:val="00921A06"/>
    <w:rsid w:val="00941A02"/>
    <w:rsid w:val="00966C93"/>
    <w:rsid w:val="00970B93"/>
    <w:rsid w:val="00983D61"/>
    <w:rsid w:val="00987FA4"/>
    <w:rsid w:val="009B5CC2"/>
    <w:rsid w:val="009D3D63"/>
    <w:rsid w:val="009E5FC8"/>
    <w:rsid w:val="009F3565"/>
    <w:rsid w:val="00A02CCA"/>
    <w:rsid w:val="00A105E0"/>
    <w:rsid w:val="00A117A3"/>
    <w:rsid w:val="00A138D0"/>
    <w:rsid w:val="00A141AF"/>
    <w:rsid w:val="00A2044F"/>
    <w:rsid w:val="00A2067B"/>
    <w:rsid w:val="00A4600A"/>
    <w:rsid w:val="00A52F42"/>
    <w:rsid w:val="00A57C04"/>
    <w:rsid w:val="00A61057"/>
    <w:rsid w:val="00A710E7"/>
    <w:rsid w:val="00A75A84"/>
    <w:rsid w:val="00A81026"/>
    <w:rsid w:val="00A97EC0"/>
    <w:rsid w:val="00AB4658"/>
    <w:rsid w:val="00AB6823"/>
    <w:rsid w:val="00AC66E6"/>
    <w:rsid w:val="00AD1B9C"/>
    <w:rsid w:val="00B24E60"/>
    <w:rsid w:val="00B27B4C"/>
    <w:rsid w:val="00B468A6"/>
    <w:rsid w:val="00B75113"/>
    <w:rsid w:val="00B751D8"/>
    <w:rsid w:val="00B803C7"/>
    <w:rsid w:val="00BA13A4"/>
    <w:rsid w:val="00BA1AA1"/>
    <w:rsid w:val="00BA35DC"/>
    <w:rsid w:val="00BC5313"/>
    <w:rsid w:val="00BD0D2F"/>
    <w:rsid w:val="00BD1129"/>
    <w:rsid w:val="00C0572C"/>
    <w:rsid w:val="00C15A0F"/>
    <w:rsid w:val="00C20466"/>
    <w:rsid w:val="00C266F4"/>
    <w:rsid w:val="00C324A8"/>
    <w:rsid w:val="00C34E00"/>
    <w:rsid w:val="00C56E7A"/>
    <w:rsid w:val="00C67BB4"/>
    <w:rsid w:val="00C72690"/>
    <w:rsid w:val="00C779CE"/>
    <w:rsid w:val="00C916AF"/>
    <w:rsid w:val="00CC47C6"/>
    <w:rsid w:val="00CC4DE6"/>
    <w:rsid w:val="00CE5E47"/>
    <w:rsid w:val="00CE74B8"/>
    <w:rsid w:val="00CF020F"/>
    <w:rsid w:val="00D53715"/>
    <w:rsid w:val="00DB5005"/>
    <w:rsid w:val="00DD4785"/>
    <w:rsid w:val="00DE2EBA"/>
    <w:rsid w:val="00E050DB"/>
    <w:rsid w:val="00E2253F"/>
    <w:rsid w:val="00E43E99"/>
    <w:rsid w:val="00E5155F"/>
    <w:rsid w:val="00E65919"/>
    <w:rsid w:val="00E74556"/>
    <w:rsid w:val="00E747E3"/>
    <w:rsid w:val="00E976C1"/>
    <w:rsid w:val="00EA0C0C"/>
    <w:rsid w:val="00EA320C"/>
    <w:rsid w:val="00EB66F7"/>
    <w:rsid w:val="00F12EC4"/>
    <w:rsid w:val="00F1578A"/>
    <w:rsid w:val="00F21A03"/>
    <w:rsid w:val="00F2218A"/>
    <w:rsid w:val="00F33B22"/>
    <w:rsid w:val="00F65316"/>
    <w:rsid w:val="00F65C19"/>
    <w:rsid w:val="00F761D2"/>
    <w:rsid w:val="00F76920"/>
    <w:rsid w:val="00F847B4"/>
    <w:rsid w:val="00F91F63"/>
    <w:rsid w:val="00F97203"/>
    <w:rsid w:val="00FB67E5"/>
    <w:rsid w:val="00FC63FD"/>
    <w:rsid w:val="00FD18DB"/>
    <w:rsid w:val="00FD51E3"/>
    <w:rsid w:val="00FE344F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23DE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qFormat/>
    <w:rsid w:val="00A52F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a.org/wp-content/uploads/2019/05/2019-SSIR-2-Page-201905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R16-WRC19-C-0011!A24-A19!MSW-R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C5AD-8134-4874-9649-510D97EB8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885DE-BEA0-47C8-94E1-0C6ED1EA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1E4BA-9232-484F-96FF-133B0F2BD79B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EE413DA6-10F8-488B-9A44-8FFE2A975F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4FECC2-3BCE-43E0-8D06-E7357A4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794</Words>
  <Characters>5822</Characters>
  <Application>Microsoft Office Word</Application>
  <DocSecurity>0</DocSecurity>
  <Lines>118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R16-WRC19-C-0011!A24-A19!MSW-R</vt:lpstr>
    </vt:vector>
  </TitlesOfParts>
  <Manager>General Secretariat - Pool</Manager>
  <Company>International Telecommunication Union (ITU)</Company>
  <LinksUpToDate>false</LinksUpToDate>
  <CharactersWithSpaces>6556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R16-WRC19-C-0011!A24-A19!MSW-R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4</cp:revision>
  <cp:lastPrinted>2003-06-17T08:22:00Z</cp:lastPrinted>
  <dcterms:created xsi:type="dcterms:W3CDTF">2019-10-10T17:03:00Z</dcterms:created>
  <dcterms:modified xsi:type="dcterms:W3CDTF">2019-10-18T14:28:00Z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