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14:paraId="666AF0B6" w14:textId="77777777">
        <w:trPr>
          <w:cantSplit/>
        </w:trPr>
        <w:tc>
          <w:tcPr>
            <w:tcW w:w="6911" w:type="dxa"/>
          </w:tcPr>
          <w:p w14:paraId="5D12592E" w14:textId="77777777" w:rsidR="00A066F1" w:rsidRPr="00DF23FC" w:rsidRDefault="00241FA2" w:rsidP="00116C7A">
            <w:pPr>
              <w:spacing w:before="400" w:after="48" w:line="240" w:lineRule="atLeast"/>
              <w:rPr>
                <w:rFonts w:ascii="Verdana" w:hAnsi="Verdana"/>
                <w:position w:val="6"/>
              </w:rPr>
            </w:pPr>
            <w:r w:rsidRPr="00F7284A">
              <w:rPr>
                <w:rFonts w:ascii="Verdana" w:hAnsi="Verdana" w:cs="Times"/>
                <w:b/>
                <w:position w:val="6"/>
                <w:sz w:val="22"/>
                <w:szCs w:val="22"/>
                <w:lang w:val="en-US"/>
              </w:rPr>
              <w:t>World Radiocommunication Conference (WRC-</w:t>
            </w:r>
            <w:r w:rsidRPr="00CF33A5">
              <w:rPr>
                <w:rFonts w:ascii="Verdana" w:hAnsi="Verdana" w:cs="Times"/>
                <w:b/>
                <w:position w:val="6"/>
                <w:sz w:val="22"/>
                <w:szCs w:val="22"/>
                <w:lang w:val="en-US"/>
              </w:rPr>
              <w:t>1</w:t>
            </w:r>
            <w:r w:rsidR="000E463E">
              <w:rPr>
                <w:rFonts w:ascii="Verdana" w:hAnsi="Verdana" w:cs="Times"/>
                <w:b/>
                <w:position w:val="6"/>
                <w:sz w:val="22"/>
                <w:szCs w:val="22"/>
                <w:lang w:val="en-US"/>
              </w:rPr>
              <w:t>9</w:t>
            </w:r>
            <w:r w:rsidRPr="00CF33A5">
              <w:rPr>
                <w:rFonts w:ascii="Verdana" w:hAnsi="Verdana" w:cs="Times"/>
                <w:b/>
                <w:position w:val="6"/>
                <w:sz w:val="22"/>
                <w:szCs w:val="22"/>
                <w:lang w:val="en-US"/>
              </w:rPr>
              <w:t>)</w:t>
            </w:r>
            <w:r w:rsidRPr="00CF33A5">
              <w:rPr>
                <w:rFonts w:ascii="Verdana" w:hAnsi="Verdana" w:cs="Times"/>
                <w:b/>
                <w:position w:val="6"/>
                <w:sz w:val="26"/>
                <w:szCs w:val="26"/>
                <w:lang w:val="en-US"/>
              </w:rPr>
              <w:br/>
            </w:r>
            <w:r w:rsidR="00116C7A" w:rsidRPr="00116C7A">
              <w:rPr>
                <w:rFonts w:ascii="Verdana" w:hAnsi="Verdana"/>
                <w:b/>
                <w:bCs/>
                <w:position w:val="6"/>
                <w:sz w:val="18"/>
                <w:szCs w:val="18"/>
                <w:lang w:val="en-US"/>
              </w:rPr>
              <w:t>Sharm el-Sheikh, Egypt</w:t>
            </w:r>
            <w:r w:rsidRPr="00CF33A5">
              <w:rPr>
                <w:rFonts w:ascii="Verdana" w:hAnsi="Verdana"/>
                <w:b/>
                <w:bCs/>
                <w:position w:val="6"/>
                <w:sz w:val="18"/>
                <w:szCs w:val="18"/>
                <w:lang w:val="en-US"/>
              </w:rPr>
              <w:t xml:space="preserve">, </w:t>
            </w:r>
            <w:r w:rsidR="000E463E">
              <w:rPr>
                <w:rFonts w:ascii="Verdana" w:hAnsi="Verdana"/>
                <w:b/>
                <w:bCs/>
                <w:position w:val="6"/>
                <w:sz w:val="18"/>
                <w:szCs w:val="18"/>
                <w:lang w:val="en-US"/>
              </w:rPr>
              <w:t xml:space="preserve">28 October </w:t>
            </w:r>
            <w:r w:rsidRPr="00CF33A5">
              <w:rPr>
                <w:rFonts w:ascii="Verdana" w:hAnsi="Verdana"/>
                <w:b/>
                <w:bCs/>
                <w:position w:val="6"/>
                <w:sz w:val="18"/>
                <w:szCs w:val="18"/>
                <w:lang w:val="en-US"/>
              </w:rPr>
              <w:t>–</w:t>
            </w:r>
            <w:r w:rsidR="000E463E">
              <w:rPr>
                <w:rFonts w:ascii="Verdana" w:hAnsi="Verdana"/>
                <w:b/>
                <w:bCs/>
                <w:position w:val="6"/>
                <w:sz w:val="18"/>
                <w:szCs w:val="18"/>
                <w:lang w:val="en-US"/>
              </w:rPr>
              <w:t xml:space="preserve"> </w:t>
            </w:r>
            <w:r>
              <w:rPr>
                <w:rFonts w:ascii="Verdana" w:hAnsi="Verdana"/>
                <w:b/>
                <w:bCs/>
                <w:position w:val="6"/>
                <w:sz w:val="18"/>
                <w:szCs w:val="18"/>
                <w:lang w:val="en-US"/>
              </w:rPr>
              <w:t>2</w:t>
            </w:r>
            <w:r w:rsidR="000E463E">
              <w:rPr>
                <w:rFonts w:ascii="Verdana" w:hAnsi="Verdana"/>
                <w:b/>
                <w:bCs/>
                <w:position w:val="6"/>
                <w:sz w:val="18"/>
                <w:szCs w:val="18"/>
                <w:lang w:val="en-US"/>
              </w:rPr>
              <w:t>2</w:t>
            </w:r>
            <w:r w:rsidRPr="00CF33A5">
              <w:rPr>
                <w:rFonts w:ascii="Verdana" w:hAnsi="Verdana"/>
                <w:b/>
                <w:bCs/>
                <w:position w:val="6"/>
                <w:sz w:val="18"/>
                <w:szCs w:val="18"/>
                <w:lang w:val="en-US"/>
              </w:rPr>
              <w:t xml:space="preserve"> </w:t>
            </w:r>
            <w:r>
              <w:rPr>
                <w:rFonts w:ascii="Verdana" w:hAnsi="Verdana"/>
                <w:b/>
                <w:bCs/>
                <w:position w:val="6"/>
                <w:sz w:val="18"/>
                <w:szCs w:val="18"/>
                <w:lang w:val="en-US"/>
              </w:rPr>
              <w:t>November</w:t>
            </w:r>
            <w:r w:rsidRPr="00CF33A5">
              <w:rPr>
                <w:rFonts w:ascii="Verdana" w:hAnsi="Verdana"/>
                <w:b/>
                <w:bCs/>
                <w:position w:val="6"/>
                <w:sz w:val="18"/>
                <w:szCs w:val="18"/>
                <w:lang w:val="en-US"/>
              </w:rPr>
              <w:t xml:space="preserve"> 201</w:t>
            </w:r>
            <w:r w:rsidR="000E463E">
              <w:rPr>
                <w:rFonts w:ascii="Verdana" w:hAnsi="Verdana"/>
                <w:b/>
                <w:bCs/>
                <w:position w:val="6"/>
                <w:sz w:val="18"/>
                <w:szCs w:val="18"/>
                <w:lang w:val="en-US"/>
              </w:rPr>
              <w:t>9</w:t>
            </w:r>
          </w:p>
        </w:tc>
        <w:tc>
          <w:tcPr>
            <w:tcW w:w="3120" w:type="dxa"/>
          </w:tcPr>
          <w:p w14:paraId="23F418DF" w14:textId="77777777" w:rsidR="00A066F1" w:rsidRDefault="005F04D8" w:rsidP="003B2284">
            <w:pPr>
              <w:spacing w:before="0" w:line="240" w:lineRule="atLeast"/>
              <w:jc w:val="right"/>
            </w:pPr>
            <w:bookmarkStart w:id="0" w:name="ditulogo"/>
            <w:bookmarkEnd w:id="0"/>
            <w:r>
              <w:rPr>
                <w:noProof/>
                <w:lang w:val="en-US" w:eastAsia="zh-CN"/>
              </w:rPr>
              <w:drawing>
                <wp:inline distT="0" distB="0" distL="0" distR="0" wp14:anchorId="0A7F794C" wp14:editId="575D17FF">
                  <wp:extent cx="1760220" cy="74676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A066F1" w:rsidRPr="00617BE4" w14:paraId="7531BB02" w14:textId="77777777">
        <w:trPr>
          <w:cantSplit/>
        </w:trPr>
        <w:tc>
          <w:tcPr>
            <w:tcW w:w="6911" w:type="dxa"/>
            <w:tcBorders>
              <w:bottom w:val="single" w:sz="12" w:space="0" w:color="auto"/>
            </w:tcBorders>
          </w:tcPr>
          <w:p w14:paraId="2FA15DD2" w14:textId="77777777" w:rsidR="00A066F1" w:rsidRPr="003B2284" w:rsidRDefault="00A066F1" w:rsidP="00A066F1">
            <w:pPr>
              <w:spacing w:before="0" w:after="48" w:line="240" w:lineRule="atLeast"/>
              <w:rPr>
                <w:rFonts w:ascii="Verdana" w:hAnsi="Verdana"/>
                <w:b/>
                <w:smallCaps/>
                <w:sz w:val="20"/>
              </w:rPr>
            </w:pPr>
            <w:bookmarkStart w:id="1" w:name="dhead"/>
          </w:p>
        </w:tc>
        <w:tc>
          <w:tcPr>
            <w:tcW w:w="3120" w:type="dxa"/>
            <w:tcBorders>
              <w:bottom w:val="single" w:sz="12" w:space="0" w:color="auto"/>
            </w:tcBorders>
          </w:tcPr>
          <w:p w14:paraId="5C9903C0" w14:textId="77777777" w:rsidR="00A066F1" w:rsidRPr="00617BE4" w:rsidRDefault="00A066F1" w:rsidP="00A066F1">
            <w:pPr>
              <w:spacing w:before="0" w:line="240" w:lineRule="atLeast"/>
              <w:rPr>
                <w:rFonts w:ascii="Verdana" w:hAnsi="Verdana"/>
                <w:szCs w:val="24"/>
              </w:rPr>
            </w:pPr>
          </w:p>
        </w:tc>
      </w:tr>
      <w:tr w:rsidR="00A066F1" w:rsidRPr="00C324A8" w14:paraId="4BDA2062" w14:textId="77777777">
        <w:trPr>
          <w:cantSplit/>
        </w:trPr>
        <w:tc>
          <w:tcPr>
            <w:tcW w:w="6911" w:type="dxa"/>
            <w:tcBorders>
              <w:top w:val="single" w:sz="12" w:space="0" w:color="auto"/>
            </w:tcBorders>
          </w:tcPr>
          <w:p w14:paraId="0FE028E6" w14:textId="77777777" w:rsidR="00A066F1" w:rsidRPr="00C324A8"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14:paraId="258DCC0F" w14:textId="77777777" w:rsidR="00A066F1" w:rsidRPr="00C324A8" w:rsidRDefault="00A066F1" w:rsidP="00A066F1">
            <w:pPr>
              <w:spacing w:before="0" w:line="240" w:lineRule="atLeast"/>
              <w:rPr>
                <w:rFonts w:ascii="Verdana" w:hAnsi="Verdana"/>
                <w:sz w:val="20"/>
              </w:rPr>
            </w:pPr>
          </w:p>
        </w:tc>
      </w:tr>
      <w:tr w:rsidR="00A066F1" w:rsidRPr="00C324A8" w14:paraId="16E4AD7A" w14:textId="77777777">
        <w:trPr>
          <w:cantSplit/>
          <w:trHeight w:val="23"/>
        </w:trPr>
        <w:tc>
          <w:tcPr>
            <w:tcW w:w="6911" w:type="dxa"/>
            <w:shd w:val="clear" w:color="auto" w:fill="auto"/>
          </w:tcPr>
          <w:p w14:paraId="0A192DA4" w14:textId="77777777" w:rsidR="00A066F1" w:rsidRPr="00841216" w:rsidRDefault="00FF5EA8" w:rsidP="004D2BFB">
            <w:pPr>
              <w:pStyle w:val="Committee"/>
              <w:framePr w:hSpace="0" w:wrap="auto" w:hAnchor="text" w:yAlign="inline"/>
              <w:rPr>
                <w:rFonts w:ascii="Verdana" w:hAnsi="Verdana"/>
                <w:sz w:val="20"/>
                <w:szCs w:val="20"/>
              </w:rPr>
            </w:pPr>
            <w:bookmarkStart w:id="2" w:name="dnum" w:colFirst="1" w:colLast="1"/>
            <w:bookmarkStart w:id="3" w:name="dmeeting" w:colFirst="0" w:colLast="0"/>
            <w:bookmarkEnd w:id="1"/>
            <w:r w:rsidRPr="00841216">
              <w:rPr>
                <w:rFonts w:ascii="Verdana" w:hAnsi="Verdana"/>
                <w:sz w:val="20"/>
                <w:szCs w:val="20"/>
              </w:rPr>
              <w:t>PLENARY MEETING</w:t>
            </w:r>
          </w:p>
        </w:tc>
        <w:tc>
          <w:tcPr>
            <w:tcW w:w="3120" w:type="dxa"/>
          </w:tcPr>
          <w:p w14:paraId="02F89E7C" w14:textId="77777777" w:rsidR="00A066F1" w:rsidRPr="00841216" w:rsidRDefault="00E55816" w:rsidP="00AA666F">
            <w:pPr>
              <w:tabs>
                <w:tab w:val="left" w:pos="851"/>
              </w:tabs>
              <w:spacing w:before="0" w:line="240" w:lineRule="atLeast"/>
              <w:rPr>
                <w:rFonts w:ascii="Verdana" w:hAnsi="Verdana"/>
                <w:sz w:val="20"/>
              </w:rPr>
            </w:pPr>
            <w:r>
              <w:rPr>
                <w:rFonts w:ascii="Verdana" w:hAnsi="Verdana"/>
                <w:b/>
                <w:sz w:val="20"/>
              </w:rPr>
              <w:t>Addendum 2 to</w:t>
            </w:r>
            <w:r>
              <w:rPr>
                <w:rFonts w:ascii="Verdana" w:hAnsi="Verdana"/>
                <w:b/>
                <w:sz w:val="20"/>
              </w:rPr>
              <w:br/>
              <w:t>Document 11(Add.24)</w:t>
            </w:r>
            <w:r w:rsidR="00A066F1" w:rsidRPr="00841216">
              <w:rPr>
                <w:rFonts w:ascii="Verdana" w:hAnsi="Verdana"/>
                <w:b/>
                <w:sz w:val="20"/>
              </w:rPr>
              <w:t>-</w:t>
            </w:r>
            <w:r w:rsidR="005E10C9" w:rsidRPr="00841216">
              <w:rPr>
                <w:rFonts w:ascii="Verdana" w:hAnsi="Verdana"/>
                <w:b/>
                <w:sz w:val="20"/>
              </w:rPr>
              <w:t>E</w:t>
            </w:r>
          </w:p>
        </w:tc>
      </w:tr>
      <w:tr w:rsidR="00A066F1" w:rsidRPr="00C324A8" w14:paraId="66B569AC" w14:textId="77777777">
        <w:trPr>
          <w:cantSplit/>
          <w:trHeight w:val="23"/>
        </w:trPr>
        <w:tc>
          <w:tcPr>
            <w:tcW w:w="6911" w:type="dxa"/>
            <w:shd w:val="clear" w:color="auto" w:fill="auto"/>
          </w:tcPr>
          <w:p w14:paraId="5DDFDE2A" w14:textId="77777777" w:rsidR="00A066F1" w:rsidRPr="00841216" w:rsidRDefault="00A066F1" w:rsidP="00A066F1">
            <w:pPr>
              <w:tabs>
                <w:tab w:val="left" w:pos="851"/>
              </w:tabs>
              <w:spacing w:before="0" w:line="240" w:lineRule="atLeast"/>
              <w:rPr>
                <w:rFonts w:ascii="Verdana" w:hAnsi="Verdana"/>
                <w:b/>
                <w:sz w:val="20"/>
              </w:rPr>
            </w:pPr>
            <w:bookmarkStart w:id="4" w:name="ddate" w:colFirst="1" w:colLast="1"/>
            <w:bookmarkStart w:id="5" w:name="dblank" w:colFirst="0" w:colLast="0"/>
            <w:bookmarkEnd w:id="2"/>
            <w:bookmarkEnd w:id="3"/>
          </w:p>
        </w:tc>
        <w:tc>
          <w:tcPr>
            <w:tcW w:w="3120" w:type="dxa"/>
          </w:tcPr>
          <w:p w14:paraId="705ACE9E" w14:textId="77777777" w:rsidR="00A066F1" w:rsidRPr="00841216" w:rsidRDefault="00420873" w:rsidP="00A066F1">
            <w:pPr>
              <w:tabs>
                <w:tab w:val="left" w:pos="993"/>
              </w:tabs>
              <w:spacing w:before="0"/>
              <w:rPr>
                <w:rFonts w:ascii="Verdana" w:hAnsi="Verdana"/>
                <w:sz w:val="20"/>
              </w:rPr>
            </w:pPr>
            <w:r w:rsidRPr="00841216">
              <w:rPr>
                <w:rFonts w:ascii="Verdana" w:hAnsi="Verdana"/>
                <w:b/>
                <w:sz w:val="20"/>
              </w:rPr>
              <w:t>16 September 2019</w:t>
            </w:r>
          </w:p>
        </w:tc>
      </w:tr>
      <w:tr w:rsidR="00A066F1" w:rsidRPr="00C324A8" w14:paraId="4F992157" w14:textId="77777777">
        <w:trPr>
          <w:cantSplit/>
          <w:trHeight w:val="23"/>
        </w:trPr>
        <w:tc>
          <w:tcPr>
            <w:tcW w:w="6911" w:type="dxa"/>
            <w:shd w:val="clear" w:color="auto" w:fill="auto"/>
          </w:tcPr>
          <w:p w14:paraId="58A3E970" w14:textId="77777777" w:rsidR="00A066F1" w:rsidRPr="00841216" w:rsidRDefault="00A066F1" w:rsidP="00A066F1">
            <w:pPr>
              <w:tabs>
                <w:tab w:val="left" w:pos="851"/>
              </w:tabs>
              <w:spacing w:before="0" w:line="240" w:lineRule="atLeast"/>
              <w:rPr>
                <w:rFonts w:ascii="Verdana" w:hAnsi="Verdana"/>
                <w:sz w:val="20"/>
              </w:rPr>
            </w:pPr>
            <w:bookmarkStart w:id="6" w:name="dbluepink" w:colFirst="0" w:colLast="0"/>
            <w:bookmarkStart w:id="7" w:name="dorlang" w:colFirst="1" w:colLast="1"/>
            <w:bookmarkEnd w:id="4"/>
            <w:bookmarkEnd w:id="5"/>
          </w:p>
        </w:tc>
        <w:tc>
          <w:tcPr>
            <w:tcW w:w="3120" w:type="dxa"/>
          </w:tcPr>
          <w:p w14:paraId="233F547E" w14:textId="77777777" w:rsidR="00A066F1" w:rsidRPr="00841216" w:rsidRDefault="00E55816" w:rsidP="00A066F1">
            <w:pPr>
              <w:tabs>
                <w:tab w:val="left" w:pos="993"/>
              </w:tabs>
              <w:spacing w:before="0"/>
              <w:rPr>
                <w:rFonts w:ascii="Verdana" w:hAnsi="Verdana"/>
                <w:b/>
                <w:sz w:val="20"/>
              </w:rPr>
            </w:pPr>
            <w:r w:rsidRPr="00841216">
              <w:rPr>
                <w:rFonts w:ascii="Verdana" w:hAnsi="Verdana"/>
                <w:b/>
                <w:sz w:val="20"/>
              </w:rPr>
              <w:t>Original: English</w:t>
            </w:r>
            <w:r w:rsidR="00E1094C">
              <w:rPr>
                <w:rFonts w:ascii="Verdana" w:hAnsi="Verdana"/>
                <w:b/>
                <w:sz w:val="20"/>
              </w:rPr>
              <w:t>/Spanish</w:t>
            </w:r>
          </w:p>
        </w:tc>
      </w:tr>
      <w:tr w:rsidR="00A066F1" w:rsidRPr="00C324A8" w14:paraId="79224C50" w14:textId="77777777" w:rsidTr="00025864">
        <w:trPr>
          <w:cantSplit/>
          <w:trHeight w:val="23"/>
        </w:trPr>
        <w:tc>
          <w:tcPr>
            <w:tcW w:w="10031" w:type="dxa"/>
            <w:gridSpan w:val="2"/>
            <w:shd w:val="clear" w:color="auto" w:fill="auto"/>
          </w:tcPr>
          <w:p w14:paraId="40A0EFF4" w14:textId="77777777" w:rsidR="00A066F1" w:rsidRPr="00C324A8" w:rsidRDefault="00A066F1" w:rsidP="00A066F1">
            <w:pPr>
              <w:tabs>
                <w:tab w:val="left" w:pos="993"/>
              </w:tabs>
              <w:spacing w:before="0"/>
              <w:rPr>
                <w:rFonts w:ascii="Verdana" w:hAnsi="Verdana"/>
                <w:b/>
                <w:sz w:val="20"/>
              </w:rPr>
            </w:pPr>
          </w:p>
        </w:tc>
      </w:tr>
      <w:tr w:rsidR="00E55816" w:rsidRPr="00C324A8" w14:paraId="495587CD" w14:textId="77777777" w:rsidTr="00025864">
        <w:trPr>
          <w:cantSplit/>
          <w:trHeight w:val="23"/>
        </w:trPr>
        <w:tc>
          <w:tcPr>
            <w:tcW w:w="10031" w:type="dxa"/>
            <w:gridSpan w:val="2"/>
            <w:shd w:val="clear" w:color="auto" w:fill="auto"/>
          </w:tcPr>
          <w:p w14:paraId="33D68FC0" w14:textId="77777777" w:rsidR="00E55816" w:rsidRDefault="00884D60" w:rsidP="00E55816">
            <w:pPr>
              <w:pStyle w:val="Source"/>
            </w:pPr>
            <w:r>
              <w:t>Member States of the Inter-American Telecommunication Commission (CITEL)</w:t>
            </w:r>
          </w:p>
        </w:tc>
      </w:tr>
      <w:tr w:rsidR="00E55816" w:rsidRPr="00C324A8" w14:paraId="614B902D" w14:textId="77777777" w:rsidTr="00025864">
        <w:trPr>
          <w:cantSplit/>
          <w:trHeight w:val="23"/>
        </w:trPr>
        <w:tc>
          <w:tcPr>
            <w:tcW w:w="10031" w:type="dxa"/>
            <w:gridSpan w:val="2"/>
            <w:shd w:val="clear" w:color="auto" w:fill="auto"/>
          </w:tcPr>
          <w:p w14:paraId="71478F26" w14:textId="77777777" w:rsidR="00E55816" w:rsidRDefault="007D5320" w:rsidP="00E55816">
            <w:pPr>
              <w:pStyle w:val="Title1"/>
            </w:pPr>
            <w:r>
              <w:t>Proposals for the work of the conference</w:t>
            </w:r>
          </w:p>
        </w:tc>
      </w:tr>
      <w:tr w:rsidR="00E55816" w:rsidRPr="00C324A8" w14:paraId="791577B5" w14:textId="77777777" w:rsidTr="00025864">
        <w:trPr>
          <w:cantSplit/>
          <w:trHeight w:val="23"/>
        </w:trPr>
        <w:tc>
          <w:tcPr>
            <w:tcW w:w="10031" w:type="dxa"/>
            <w:gridSpan w:val="2"/>
            <w:shd w:val="clear" w:color="auto" w:fill="auto"/>
          </w:tcPr>
          <w:p w14:paraId="2AE6F36D" w14:textId="77777777" w:rsidR="00E55816" w:rsidRDefault="00E55816" w:rsidP="00E55816">
            <w:pPr>
              <w:pStyle w:val="Title2"/>
            </w:pPr>
          </w:p>
        </w:tc>
      </w:tr>
      <w:tr w:rsidR="00A538A6" w:rsidRPr="00C324A8" w14:paraId="205C4308" w14:textId="77777777" w:rsidTr="00025864">
        <w:trPr>
          <w:cantSplit/>
          <w:trHeight w:val="23"/>
        </w:trPr>
        <w:tc>
          <w:tcPr>
            <w:tcW w:w="10031" w:type="dxa"/>
            <w:gridSpan w:val="2"/>
            <w:shd w:val="clear" w:color="auto" w:fill="auto"/>
          </w:tcPr>
          <w:p w14:paraId="479E5629" w14:textId="77777777" w:rsidR="00A538A6" w:rsidRDefault="004B13CB" w:rsidP="004B13CB">
            <w:pPr>
              <w:pStyle w:val="Agendaitem"/>
            </w:pPr>
            <w:r>
              <w:t xml:space="preserve">Agenda </w:t>
            </w:r>
            <w:proofErr w:type="spellStart"/>
            <w:r>
              <w:t>item</w:t>
            </w:r>
            <w:proofErr w:type="spellEnd"/>
            <w:r>
              <w:t xml:space="preserve"> 10</w:t>
            </w:r>
          </w:p>
        </w:tc>
      </w:tr>
    </w:tbl>
    <w:bookmarkEnd w:id="6"/>
    <w:bookmarkEnd w:id="7"/>
    <w:p w14:paraId="0E843F1C" w14:textId="77777777" w:rsidR="005118F7" w:rsidRDefault="00F62E64" w:rsidP="00167FA6">
      <w:pPr>
        <w:overflowPunct/>
        <w:autoSpaceDE/>
        <w:autoSpaceDN/>
        <w:adjustRightInd/>
        <w:textAlignment w:val="auto"/>
        <w:rPr>
          <w:lang w:val="en-US"/>
        </w:rPr>
      </w:pPr>
      <w:r w:rsidRPr="00656311">
        <w:rPr>
          <w:lang w:val="en-US"/>
        </w:rPr>
        <w:t>10</w:t>
      </w:r>
      <w:r w:rsidRPr="00656311">
        <w:rPr>
          <w:lang w:val="en-US"/>
        </w:rPr>
        <w:tab/>
        <w:t>to recommend to the Council items for inclusion in the agenda for the next WRC, and to give its views on the preliminary agenda for the subsequent conference and on possible agenda items for future conferences, in accordance w</w:t>
      </w:r>
      <w:r>
        <w:rPr>
          <w:lang w:val="en-US"/>
        </w:rPr>
        <w:t>ith Article 7 of the Convention.</w:t>
      </w:r>
    </w:p>
    <w:p w14:paraId="0275C74E" w14:textId="77777777" w:rsidR="00DD084B" w:rsidRPr="00D04C97" w:rsidRDefault="00DD084B" w:rsidP="00DD084B">
      <w:pPr>
        <w:pStyle w:val="Headingb"/>
        <w:rPr>
          <w:lang w:val="en-US"/>
        </w:rPr>
      </w:pPr>
      <w:r w:rsidRPr="00D04C97">
        <w:rPr>
          <w:lang w:val="en-US"/>
        </w:rPr>
        <w:t>Background</w:t>
      </w:r>
    </w:p>
    <w:p w14:paraId="7B6B9C4D" w14:textId="2F090BCE" w:rsidR="00DD084B" w:rsidRPr="00DD084B" w:rsidRDefault="00DD084B" w:rsidP="00DD084B">
      <w:pPr>
        <w:rPr>
          <w:lang w:val="en-US"/>
        </w:rPr>
      </w:pPr>
      <w:r w:rsidRPr="00DD084B">
        <w:rPr>
          <w:lang w:val="en-US"/>
        </w:rPr>
        <w:t xml:space="preserve">The WRC-2000 agreed on No. </w:t>
      </w:r>
      <w:r w:rsidRPr="00DD084B">
        <w:rPr>
          <w:b/>
          <w:lang w:val="en-US"/>
        </w:rPr>
        <w:t>5.388A</w:t>
      </w:r>
      <w:r w:rsidRPr="00DD084B">
        <w:rPr>
          <w:lang w:val="en-US"/>
        </w:rPr>
        <w:t xml:space="preserve"> which permitted the bands 1 885-1 980 MHz, 2 010-2</w:t>
      </w:r>
      <w:r w:rsidR="00CA7E28">
        <w:rPr>
          <w:lang w:val="en-US"/>
        </w:rPr>
        <w:t> </w:t>
      </w:r>
      <w:r w:rsidRPr="00DD084B">
        <w:rPr>
          <w:lang w:val="en-US"/>
        </w:rPr>
        <w:t>025</w:t>
      </w:r>
      <w:r w:rsidR="00CA7E28">
        <w:rPr>
          <w:lang w:val="en-US"/>
        </w:rPr>
        <w:t> </w:t>
      </w:r>
      <w:r w:rsidRPr="00DD084B">
        <w:rPr>
          <w:lang w:val="en-US"/>
        </w:rPr>
        <w:t>MHz and 2 110-2 170 MHz in Region 1 and 3, and the bands 1 885-1 980 MHz and 2 110-2</w:t>
      </w:r>
      <w:r w:rsidR="00CA7E28">
        <w:rPr>
          <w:lang w:val="en-US"/>
        </w:rPr>
        <w:t> </w:t>
      </w:r>
      <w:r w:rsidRPr="00DD084B">
        <w:rPr>
          <w:lang w:val="en-US"/>
        </w:rPr>
        <w:t>160 MHz in Region 2, to be used for high-altitude IMT base stations. Furthermore, Resolution</w:t>
      </w:r>
      <w:r w:rsidR="005E4F56">
        <w:rPr>
          <w:lang w:val="en-US"/>
        </w:rPr>
        <w:t> </w:t>
      </w:r>
      <w:r w:rsidRPr="00DD084B">
        <w:rPr>
          <w:b/>
          <w:lang w:val="en-US"/>
        </w:rPr>
        <w:t>221 (Rev.WRC-07)</w:t>
      </w:r>
      <w:r w:rsidRPr="00DD084B">
        <w:rPr>
          <w:lang w:val="en-US"/>
        </w:rPr>
        <w:t xml:space="preserve"> provided the technical conditions necessary to ensure the protection of ground-based IMT stations in neighboring countries, as well as other services allocated in these bands, from emission from high-altitude IMT base stations. </w:t>
      </w:r>
    </w:p>
    <w:p w14:paraId="6A58332E" w14:textId="44F377A7" w:rsidR="00DD084B" w:rsidRPr="00DD084B" w:rsidRDefault="00DD084B" w:rsidP="00DD084B">
      <w:pPr>
        <w:rPr>
          <w:lang w:val="en-US"/>
        </w:rPr>
      </w:pPr>
      <w:r w:rsidRPr="00DD084B">
        <w:rPr>
          <w:lang w:val="en-US"/>
        </w:rPr>
        <w:t>Since the agreement of this provision in 2000, IMT systems have evolved significantly in terms of spectrum identification, network deployment, and radio access technology, with the standardization of IMT-Advanced and IMT-2020. Based on this evolution, it is now timely to review the existing ITU Radio Regulations (RR) provisions in order to provide the same flexibility granted in No.</w:t>
      </w:r>
      <w:r w:rsidR="005E4F56">
        <w:rPr>
          <w:lang w:val="en-US"/>
        </w:rPr>
        <w:t> </w:t>
      </w:r>
      <w:r w:rsidRPr="00DD084B">
        <w:rPr>
          <w:b/>
          <w:lang w:val="en-US"/>
        </w:rPr>
        <w:t>5.388A</w:t>
      </w:r>
      <w:r w:rsidRPr="00DD084B">
        <w:rPr>
          <w:lang w:val="en-US"/>
        </w:rPr>
        <w:t xml:space="preserve"> to other bands below 6 GHz regionally harmonized for IMT. This will provide further spectrum efficiency for the provision of mobile services. </w:t>
      </w:r>
    </w:p>
    <w:p w14:paraId="54B04A32" w14:textId="77777777" w:rsidR="00DD084B" w:rsidRPr="00DD084B" w:rsidRDefault="00DD084B" w:rsidP="00DD084B">
      <w:pPr>
        <w:rPr>
          <w:lang w:val="en-US"/>
        </w:rPr>
      </w:pPr>
      <w:r w:rsidRPr="00DD084B">
        <w:rPr>
          <w:lang w:val="en-US"/>
        </w:rPr>
        <w:t xml:space="preserve">In addition, </w:t>
      </w:r>
      <w:bookmarkStart w:id="8" w:name="_Hlk9859969"/>
      <w:r w:rsidRPr="00DD084B">
        <w:rPr>
          <w:lang w:val="en-US"/>
        </w:rPr>
        <w:t xml:space="preserve">high-altitude IMT base stations are intended to complement the terrestrial IMT </w:t>
      </w:r>
      <w:proofErr w:type="gramStart"/>
      <w:r w:rsidRPr="00DD084B">
        <w:rPr>
          <w:lang w:val="en-US"/>
        </w:rPr>
        <w:t>networks, and</w:t>
      </w:r>
      <w:proofErr w:type="gramEnd"/>
      <w:r w:rsidRPr="00DD084B">
        <w:rPr>
          <w:lang w:val="en-US"/>
        </w:rPr>
        <w:t xml:space="preserve"> may typically use the same frequency bands with ground-based IMT base stations</w:t>
      </w:r>
      <w:bookmarkEnd w:id="8"/>
      <w:r w:rsidRPr="00DD084B">
        <w:rPr>
          <w:lang w:val="en-US"/>
        </w:rPr>
        <w:t xml:space="preserve">. In this sense, the user equipment to be served, whether by the high-altitude or the </w:t>
      </w:r>
      <w:proofErr w:type="gramStart"/>
      <w:r w:rsidRPr="00DD084B">
        <w:rPr>
          <w:lang w:val="en-US"/>
        </w:rPr>
        <w:t>ground-based</w:t>
      </w:r>
      <w:proofErr w:type="gramEnd"/>
      <w:r w:rsidRPr="00DD084B">
        <w:rPr>
          <w:lang w:val="en-US"/>
        </w:rPr>
        <w:t xml:space="preserve"> IMT base stations, are the same. Currently user equipment already supports a variety of frequency bands identified for IMT, which is another reason to expand the use of high-altitude IMT base stations to other regionally harmonized IMT bands below 6 GHz.</w:t>
      </w:r>
    </w:p>
    <w:p w14:paraId="0A1B3BE1" w14:textId="77777777" w:rsidR="00DD084B" w:rsidRPr="00DD084B" w:rsidRDefault="00DD084B" w:rsidP="00DD084B">
      <w:pPr>
        <w:rPr>
          <w:lang w:val="en-US"/>
        </w:rPr>
      </w:pPr>
      <w:r w:rsidRPr="00DD084B">
        <w:rPr>
          <w:lang w:val="en-US"/>
        </w:rPr>
        <w:t>The high-altitude IMT base stations are stations of the Mobile Services, as part of the IMT systems. They are not related to the provision of the Fixed Services, such as those being studied in WRC-19 agenda item 1.14. The new proposed studies should focus on how to provide more flexibility on the existing regionally harmonized IMT identifications.</w:t>
      </w:r>
    </w:p>
    <w:p w14:paraId="51D4E6CD" w14:textId="77777777" w:rsidR="00DD084B" w:rsidRPr="00DD084B" w:rsidRDefault="00DD084B" w:rsidP="00DD084B">
      <w:pPr>
        <w:rPr>
          <w:lang w:val="en-US"/>
        </w:rPr>
      </w:pPr>
      <w:r w:rsidRPr="00DD084B">
        <w:rPr>
          <w:lang w:val="en-US"/>
        </w:rPr>
        <w:lastRenderedPageBreak/>
        <w:t xml:space="preserve">In summary, and considering the growing demand for mobile broadband, this new agenda item proposes to study the use of high-altitude IMT base stations in the bands below 2.7 GHz already regionally harmonized for IMT. The goal of the studies is to provide flexible and more extensive use of the existing regionally harmonized IMT bands to complement coverage and support 5G use cases, while </w:t>
      </w:r>
      <w:proofErr w:type="gramStart"/>
      <w:r w:rsidRPr="00DD084B">
        <w:rPr>
          <w:lang w:val="en-US"/>
        </w:rPr>
        <w:t>taking into account</w:t>
      </w:r>
      <w:proofErr w:type="gramEnd"/>
      <w:r w:rsidRPr="00DD084B">
        <w:rPr>
          <w:lang w:val="en-US"/>
        </w:rPr>
        <w:t xml:space="preserve"> compatibility with existing applications and services. It should be highlighted that this proposal does not require new spectrum identification for IMT itself, nor will it revise any existing IMT identifications in the RR. Studies will focus on the possible revision of current RR regulatory provisions, relevant to those provided in No. </w:t>
      </w:r>
      <w:r w:rsidRPr="00DD084B">
        <w:rPr>
          <w:b/>
          <w:lang w:val="en-US"/>
        </w:rPr>
        <w:t>5.388A</w:t>
      </w:r>
      <w:r w:rsidRPr="00DD084B">
        <w:rPr>
          <w:lang w:val="en-US"/>
        </w:rPr>
        <w:t>. The study results and potential RR changes would then be discussed at WRC-23.</w:t>
      </w:r>
    </w:p>
    <w:p w14:paraId="6FA72BEC" w14:textId="77777777" w:rsidR="00241FA2" w:rsidRPr="00DD084B" w:rsidRDefault="00241FA2" w:rsidP="00DD084B">
      <w:pPr>
        <w:rPr>
          <w:lang w:val="en-US"/>
        </w:rPr>
      </w:pPr>
    </w:p>
    <w:p w14:paraId="7B4CFAAF" w14:textId="77777777" w:rsidR="00187BD9" w:rsidRPr="000A47AE" w:rsidRDefault="00187BD9" w:rsidP="00187BD9">
      <w:pPr>
        <w:tabs>
          <w:tab w:val="clear" w:pos="1134"/>
          <w:tab w:val="clear" w:pos="1871"/>
          <w:tab w:val="clear" w:pos="2268"/>
        </w:tabs>
        <w:overflowPunct/>
        <w:autoSpaceDE/>
        <w:autoSpaceDN/>
        <w:adjustRightInd/>
        <w:spacing w:before="0"/>
        <w:textAlignment w:val="auto"/>
        <w:rPr>
          <w:lang w:val="en-US"/>
        </w:rPr>
      </w:pPr>
      <w:r w:rsidRPr="000A47AE">
        <w:rPr>
          <w:lang w:val="en-US"/>
        </w:rPr>
        <w:br w:type="page"/>
      </w:r>
    </w:p>
    <w:p w14:paraId="533A18D0" w14:textId="77777777" w:rsidR="00B9313A" w:rsidRDefault="00F62E64">
      <w:pPr>
        <w:pStyle w:val="Proposal"/>
      </w:pPr>
      <w:r>
        <w:lastRenderedPageBreak/>
        <w:t>ADD</w:t>
      </w:r>
      <w:r>
        <w:tab/>
        <w:t>IAP/11A24A2/1</w:t>
      </w:r>
    </w:p>
    <w:p w14:paraId="76D6CC89" w14:textId="77777777" w:rsidR="00B9313A" w:rsidRDefault="00F62E64">
      <w:pPr>
        <w:pStyle w:val="ResNo"/>
      </w:pPr>
      <w:r>
        <w:t>Draft New Resolution [IAP</w:t>
      </w:r>
      <w:r w:rsidR="000C2987" w:rsidRPr="00D04C97">
        <w:t>/</w:t>
      </w:r>
      <w:r>
        <w:t>10(B)</w:t>
      </w:r>
      <w:r w:rsidR="00DD084B">
        <w:t>-2023</w:t>
      </w:r>
      <w:r>
        <w:t>]</w:t>
      </w:r>
      <w:r w:rsidR="00DD084B" w:rsidRPr="00817C30">
        <w:rPr>
          <w:lang w:val="en-US"/>
        </w:rPr>
        <w:t xml:space="preserve"> (WRC-19)</w:t>
      </w:r>
    </w:p>
    <w:p w14:paraId="29718FF8" w14:textId="77777777" w:rsidR="00B9313A" w:rsidRPr="00DD084B" w:rsidRDefault="00DD084B" w:rsidP="00DD084B">
      <w:pPr>
        <w:pStyle w:val="Restitle"/>
        <w:rPr>
          <w:lang w:val="en-US"/>
        </w:rPr>
      </w:pPr>
      <w:r w:rsidRPr="00817C30">
        <w:rPr>
          <w:lang w:val="en-US"/>
        </w:rPr>
        <w:t>Agenda for the 2023 World Radiocommunication Conference</w:t>
      </w:r>
    </w:p>
    <w:p w14:paraId="04ACDBAA" w14:textId="77777777" w:rsidR="00B9313A" w:rsidRDefault="00DD084B">
      <w:pPr>
        <w:pStyle w:val="Normalaftertitle"/>
        <w:rPr>
          <w:lang w:val="en-US"/>
        </w:rPr>
      </w:pPr>
      <w:r w:rsidRPr="00817C30">
        <w:rPr>
          <w:lang w:val="en-US"/>
        </w:rPr>
        <w:t>The World Radiocommunication Conference (</w:t>
      </w:r>
      <w:bookmarkStart w:id="9" w:name="_Hlk16793019"/>
      <w:r w:rsidRPr="00817C30">
        <w:rPr>
          <w:lang w:val="en-US"/>
        </w:rPr>
        <w:t>Sharm el-Sheikh</w:t>
      </w:r>
      <w:bookmarkEnd w:id="9"/>
      <w:r w:rsidRPr="00817C30">
        <w:rPr>
          <w:lang w:val="en-US"/>
        </w:rPr>
        <w:t>, 2019),</w:t>
      </w:r>
    </w:p>
    <w:p w14:paraId="7673AF91" w14:textId="77777777" w:rsidR="00DD084B" w:rsidRDefault="00DD084B" w:rsidP="00DD084B">
      <w:pPr>
        <w:rPr>
          <w:lang w:val="en-US"/>
        </w:rPr>
      </w:pPr>
      <w:r>
        <w:rPr>
          <w:lang w:val="en-US"/>
        </w:rPr>
        <w:t>…</w:t>
      </w:r>
    </w:p>
    <w:p w14:paraId="4F235153" w14:textId="4B421C2E" w:rsidR="00DD084B" w:rsidRPr="00DD084B" w:rsidRDefault="00DD084B" w:rsidP="00DD084B">
      <w:pPr>
        <w:rPr>
          <w:lang w:val="en-US"/>
        </w:rPr>
      </w:pPr>
      <w:r w:rsidRPr="00817C30">
        <w:rPr>
          <w:b/>
          <w:lang w:val="en-US"/>
        </w:rPr>
        <w:t>1.X</w:t>
      </w:r>
      <w:r w:rsidRPr="00817C30">
        <w:rPr>
          <w:b/>
          <w:lang w:val="en-US"/>
        </w:rPr>
        <w:tab/>
      </w:r>
      <w:r w:rsidRPr="00817C30">
        <w:rPr>
          <w:lang w:val="en-US"/>
        </w:rPr>
        <w:t xml:space="preserve">to consider, in accordance with Resolution </w:t>
      </w:r>
      <w:r w:rsidRPr="00604E7A">
        <w:t>[</w:t>
      </w:r>
      <w:r w:rsidRPr="00604E7A">
        <w:rPr>
          <w:lang w:val="en-US"/>
        </w:rPr>
        <w:t xml:space="preserve">IAP/10(B)/HA-IMT] </w:t>
      </w:r>
      <w:r w:rsidRPr="00817C30">
        <w:rPr>
          <w:b/>
          <w:lang w:val="en-US"/>
        </w:rPr>
        <w:t>(WRC-19)</w:t>
      </w:r>
      <w:r w:rsidRPr="00817C30">
        <w:rPr>
          <w:lang w:val="en-US"/>
        </w:rPr>
        <w:t>, the use of high-altitude IMT base stations in certain bands below 2.7 GHz already identified for IMT, on a global or regional level.</w:t>
      </w:r>
    </w:p>
    <w:p w14:paraId="18F3BC8A" w14:textId="77777777" w:rsidR="00B9313A" w:rsidRDefault="00F62E64">
      <w:pPr>
        <w:pStyle w:val="Reasons"/>
      </w:pPr>
      <w:r>
        <w:rPr>
          <w:b/>
        </w:rPr>
        <w:t>Reasons:</w:t>
      </w:r>
      <w:r>
        <w:tab/>
      </w:r>
      <w:r w:rsidR="00DD084B" w:rsidRPr="00DD084B">
        <w:t>The new agenda item to study high-altitude IMT base stations in certain existing globally or regionally harmonized IMT bands below 2.7 GHz aims to provide more flexibility on the use of these bands, in order to address the need to expand coverage and capacity in mobile broadband networks. The revision of existing IMT identifications in the Radio Regulations is not within the scope of this agenda item. The study results and potential RR changes would then be discussed at WRC-23.</w:t>
      </w:r>
    </w:p>
    <w:p w14:paraId="5994B660" w14:textId="77777777" w:rsidR="00B9313A" w:rsidRDefault="00F62E64">
      <w:pPr>
        <w:pStyle w:val="Proposal"/>
      </w:pPr>
      <w:r>
        <w:t>ADD</w:t>
      </w:r>
      <w:r>
        <w:tab/>
        <w:t>IAP/11A24A2/2</w:t>
      </w:r>
    </w:p>
    <w:p w14:paraId="39255C37" w14:textId="77777777" w:rsidR="00B9313A" w:rsidRDefault="00F62E64">
      <w:pPr>
        <w:pStyle w:val="ResNo"/>
      </w:pPr>
      <w:r>
        <w:t>Draft New Resolution [IAP</w:t>
      </w:r>
      <w:r w:rsidR="000C2987" w:rsidRPr="00D04C97">
        <w:t>/</w:t>
      </w:r>
      <w:r>
        <w:t>10(B)/HA-IMT]</w:t>
      </w:r>
      <w:r w:rsidR="00DD084B" w:rsidRPr="00817C30">
        <w:rPr>
          <w:lang w:val="en-US"/>
        </w:rPr>
        <w:t xml:space="preserve"> (WRC-19)</w:t>
      </w:r>
    </w:p>
    <w:p w14:paraId="694F6D90" w14:textId="77777777" w:rsidR="00B9313A" w:rsidRDefault="00DD084B" w:rsidP="00DD084B">
      <w:pPr>
        <w:pStyle w:val="Restitle"/>
      </w:pPr>
      <w:r w:rsidRPr="00817C30">
        <w:t>Use of high-altitude IMT base stations in certain bands below 2.7 GH</w:t>
      </w:r>
      <w:r>
        <w:t>z regionally harmonized for IMT</w:t>
      </w:r>
    </w:p>
    <w:p w14:paraId="272B275F" w14:textId="77777777" w:rsidR="00DD084B" w:rsidRPr="00817C30" w:rsidRDefault="00DD084B" w:rsidP="00DD084B">
      <w:pPr>
        <w:pStyle w:val="Normalaftertitle"/>
        <w:rPr>
          <w:lang w:val="en-US"/>
        </w:rPr>
      </w:pPr>
      <w:r w:rsidRPr="00817C30">
        <w:rPr>
          <w:lang w:val="en-US"/>
        </w:rPr>
        <w:t>The World Radiocommunication Conference (Sharm el-Sheikh, 2019),</w:t>
      </w:r>
    </w:p>
    <w:p w14:paraId="3D923D3B" w14:textId="77777777" w:rsidR="00DD084B" w:rsidRPr="00817C30" w:rsidRDefault="00DD084B" w:rsidP="00FA1E56">
      <w:pPr>
        <w:pStyle w:val="Call"/>
      </w:pPr>
      <w:r w:rsidRPr="00817C30">
        <w:t>considering</w:t>
      </w:r>
    </w:p>
    <w:p w14:paraId="2E43D27B" w14:textId="77777777" w:rsidR="00DD084B" w:rsidRPr="00817C30" w:rsidRDefault="00DD084B" w:rsidP="00FA1E56">
      <w:r w:rsidRPr="00817C30">
        <w:rPr>
          <w:i/>
        </w:rPr>
        <w:t>a)</w:t>
      </w:r>
      <w:r w:rsidRPr="00817C30">
        <w:rPr>
          <w:i/>
        </w:rPr>
        <w:tab/>
      </w:r>
      <w:r w:rsidRPr="00817C30">
        <w:t>that there is growing demand for access to mobile broadband, requiring more flexibility in the approaches to expand the capacity and coverage provided by IMT systems;</w:t>
      </w:r>
    </w:p>
    <w:p w14:paraId="7AEE8E8C" w14:textId="77777777" w:rsidR="00DD084B" w:rsidRPr="00817C30" w:rsidRDefault="00DD084B" w:rsidP="00FA1E56">
      <w:r w:rsidRPr="00817C30">
        <w:rPr>
          <w:i/>
        </w:rPr>
        <w:t>b)</w:t>
      </w:r>
      <w:r w:rsidRPr="00817C30">
        <w:tab/>
        <w:t>that a significant part of the global population is still without connectivity access, and there are continuing efforts focused on reducing the digital divide;</w:t>
      </w:r>
    </w:p>
    <w:p w14:paraId="2CDF9735" w14:textId="77777777" w:rsidR="00DD084B" w:rsidRPr="00817C30" w:rsidRDefault="00DD084B" w:rsidP="00FA1E56">
      <w:r w:rsidRPr="00817C30">
        <w:rPr>
          <w:i/>
        </w:rPr>
        <w:t>c)</w:t>
      </w:r>
      <w:r w:rsidRPr="00817C30">
        <w:tab/>
        <w:t>that IMT systems have evolved significantly in terms of spectrum identification, network deployment, and radio access technology, with the standardization of IMT-Advanced and IMT-2020;</w:t>
      </w:r>
    </w:p>
    <w:p w14:paraId="18B899F5" w14:textId="77777777" w:rsidR="00DD084B" w:rsidRPr="00817C30" w:rsidRDefault="00DD084B" w:rsidP="00FA1E56">
      <w:r w:rsidRPr="00817C30">
        <w:rPr>
          <w:i/>
        </w:rPr>
        <w:t>d)</w:t>
      </w:r>
      <w:r w:rsidRPr="00817C30">
        <w:tab/>
        <w:t>that studies of new IMT network topologies may provide increased spectrum efficiency for the bands already identified for IMT;</w:t>
      </w:r>
    </w:p>
    <w:p w14:paraId="7CF70D57" w14:textId="77777777" w:rsidR="00DD084B" w:rsidRPr="00817C30" w:rsidRDefault="00DD084B" w:rsidP="00FA1E56">
      <w:r w:rsidRPr="00817C30">
        <w:rPr>
          <w:i/>
        </w:rPr>
        <w:t>e)</w:t>
      </w:r>
      <w:r w:rsidRPr="00817C30">
        <w:rPr>
          <w:i/>
        </w:rPr>
        <w:tab/>
      </w:r>
      <w:r w:rsidRPr="00817C30">
        <w:rPr>
          <w:lang w:val="en-US"/>
        </w:rPr>
        <w:t xml:space="preserve">that </w:t>
      </w:r>
      <w:r w:rsidRPr="00817C30">
        <w:rPr>
          <w:bCs/>
          <w:lang w:val="en-US"/>
        </w:rPr>
        <w:t>high-altitude IMT base stations may be used</w:t>
      </w:r>
      <w:r w:rsidRPr="00817C30">
        <w:t xml:space="preserve"> to expand mobile connectivity utilizing its capability to provide service to a large footprint with low latency;</w:t>
      </w:r>
    </w:p>
    <w:p w14:paraId="2CC7AB6F" w14:textId="77777777" w:rsidR="00DD084B" w:rsidRPr="00817C30" w:rsidRDefault="00DD084B" w:rsidP="00FA1E56">
      <w:r w:rsidRPr="00817C30">
        <w:rPr>
          <w:i/>
        </w:rPr>
        <w:t>f)</w:t>
      </w:r>
      <w:r w:rsidRPr="00817C30">
        <w:rPr>
          <w:i/>
        </w:rPr>
        <w:tab/>
      </w:r>
      <w:r w:rsidRPr="00817C30">
        <w:rPr>
          <w:lang w:val="en-US"/>
        </w:rPr>
        <w:t xml:space="preserve">that </w:t>
      </w:r>
      <w:r w:rsidRPr="00817C30">
        <w:t>recent technological advances in battery and solar-panel technologies provide further support for the deployment of high-altitude IMT base stations;</w:t>
      </w:r>
    </w:p>
    <w:p w14:paraId="0308794D" w14:textId="77777777" w:rsidR="00DD084B" w:rsidRPr="00817C30" w:rsidRDefault="00DD084B" w:rsidP="00FA1E56">
      <w:r w:rsidRPr="00817C30">
        <w:rPr>
          <w:i/>
        </w:rPr>
        <w:t>g)</w:t>
      </w:r>
      <w:r w:rsidRPr="00817C30">
        <w:rPr>
          <w:i/>
        </w:rPr>
        <w:tab/>
      </w:r>
      <w:r w:rsidRPr="00817C30">
        <w:t>that high-altitude IMT base stations would be used to complement terrestrial IMT networks, and may use the same frequency bands with ground-based IMT base stations in order to provide mobile connectivity to underserved communities, and in rural and remote areas;</w:t>
      </w:r>
    </w:p>
    <w:p w14:paraId="77222662" w14:textId="77777777" w:rsidR="00DD084B" w:rsidRPr="00817C30" w:rsidRDefault="00DD084B" w:rsidP="00FA1E56">
      <w:r w:rsidRPr="00817C30">
        <w:rPr>
          <w:i/>
        </w:rPr>
        <w:lastRenderedPageBreak/>
        <w:t>h)</w:t>
      </w:r>
      <w:r w:rsidRPr="00817C30">
        <w:tab/>
        <w:t>that the user equipment to be served, whether by the high-altitude or the ground-based IMT base stations, are the same, and currently support a variety of the frequency bands identified for IMT;</w:t>
      </w:r>
    </w:p>
    <w:p w14:paraId="74276C45" w14:textId="77777777" w:rsidR="00DD084B" w:rsidRPr="00817C30" w:rsidRDefault="00DD084B" w:rsidP="00FA1E56">
      <w:proofErr w:type="spellStart"/>
      <w:r w:rsidRPr="00817C30">
        <w:rPr>
          <w:i/>
        </w:rPr>
        <w:t>i</w:t>
      </w:r>
      <w:proofErr w:type="spellEnd"/>
      <w:r w:rsidRPr="00817C30">
        <w:rPr>
          <w:i/>
        </w:rPr>
        <w:t>)</w:t>
      </w:r>
      <w:r w:rsidRPr="00817C30">
        <w:tab/>
        <w:t>that the use of high-altitude IMT base stations within the terrestrial component of IMT should not have any priority, and shall not cause any undue constraints which result in regulatory changes to the existing IMT identifications in the Radio Regulations;</w:t>
      </w:r>
    </w:p>
    <w:p w14:paraId="27718EC6" w14:textId="77777777" w:rsidR="00DD084B" w:rsidRPr="00817C30" w:rsidRDefault="00DD084B" w:rsidP="00FA1E56">
      <w:r w:rsidRPr="00817C30">
        <w:rPr>
          <w:i/>
        </w:rPr>
        <w:t>j</w:t>
      </w:r>
      <w:r w:rsidRPr="00817C30">
        <w:t xml:space="preserve">) </w:t>
      </w:r>
      <w:r w:rsidRPr="00817C30">
        <w:tab/>
        <w:t>that studies must be performed to demonstrate that sharing with existing services in the band, including other IMT uses is feasible, and that those existing services are protected with no new regulatory constraints on those existing uses,</w:t>
      </w:r>
    </w:p>
    <w:p w14:paraId="4A7F1793" w14:textId="77777777" w:rsidR="00DD084B" w:rsidRPr="00817C30" w:rsidRDefault="00DD084B" w:rsidP="00FA1E56">
      <w:pPr>
        <w:pStyle w:val="Call"/>
      </w:pPr>
      <w:r w:rsidRPr="00817C30">
        <w:t>noting</w:t>
      </w:r>
    </w:p>
    <w:p w14:paraId="08B82D7C" w14:textId="77777777" w:rsidR="00DD084B" w:rsidRPr="00817C30" w:rsidRDefault="00DD084B" w:rsidP="00FA1E56">
      <w:pPr>
        <w:rPr>
          <w:lang w:val="en-US"/>
        </w:rPr>
      </w:pPr>
      <w:r w:rsidRPr="00817C30">
        <w:rPr>
          <w:lang w:val="en-US"/>
        </w:rPr>
        <w:t>that Recommendations ITU-R M.1456 and M.1641 provide technical characteristics and operational conditions, as well as methodology for the studies between high-altitude IMT base stations and ground-based IMT system in certain bands around 1.9/2.1 GHz,</w:t>
      </w:r>
    </w:p>
    <w:p w14:paraId="1CB5A1AD" w14:textId="77777777" w:rsidR="00DD084B" w:rsidRPr="00817C30" w:rsidRDefault="00DD084B" w:rsidP="00FA1E56">
      <w:pPr>
        <w:pStyle w:val="Call"/>
      </w:pPr>
      <w:r w:rsidRPr="00817C30">
        <w:t>recognizing</w:t>
      </w:r>
    </w:p>
    <w:p w14:paraId="7F082317" w14:textId="77777777" w:rsidR="00DD084B" w:rsidRPr="00817C30" w:rsidRDefault="00DD084B" w:rsidP="00FA1E56">
      <w:pPr>
        <w:rPr>
          <w:lang w:val="en-US"/>
        </w:rPr>
      </w:pPr>
      <w:r w:rsidRPr="00817C30">
        <w:rPr>
          <w:i/>
          <w:iCs/>
          <w:lang w:val="en-US"/>
        </w:rPr>
        <w:t>a)</w:t>
      </w:r>
      <w:r w:rsidRPr="00817C30">
        <w:rPr>
          <w:lang w:val="en-US"/>
        </w:rPr>
        <w:tab/>
        <w:t xml:space="preserve">that a </w:t>
      </w:r>
      <w:r w:rsidRPr="00817C30">
        <w:rPr>
          <w:bCs/>
          <w:iCs/>
          <w:lang w:val="en-US"/>
        </w:rPr>
        <w:t>high-altitude platform station</w:t>
      </w:r>
      <w:r w:rsidRPr="00817C30">
        <w:rPr>
          <w:lang w:val="en-US"/>
        </w:rPr>
        <w:t xml:space="preserve"> is defined in No. </w:t>
      </w:r>
      <w:r w:rsidRPr="00817C30">
        <w:rPr>
          <w:b/>
          <w:bCs/>
          <w:lang w:val="en-US"/>
        </w:rPr>
        <w:t>1.66A</w:t>
      </w:r>
      <w:r w:rsidRPr="00817C30">
        <w:rPr>
          <w:lang w:val="en-US"/>
        </w:rPr>
        <w:t xml:space="preserve"> as a station located on an object at an altitude of 20 to 50 km and at a specified, nominal, fixed point relative to the Earth; </w:t>
      </w:r>
    </w:p>
    <w:p w14:paraId="763720DD" w14:textId="2B82D8F6" w:rsidR="00DD084B" w:rsidRPr="00817C30" w:rsidRDefault="00DD084B" w:rsidP="00FA1E56">
      <w:pPr>
        <w:rPr>
          <w:i/>
          <w:lang w:val="en-US"/>
        </w:rPr>
      </w:pPr>
      <w:r w:rsidRPr="00817C30">
        <w:rPr>
          <w:i/>
          <w:iCs/>
          <w:lang w:val="en-US"/>
        </w:rPr>
        <w:t>b)</w:t>
      </w:r>
      <w:r w:rsidRPr="00817C30">
        <w:rPr>
          <w:lang w:val="en-US"/>
        </w:rPr>
        <w:tab/>
        <w:t>that the bands 1 885-1 980 MHz, 2 010-2 025 MHz and 2 110-2 170 MHz in Regions 1 and 3, and the bands 1 885-1 980 MHz and 2 110-2 160 MHz in Region 2, are included in No.</w:t>
      </w:r>
      <w:r w:rsidR="005E4F56">
        <w:rPr>
          <w:lang w:val="en-US"/>
        </w:rPr>
        <w:t> </w:t>
      </w:r>
      <w:r w:rsidRPr="00817C30">
        <w:rPr>
          <w:b/>
          <w:lang w:val="en-US"/>
        </w:rPr>
        <w:t>5.388A</w:t>
      </w:r>
      <w:r w:rsidRPr="00817C30">
        <w:rPr>
          <w:lang w:val="en-US"/>
        </w:rPr>
        <w:t xml:space="preserve"> for the use of high-altitude IMT base stations, in accordance with the provisions in Resolution </w:t>
      </w:r>
      <w:r w:rsidRPr="00817C30">
        <w:rPr>
          <w:b/>
          <w:lang w:val="en-US"/>
        </w:rPr>
        <w:t>221 (Rev.WRC-07)</w:t>
      </w:r>
      <w:r w:rsidRPr="00817C30">
        <w:rPr>
          <w:lang w:val="en-US"/>
        </w:rPr>
        <w:t xml:space="preserve">; </w:t>
      </w:r>
    </w:p>
    <w:p w14:paraId="3BF4B3B3" w14:textId="77777777" w:rsidR="00DD084B" w:rsidRPr="00817C30" w:rsidRDefault="00DD084B" w:rsidP="00FA1E56">
      <w:pPr>
        <w:rPr>
          <w:lang w:val="en-US"/>
        </w:rPr>
      </w:pPr>
      <w:r w:rsidRPr="00817C30">
        <w:rPr>
          <w:i/>
          <w:lang w:val="en-US"/>
        </w:rPr>
        <w:t>c)</w:t>
      </w:r>
      <w:r w:rsidRPr="00817C30">
        <w:rPr>
          <w:i/>
          <w:lang w:val="en-US"/>
        </w:rPr>
        <w:tab/>
      </w:r>
      <w:r w:rsidRPr="00817C30">
        <w:rPr>
          <w:lang w:val="en-US"/>
        </w:rPr>
        <w:t xml:space="preserve">that different frequency bands below 2.7 GHz are globally or regionally harmonized for IMT in accordance with Nos. </w:t>
      </w:r>
      <w:r w:rsidRPr="00817C30">
        <w:rPr>
          <w:b/>
          <w:lang w:val="en-US"/>
        </w:rPr>
        <w:t>5.286AA</w:t>
      </w:r>
      <w:r w:rsidRPr="00817C30">
        <w:rPr>
          <w:lang w:val="en-US"/>
        </w:rPr>
        <w:t xml:space="preserve">, </w:t>
      </w:r>
      <w:r w:rsidRPr="00817C30">
        <w:rPr>
          <w:b/>
          <w:lang w:val="en-US"/>
        </w:rPr>
        <w:t>5.317A</w:t>
      </w:r>
      <w:r w:rsidRPr="00817C30">
        <w:rPr>
          <w:lang w:val="en-US"/>
        </w:rPr>
        <w:t xml:space="preserve">, </w:t>
      </w:r>
      <w:r w:rsidRPr="00817C30">
        <w:rPr>
          <w:b/>
          <w:lang w:val="en-US"/>
        </w:rPr>
        <w:t>5.341A</w:t>
      </w:r>
      <w:r w:rsidRPr="00817C30">
        <w:rPr>
          <w:lang w:val="en-US"/>
        </w:rPr>
        <w:t xml:space="preserve">, </w:t>
      </w:r>
      <w:r w:rsidRPr="00817C30">
        <w:rPr>
          <w:b/>
          <w:lang w:val="en-US"/>
        </w:rPr>
        <w:t>5.341B</w:t>
      </w:r>
      <w:r w:rsidRPr="00817C30">
        <w:rPr>
          <w:lang w:val="en-US"/>
        </w:rPr>
        <w:t xml:space="preserve">, </w:t>
      </w:r>
      <w:r w:rsidRPr="00817C30">
        <w:rPr>
          <w:b/>
          <w:lang w:val="en-US"/>
        </w:rPr>
        <w:t>5.341C</w:t>
      </w:r>
      <w:r w:rsidRPr="00817C30">
        <w:rPr>
          <w:lang w:val="en-US"/>
        </w:rPr>
        <w:t xml:space="preserve">, </w:t>
      </w:r>
      <w:r w:rsidRPr="00817C30">
        <w:rPr>
          <w:b/>
          <w:lang w:val="en-US"/>
        </w:rPr>
        <w:t>5.346A</w:t>
      </w:r>
      <w:r w:rsidRPr="00817C30">
        <w:rPr>
          <w:lang w:val="en-US"/>
        </w:rPr>
        <w:t xml:space="preserve">, </w:t>
      </w:r>
      <w:r w:rsidRPr="00817C30">
        <w:rPr>
          <w:b/>
          <w:lang w:val="en-US"/>
        </w:rPr>
        <w:t>5.384A</w:t>
      </w:r>
      <w:r w:rsidRPr="00817C30">
        <w:rPr>
          <w:lang w:val="en-US"/>
        </w:rPr>
        <w:t xml:space="preserve">, and </w:t>
      </w:r>
      <w:r w:rsidRPr="00817C30">
        <w:rPr>
          <w:b/>
          <w:lang w:val="en-US"/>
        </w:rPr>
        <w:t>5.388</w:t>
      </w:r>
      <w:r w:rsidRPr="00817C30">
        <w:rPr>
          <w:bCs/>
          <w:lang w:val="en-US"/>
        </w:rPr>
        <w:t>;</w:t>
      </w:r>
      <w:r w:rsidRPr="00817C30">
        <w:rPr>
          <w:lang w:val="en-US"/>
        </w:rPr>
        <w:t xml:space="preserve"> </w:t>
      </w:r>
    </w:p>
    <w:p w14:paraId="359EA5C8" w14:textId="77777777" w:rsidR="00DD084B" w:rsidRPr="00817C30" w:rsidRDefault="00DD084B" w:rsidP="00FA1E56">
      <w:pPr>
        <w:rPr>
          <w:lang w:val="en-US"/>
        </w:rPr>
      </w:pPr>
      <w:r w:rsidRPr="00817C30">
        <w:rPr>
          <w:i/>
          <w:iCs/>
          <w:lang w:val="en-US"/>
        </w:rPr>
        <w:t>d)</w:t>
      </w:r>
      <w:r w:rsidRPr="00817C30">
        <w:rPr>
          <w:i/>
          <w:iCs/>
          <w:lang w:val="en-US"/>
        </w:rPr>
        <w:tab/>
      </w:r>
      <w:r w:rsidRPr="00817C30">
        <w:rPr>
          <w:lang w:val="en-US"/>
        </w:rPr>
        <w:t>that any potential new regulatory procedural considerations resulting from potential identifications of high-altitude IMT base stations should not apply to existing IMT identifications in the RR;</w:t>
      </w:r>
    </w:p>
    <w:p w14:paraId="224AB5A3" w14:textId="675543E4" w:rsidR="00DD084B" w:rsidRPr="00817C30" w:rsidRDefault="00DD084B" w:rsidP="00FA1E56">
      <w:pPr>
        <w:rPr>
          <w:lang w:val="en-US"/>
        </w:rPr>
      </w:pPr>
      <w:r w:rsidRPr="00817C30">
        <w:rPr>
          <w:i/>
          <w:lang w:val="en-US"/>
        </w:rPr>
        <w:t>e)</w:t>
      </w:r>
      <w:r w:rsidRPr="00817C30">
        <w:rPr>
          <w:lang w:val="en-US"/>
        </w:rPr>
        <w:tab/>
        <w:t>that studies should be limited to sharing and compatibility between the high-altitude IMT base stations and other existing services and applications;</w:t>
      </w:r>
    </w:p>
    <w:p w14:paraId="2726E8BC" w14:textId="4D1A7764" w:rsidR="00DD084B" w:rsidRPr="00817C30" w:rsidRDefault="00DD084B" w:rsidP="00FA1E56">
      <w:pPr>
        <w:rPr>
          <w:lang w:val="en-US"/>
        </w:rPr>
      </w:pPr>
      <w:r w:rsidRPr="00817C30">
        <w:rPr>
          <w:i/>
          <w:iCs/>
          <w:lang w:val="en-US"/>
        </w:rPr>
        <w:t>f)</w:t>
      </w:r>
      <w:bookmarkStart w:id="10" w:name="_GoBack"/>
      <w:bookmarkEnd w:id="10"/>
      <w:r w:rsidRPr="00817C30">
        <w:rPr>
          <w:lang w:val="en-US"/>
        </w:rPr>
        <w:tab/>
        <w:t>that the bands identified for IMT below 2.7 GHz are used extensively to provide mobile broadband services using ground based IMT systems,</w:t>
      </w:r>
    </w:p>
    <w:p w14:paraId="1ABB48D2" w14:textId="77777777" w:rsidR="00DD084B" w:rsidRPr="00817C30" w:rsidRDefault="00DD084B" w:rsidP="00FA1E56">
      <w:pPr>
        <w:pStyle w:val="Call"/>
      </w:pPr>
      <w:r w:rsidRPr="00817C30">
        <w:t>resolves to invite ITU-R</w:t>
      </w:r>
    </w:p>
    <w:p w14:paraId="1DE54F92" w14:textId="77777777" w:rsidR="00DD084B" w:rsidRPr="00817C30" w:rsidRDefault="00DD084B" w:rsidP="00FA1E56">
      <w:pPr>
        <w:rPr>
          <w:lang w:val="en-US"/>
        </w:rPr>
      </w:pPr>
      <w:r w:rsidRPr="00817C30">
        <w:rPr>
          <w:lang w:val="en-US"/>
        </w:rPr>
        <w:t>1</w:t>
      </w:r>
      <w:r w:rsidRPr="00817C30">
        <w:rPr>
          <w:lang w:val="en-US"/>
        </w:rPr>
        <w:tab/>
        <w:t>to conduct and complete in time for WRC-23, taking into account the results of studies already performed and those in progress within ITU-R, the appropriate sharing and compatibility studies to ensure the protection of services to which the band is allocated on a primary basis, including other IMT uses, and adjacent services, as appropriate, for certain frequency bands below 2.7 GHz globally or regionally harmonized for IMT, i.e.:</w:t>
      </w:r>
    </w:p>
    <w:p w14:paraId="012A5F1F" w14:textId="59D5BF32" w:rsidR="00DD084B" w:rsidRPr="00817C30" w:rsidRDefault="005E4F56" w:rsidP="005E4F56">
      <w:pPr>
        <w:pStyle w:val="enumlev1"/>
        <w:rPr>
          <w:lang w:val="en-US"/>
        </w:rPr>
      </w:pPr>
      <w:r w:rsidRPr="005E4F56">
        <w:rPr>
          <w:lang w:val="en-US"/>
        </w:rPr>
        <w:t>–</w:t>
      </w:r>
      <w:r w:rsidR="00DD084B" w:rsidRPr="00817C30">
        <w:rPr>
          <w:lang w:val="en-US"/>
        </w:rPr>
        <w:tab/>
        <w:t>450-470 MHz, 698-960 MHz, 1 427-1 518 MHz, 1 710-1 885 MHz, 2 160-2 200 MHz, 2 300-2 400 MHz, and 2 500-2 690 MHz</w:t>
      </w:r>
      <w:r>
        <w:rPr>
          <w:lang w:val="en-US"/>
        </w:rPr>
        <w:t>;</w:t>
      </w:r>
    </w:p>
    <w:p w14:paraId="518FDBE3" w14:textId="77777777" w:rsidR="00DD084B" w:rsidRPr="00817C30" w:rsidRDefault="00DD084B" w:rsidP="00FA1E56">
      <w:pPr>
        <w:rPr>
          <w:lang w:val="en-US"/>
        </w:rPr>
      </w:pPr>
      <w:r w:rsidRPr="00817C30">
        <w:rPr>
          <w:lang w:val="en-US"/>
        </w:rPr>
        <w:t>2</w:t>
      </w:r>
      <w:r w:rsidRPr="00817C30">
        <w:rPr>
          <w:lang w:val="en-US"/>
        </w:rPr>
        <w:tab/>
        <w:t xml:space="preserve">to study appropriate modifications to the existing footnote and associated resolution in the </w:t>
      </w:r>
      <w:r w:rsidRPr="00817C30">
        <w:rPr>
          <w:i/>
          <w:lang w:val="en-US"/>
        </w:rPr>
        <w:t>recognizing b)</w:t>
      </w:r>
      <w:r w:rsidRPr="00817C30">
        <w:rPr>
          <w:lang w:val="en-US"/>
        </w:rPr>
        <w:t xml:space="preserve"> in order to facilitate the use of high-altitude IMT base stations with the latest radio interfaces technologies of IMT systems;</w:t>
      </w:r>
    </w:p>
    <w:p w14:paraId="16F37314" w14:textId="77777777" w:rsidR="00DD084B" w:rsidRPr="00817C30" w:rsidRDefault="00DD084B" w:rsidP="00FA1E56">
      <w:pPr>
        <w:rPr>
          <w:lang w:val="en-US"/>
        </w:rPr>
      </w:pPr>
      <w:r w:rsidRPr="00817C30">
        <w:rPr>
          <w:lang w:val="en-US"/>
        </w:rPr>
        <w:t>3</w:t>
      </w:r>
      <w:r w:rsidRPr="00817C30">
        <w:rPr>
          <w:lang w:val="en-US"/>
        </w:rPr>
        <w:tab/>
        <w:t xml:space="preserve">to develop ITU-R Recommendations and/or Reports, as appropriate, </w:t>
      </w:r>
      <w:proofErr w:type="gramStart"/>
      <w:r w:rsidRPr="00817C30">
        <w:rPr>
          <w:lang w:val="en-US"/>
        </w:rPr>
        <w:t>taking into account</w:t>
      </w:r>
      <w:proofErr w:type="gramEnd"/>
      <w:r w:rsidRPr="00817C30">
        <w:rPr>
          <w:lang w:val="en-US"/>
        </w:rPr>
        <w:t xml:space="preserve"> </w:t>
      </w:r>
      <w:r w:rsidRPr="00817C30">
        <w:rPr>
          <w:i/>
          <w:lang w:val="en-US"/>
        </w:rPr>
        <w:t>resolves to invite ITU-R </w:t>
      </w:r>
      <w:r w:rsidRPr="005E4F56">
        <w:rPr>
          <w:iCs/>
          <w:lang w:val="en-US"/>
        </w:rPr>
        <w:t>1</w:t>
      </w:r>
      <w:r w:rsidRPr="00817C30">
        <w:rPr>
          <w:i/>
          <w:lang w:val="en-US"/>
        </w:rPr>
        <w:t xml:space="preserve">, </w:t>
      </w:r>
      <w:r w:rsidRPr="00817C30">
        <w:rPr>
          <w:iCs/>
          <w:lang w:val="en-US"/>
        </w:rPr>
        <w:t>and</w:t>
      </w:r>
      <w:r w:rsidRPr="00817C30">
        <w:rPr>
          <w:i/>
          <w:lang w:val="en-US"/>
        </w:rPr>
        <w:t xml:space="preserve"> </w:t>
      </w:r>
      <w:r w:rsidRPr="005E4F56">
        <w:rPr>
          <w:iCs/>
          <w:lang w:val="en-US"/>
        </w:rPr>
        <w:t>2</w:t>
      </w:r>
      <w:r w:rsidRPr="00817C30">
        <w:rPr>
          <w:lang w:val="en-US"/>
        </w:rPr>
        <w:t>,</w:t>
      </w:r>
    </w:p>
    <w:p w14:paraId="14927C84" w14:textId="77777777" w:rsidR="00DD084B" w:rsidRPr="00817C30" w:rsidRDefault="00DD084B" w:rsidP="00FA1E56">
      <w:pPr>
        <w:pStyle w:val="Call"/>
      </w:pPr>
      <w:r w:rsidRPr="00817C30">
        <w:lastRenderedPageBreak/>
        <w:t>further resolves to invite WRC-23</w:t>
      </w:r>
    </w:p>
    <w:p w14:paraId="52BF9AE9" w14:textId="77777777" w:rsidR="00DD084B" w:rsidRPr="00817C30" w:rsidRDefault="00DD084B" w:rsidP="00FA1E56">
      <w:pPr>
        <w:rPr>
          <w:lang w:val="en-US"/>
        </w:rPr>
      </w:pPr>
      <w:r w:rsidRPr="00817C30">
        <w:rPr>
          <w:lang w:val="en-US"/>
        </w:rPr>
        <w:t xml:space="preserve">to consider, based on the results of the above studies, the use of high-altitude IMT base stations in certain bands below 2.7 GHz already identified for IMT, on a global or regional level, and take necessary regulatory actions, as appropriate, taking into account that changes to the footnotes in the </w:t>
      </w:r>
      <w:r w:rsidRPr="00817C30">
        <w:rPr>
          <w:i/>
          <w:iCs/>
          <w:lang w:val="en-US"/>
        </w:rPr>
        <w:t>recognizing c)</w:t>
      </w:r>
      <w:r w:rsidRPr="00817C30">
        <w:rPr>
          <w:lang w:val="en-US"/>
        </w:rPr>
        <w:t xml:space="preserve"> are outside of scope and there should be no additional regulatory or technical constraints imposed on the deployment of the bands referred in those footnotes by the ground based IMT systems,</w:t>
      </w:r>
    </w:p>
    <w:p w14:paraId="1BA6B703" w14:textId="77777777" w:rsidR="00DD084B" w:rsidRPr="00817C30" w:rsidRDefault="00DD084B" w:rsidP="00FA1E56">
      <w:pPr>
        <w:pStyle w:val="Call"/>
        <w:rPr>
          <w:lang w:val="en-US"/>
        </w:rPr>
      </w:pPr>
      <w:r w:rsidRPr="00817C30">
        <w:rPr>
          <w:lang w:val="en-US"/>
        </w:rPr>
        <w:t>invites administrations</w:t>
      </w:r>
    </w:p>
    <w:p w14:paraId="65C7A3D0" w14:textId="77777777" w:rsidR="00DD084B" w:rsidRPr="00817C30" w:rsidRDefault="00DD084B" w:rsidP="00FA1E56">
      <w:pPr>
        <w:rPr>
          <w:lang w:val="en-US"/>
        </w:rPr>
      </w:pPr>
      <w:r w:rsidRPr="00817C30">
        <w:rPr>
          <w:lang w:val="en-US"/>
        </w:rPr>
        <w:t>to participate actively in these studies by submitting contributions to ITU-R.</w:t>
      </w:r>
    </w:p>
    <w:p w14:paraId="36E44578" w14:textId="77777777" w:rsidR="00DD084B" w:rsidRPr="00B12DEA" w:rsidRDefault="00F62E64" w:rsidP="00B12DEA">
      <w:pPr>
        <w:pStyle w:val="Reasons"/>
      </w:pPr>
      <w:r>
        <w:rPr>
          <w:b/>
        </w:rPr>
        <w:t>Reasons:</w:t>
      </w:r>
      <w:r>
        <w:tab/>
      </w:r>
      <w:r w:rsidR="00DD084B" w:rsidRPr="00DD084B">
        <w:rPr>
          <w:lang w:val="en-US"/>
        </w:rPr>
        <w:t>The proposed Resolution on the new agenda item to study high-altitude IMT base stations in existing regionally harmonized IMT bands below 2.7 GHz aims to provide more flexibility on the use of these bands, in order to address the need to expand coverage and capacity in mobile broadband networks. The study results and potential RR changes would then be discussed at WRC-23. Changes to any existing IMT identifications are not within the scope of this agenda item.</w:t>
      </w:r>
    </w:p>
    <w:p w14:paraId="6E49DD70" w14:textId="77777777" w:rsidR="002727D7" w:rsidRDefault="002727D7" w:rsidP="001168C9">
      <w:r>
        <w:br w:type="page"/>
      </w:r>
    </w:p>
    <w:p w14:paraId="22C11184" w14:textId="77777777" w:rsidR="00DD084B" w:rsidRPr="008D3FFD" w:rsidRDefault="00DD084B" w:rsidP="00DD084B">
      <w:pPr>
        <w:pStyle w:val="AnnexNo"/>
        <w:rPr>
          <w:rFonts w:eastAsia="Calibri"/>
        </w:rPr>
      </w:pPr>
      <w:r>
        <w:rPr>
          <w:rFonts w:eastAsia="Calibri"/>
        </w:rPr>
        <w:lastRenderedPageBreak/>
        <w:t>ANNEX</w:t>
      </w:r>
    </w:p>
    <w:p w14:paraId="63C9CA4B" w14:textId="77777777" w:rsidR="00DD084B" w:rsidRPr="00DD084B" w:rsidRDefault="00DD084B">
      <w:pPr>
        <w:pStyle w:val="Annextitle"/>
        <w:rPr>
          <w:rFonts w:eastAsia="Calibri"/>
        </w:rPr>
      </w:pPr>
      <w:r w:rsidRPr="00D04C97">
        <w:rPr>
          <w:rFonts w:eastAsia="Calibri"/>
        </w:rPr>
        <w:t xml:space="preserve">Proposal for </w:t>
      </w:r>
      <w:r w:rsidR="000C2987" w:rsidRPr="00D04C97">
        <w:rPr>
          <w:rFonts w:eastAsia="Calibri"/>
        </w:rPr>
        <w:t>f</w:t>
      </w:r>
      <w:r w:rsidRPr="00D04C97">
        <w:rPr>
          <w:rFonts w:eastAsia="Calibri"/>
        </w:rPr>
        <w:t xml:space="preserve">uture </w:t>
      </w:r>
      <w:r w:rsidR="000C2987" w:rsidRPr="00D04C97">
        <w:rPr>
          <w:rFonts w:eastAsia="Calibri"/>
        </w:rPr>
        <w:t>a</w:t>
      </w:r>
      <w:r w:rsidRPr="00D04C97">
        <w:rPr>
          <w:rFonts w:eastAsia="Calibri"/>
        </w:rPr>
        <w:t xml:space="preserve">genda </w:t>
      </w:r>
      <w:r w:rsidR="000C2987" w:rsidRPr="00D04C97">
        <w:rPr>
          <w:rFonts w:eastAsia="Calibri"/>
        </w:rPr>
        <w:t>i</w:t>
      </w:r>
      <w:r w:rsidRPr="00D04C97">
        <w:rPr>
          <w:rFonts w:eastAsia="Calibri"/>
        </w:rPr>
        <w:t>tem for WRC-23</w:t>
      </w:r>
      <w:r w:rsidRPr="00DD084B">
        <w:rPr>
          <w:rFonts w:eastAsia="Calibri"/>
        </w:rPr>
        <w:t xml:space="preserve"> </w:t>
      </w:r>
    </w:p>
    <w:p w14:paraId="4F629B2D" w14:textId="77777777" w:rsidR="00DD084B" w:rsidRPr="008D3FFD" w:rsidRDefault="00DD084B" w:rsidP="00DD084B">
      <w:pPr>
        <w:rPr>
          <w:rFonts w:ascii="TimesNewRomanPSMT" w:eastAsia="Calibri" w:hAnsi="TimesNewRomanPSMT" w:cs="TimesNewRomanPSMT"/>
          <w:sz w:val="22"/>
          <w:szCs w:val="22"/>
        </w:rPr>
      </w:pPr>
    </w:p>
    <w:p w14:paraId="14E7F7D3" w14:textId="77777777" w:rsidR="00DD084B" w:rsidRPr="008D3FFD" w:rsidRDefault="00DD084B" w:rsidP="00DD084B">
      <w:pPr>
        <w:rPr>
          <w:rFonts w:eastAsia="Calibri"/>
          <w:bCs/>
          <w:sz w:val="22"/>
          <w:szCs w:val="22"/>
        </w:rPr>
      </w:pPr>
      <w:r w:rsidRPr="008D3FFD">
        <w:rPr>
          <w:rFonts w:ascii="TimesNewRomanPSMT" w:eastAsia="Calibri" w:hAnsi="TimesNewRomanPSMT" w:cs="TimesNewRomanPSMT"/>
          <w:b/>
          <w:sz w:val="22"/>
          <w:szCs w:val="22"/>
        </w:rPr>
        <w:t>Subject:</w:t>
      </w:r>
      <w:r w:rsidRPr="008D3FFD">
        <w:rPr>
          <w:rFonts w:ascii="TimesNewRomanPSMT" w:eastAsia="Calibri" w:hAnsi="TimesNewRomanPSMT" w:cs="TimesNewRomanPSMT"/>
          <w:sz w:val="22"/>
          <w:szCs w:val="22"/>
        </w:rPr>
        <w:t xml:space="preserve"> Propos</w:t>
      </w:r>
      <w:r>
        <w:rPr>
          <w:rFonts w:ascii="TimesNewRomanPSMT" w:eastAsia="Calibri" w:hAnsi="TimesNewRomanPSMT" w:cs="TimesNewRomanPSMT"/>
          <w:sz w:val="22"/>
          <w:szCs w:val="22"/>
        </w:rPr>
        <w:t xml:space="preserve">al for WRC-23 agenda item </w:t>
      </w:r>
      <w:r>
        <w:rPr>
          <w:sz w:val="22"/>
          <w:szCs w:val="22"/>
        </w:rPr>
        <w:t>on the use of high-altitude IMT base stations in the bands below 2.7 GHz already identified for IMT, on a global or regional level</w:t>
      </w:r>
      <w:r w:rsidRPr="008D3FFD">
        <w:rPr>
          <w:rFonts w:eastAsia="Calibri"/>
          <w:bCs/>
          <w:sz w:val="22"/>
          <w:szCs w:val="22"/>
        </w:rPr>
        <w:t>.</w:t>
      </w:r>
    </w:p>
    <w:p w14:paraId="221B1167" w14:textId="77777777" w:rsidR="00DD084B" w:rsidRPr="008D3FFD" w:rsidRDefault="00DD084B" w:rsidP="00DD084B">
      <w:pPr>
        <w:rPr>
          <w:rFonts w:ascii="TimesNewRomanPS-BoldMT" w:eastAsia="Calibri" w:hAnsi="TimesNewRomanPS-BoldMT" w:cs="TimesNewRomanPS-BoldMT"/>
          <w:b/>
          <w:bCs/>
          <w:sz w:val="22"/>
          <w:szCs w:val="22"/>
        </w:rPr>
      </w:pPr>
    </w:p>
    <w:p w14:paraId="0377554B" w14:textId="77777777" w:rsidR="00DD084B" w:rsidRPr="008D3FFD" w:rsidRDefault="00DD084B" w:rsidP="00DD084B">
      <w:pPr>
        <w:rPr>
          <w:rFonts w:ascii="TimesNewRomanPSMT" w:eastAsia="Calibri" w:hAnsi="TimesNewRomanPSMT" w:cs="TimesNewRomanPSMT"/>
          <w:sz w:val="22"/>
          <w:szCs w:val="22"/>
        </w:rPr>
      </w:pPr>
      <w:r w:rsidRPr="008D3FFD">
        <w:rPr>
          <w:rFonts w:ascii="TimesNewRomanPS-BoldMT" w:eastAsia="Calibri" w:hAnsi="TimesNewRomanPS-BoldMT" w:cs="TimesNewRomanPS-BoldMT"/>
          <w:b/>
          <w:bCs/>
          <w:sz w:val="22"/>
          <w:szCs w:val="22"/>
        </w:rPr>
        <w:t>Origin</w:t>
      </w:r>
      <w:r w:rsidRPr="008D3FFD">
        <w:rPr>
          <w:rFonts w:ascii="TimesNewRomanPSMT" w:eastAsia="Calibri" w:hAnsi="TimesNewRomanPSMT" w:cs="TimesNewRomanPSMT"/>
          <w:sz w:val="22"/>
          <w:szCs w:val="22"/>
        </w:rPr>
        <w:t xml:space="preserve">: </w:t>
      </w:r>
      <w:r w:rsidRPr="000E3DF8">
        <w:rPr>
          <w:rFonts w:ascii="TimesNewRomanPSMT" w:eastAsia="Calibri" w:hAnsi="TimesNewRomanPSMT" w:cs="TimesNewRomanPSMT"/>
          <w:sz w:val="22"/>
          <w:szCs w:val="22"/>
        </w:rPr>
        <w:t>the CITEL Member States</w:t>
      </w:r>
    </w:p>
    <w:p w14:paraId="140FCC8E" w14:textId="77777777" w:rsidR="00DD084B" w:rsidRPr="0094196A" w:rsidRDefault="00DD084B" w:rsidP="00DD084B">
      <w:pPr>
        <w:pBdr>
          <w:bottom w:val="single" w:sz="12" w:space="1" w:color="auto"/>
        </w:pBdr>
        <w:tabs>
          <w:tab w:val="left" w:pos="794"/>
          <w:tab w:val="left" w:pos="1191"/>
          <w:tab w:val="left" w:pos="1588"/>
          <w:tab w:val="left" w:pos="1985"/>
        </w:tabs>
        <w:rPr>
          <w:rFonts w:eastAsia="Calibri"/>
          <w:color w:val="000000"/>
          <w:szCs w:val="24"/>
        </w:rPr>
      </w:pPr>
    </w:p>
    <w:p w14:paraId="3D2720CE" w14:textId="77777777" w:rsidR="00DD084B" w:rsidRPr="008D3FFD" w:rsidRDefault="00DD084B" w:rsidP="00DD084B">
      <w:pPr>
        <w:jc w:val="both"/>
        <w:rPr>
          <w:rFonts w:eastAsia="Calibri"/>
          <w:sz w:val="22"/>
          <w:szCs w:val="22"/>
        </w:rPr>
      </w:pPr>
      <w:r w:rsidRPr="00D04C97">
        <w:rPr>
          <w:rFonts w:ascii="TimesNewRomanPS-ItalicMT" w:eastAsia="Calibri" w:hAnsi="TimesNewRomanPS-ItalicMT" w:cs="TimesNewRomanPS-ItalicMT"/>
          <w:b/>
          <w:i/>
          <w:iCs/>
          <w:sz w:val="22"/>
          <w:szCs w:val="22"/>
        </w:rPr>
        <w:t>Proposal:</w:t>
      </w:r>
      <w:r w:rsidRPr="00D04C97">
        <w:rPr>
          <w:rFonts w:ascii="TimesNewRomanPS-ItalicMT" w:eastAsia="Calibri" w:hAnsi="TimesNewRomanPS-ItalicMT" w:cs="TimesNewRomanPS-ItalicMT"/>
          <w:i/>
          <w:iCs/>
          <w:sz w:val="22"/>
          <w:szCs w:val="22"/>
        </w:rPr>
        <w:t xml:space="preserve"> </w:t>
      </w:r>
      <w:r w:rsidRPr="00D04C97">
        <w:rPr>
          <w:rFonts w:ascii="TimesNewRomanPSMT" w:eastAsia="Calibri" w:hAnsi="TimesNewRomanPSMT" w:cs="TimesNewRomanPSMT"/>
          <w:sz w:val="22"/>
          <w:szCs w:val="22"/>
        </w:rPr>
        <w:t xml:space="preserve">to consider, in accordance with Resolution </w:t>
      </w:r>
      <w:r w:rsidRPr="00D04C97">
        <w:rPr>
          <w:rFonts w:ascii="TimesNewRomanPSMT" w:eastAsia="Calibri" w:hAnsi="TimesNewRomanPSMT" w:cs="TimesNewRomanPSMT"/>
          <w:b/>
          <w:sz w:val="22"/>
          <w:szCs w:val="22"/>
        </w:rPr>
        <w:t>[</w:t>
      </w:r>
      <w:r w:rsidRPr="00D04C97">
        <w:rPr>
          <w:caps/>
          <w:sz w:val="22"/>
          <w:szCs w:val="22"/>
        </w:rPr>
        <w:t>IAP/10(B)</w:t>
      </w:r>
      <w:r w:rsidR="000C2987" w:rsidRPr="00D04C97">
        <w:t>/HA-IMT</w:t>
      </w:r>
      <w:r w:rsidRPr="00D04C97">
        <w:rPr>
          <w:rFonts w:ascii="TimesNewRomanPSMT" w:eastAsia="Calibri" w:hAnsi="TimesNewRomanPSMT" w:cs="TimesNewRomanPSMT"/>
          <w:b/>
          <w:sz w:val="22"/>
          <w:szCs w:val="22"/>
        </w:rPr>
        <w:t>] (WRC-19)</w:t>
      </w:r>
      <w:r w:rsidRPr="00D04C97">
        <w:rPr>
          <w:rFonts w:ascii="TimesNewRomanPSMT" w:eastAsia="Calibri" w:hAnsi="TimesNewRomanPSMT" w:cs="TimesNewRomanPSMT"/>
          <w:sz w:val="22"/>
          <w:szCs w:val="22"/>
        </w:rPr>
        <w:t>, the use of high-</w:t>
      </w:r>
      <w:r w:rsidRPr="00CE14BB">
        <w:rPr>
          <w:rFonts w:ascii="TimesNewRomanPSMT" w:eastAsia="Calibri" w:hAnsi="TimesNewRomanPSMT" w:cs="TimesNewRomanPSMT"/>
          <w:sz w:val="22"/>
          <w:szCs w:val="22"/>
        </w:rPr>
        <w:t>altitude IMT base stations in certain bands below 2.7 GHz already identified for IMT</w:t>
      </w:r>
      <w:r w:rsidRPr="00CE14BB">
        <w:rPr>
          <w:sz w:val="22"/>
          <w:szCs w:val="22"/>
        </w:rPr>
        <w:t>, on a global or regional level</w:t>
      </w:r>
      <w:r w:rsidRPr="00CE14BB">
        <w:rPr>
          <w:rFonts w:eastAsia="Calibri"/>
          <w:b/>
          <w:color w:val="000000"/>
          <w:sz w:val="22"/>
          <w:szCs w:val="22"/>
        </w:rPr>
        <w:t>.</w:t>
      </w:r>
    </w:p>
    <w:p w14:paraId="212241AD" w14:textId="77777777" w:rsidR="00DD084B" w:rsidRPr="008D3FFD" w:rsidRDefault="00DD084B" w:rsidP="00DD084B">
      <w:pPr>
        <w:pBdr>
          <w:bottom w:val="single" w:sz="12" w:space="1" w:color="auto"/>
        </w:pBdr>
        <w:tabs>
          <w:tab w:val="left" w:pos="794"/>
          <w:tab w:val="left" w:pos="1191"/>
          <w:tab w:val="left" w:pos="1588"/>
          <w:tab w:val="left" w:pos="1985"/>
        </w:tabs>
        <w:jc w:val="both"/>
        <w:rPr>
          <w:rFonts w:eastAsia="Calibri"/>
          <w:color w:val="000000"/>
          <w:sz w:val="22"/>
          <w:szCs w:val="22"/>
        </w:rPr>
      </w:pPr>
    </w:p>
    <w:p w14:paraId="3A3E3E39" w14:textId="77777777" w:rsidR="00DD084B" w:rsidRPr="008D3FFD" w:rsidRDefault="00DD084B" w:rsidP="00DD084B">
      <w:pPr>
        <w:jc w:val="both"/>
        <w:rPr>
          <w:rFonts w:eastAsia="Calibri"/>
          <w:b/>
          <w:bCs/>
          <w:i/>
          <w:iCs/>
          <w:sz w:val="22"/>
          <w:szCs w:val="22"/>
        </w:rPr>
      </w:pPr>
      <w:r w:rsidRPr="008D3FFD">
        <w:rPr>
          <w:rFonts w:eastAsia="Calibri"/>
          <w:b/>
          <w:bCs/>
          <w:i/>
          <w:iCs/>
          <w:sz w:val="22"/>
          <w:szCs w:val="22"/>
        </w:rPr>
        <w:t>Background/reason:</w:t>
      </w:r>
    </w:p>
    <w:p w14:paraId="00E5E947" w14:textId="77777777" w:rsidR="00DD084B" w:rsidRDefault="00DD084B" w:rsidP="00DD084B">
      <w:pPr>
        <w:jc w:val="both"/>
        <w:rPr>
          <w:sz w:val="22"/>
          <w:szCs w:val="22"/>
        </w:rPr>
      </w:pPr>
      <w:r>
        <w:rPr>
          <w:sz w:val="22"/>
          <w:szCs w:val="22"/>
        </w:rPr>
        <w:t>The new agenda item t</w:t>
      </w:r>
      <w:r w:rsidRPr="00E61E22">
        <w:rPr>
          <w:sz w:val="22"/>
          <w:szCs w:val="22"/>
        </w:rPr>
        <w:t>o study</w:t>
      </w:r>
      <w:r>
        <w:rPr>
          <w:sz w:val="22"/>
          <w:szCs w:val="22"/>
        </w:rPr>
        <w:t xml:space="preserve"> high-altitude</w:t>
      </w:r>
      <w:r w:rsidRPr="00E61E22">
        <w:rPr>
          <w:sz w:val="22"/>
          <w:szCs w:val="22"/>
        </w:rPr>
        <w:t xml:space="preserve"> IMT </w:t>
      </w:r>
      <w:r>
        <w:rPr>
          <w:sz w:val="22"/>
          <w:szCs w:val="22"/>
        </w:rPr>
        <w:t xml:space="preserve">base stations </w:t>
      </w:r>
      <w:r w:rsidRPr="00CE14BB">
        <w:rPr>
          <w:sz w:val="22"/>
          <w:szCs w:val="22"/>
        </w:rPr>
        <w:t>in certain</w:t>
      </w:r>
      <w:r>
        <w:rPr>
          <w:sz w:val="22"/>
          <w:szCs w:val="22"/>
        </w:rPr>
        <w:t xml:space="preserve"> existing globally or regionally harmonized IMT bands below 2.7 GHz aims to provide more flexibility on the use of these bands, in order to address the need to expand coverage and capacity in mobile broadband networks. The s</w:t>
      </w:r>
      <w:r w:rsidRPr="00A971F4">
        <w:rPr>
          <w:sz w:val="22"/>
          <w:szCs w:val="22"/>
        </w:rPr>
        <w:t xml:space="preserve">tudy results and potential RR changes would </w:t>
      </w:r>
      <w:r>
        <w:rPr>
          <w:sz w:val="22"/>
          <w:szCs w:val="22"/>
        </w:rPr>
        <w:t>then be</w:t>
      </w:r>
      <w:r w:rsidRPr="00A971F4">
        <w:rPr>
          <w:sz w:val="22"/>
          <w:szCs w:val="22"/>
        </w:rPr>
        <w:t xml:space="preserve"> discussed at WRC-23</w:t>
      </w:r>
      <w:r w:rsidRPr="008D3FFD">
        <w:rPr>
          <w:sz w:val="22"/>
          <w:szCs w:val="22"/>
        </w:rPr>
        <w:t>.</w:t>
      </w:r>
    </w:p>
    <w:p w14:paraId="0F32F0BC" w14:textId="77777777" w:rsidR="00DD084B" w:rsidRPr="00CE14BB" w:rsidRDefault="00DD084B" w:rsidP="00DD084B">
      <w:pPr>
        <w:keepNext/>
        <w:spacing w:before="240"/>
        <w:jc w:val="both"/>
        <w:rPr>
          <w:b/>
          <w:sz w:val="22"/>
          <w:szCs w:val="22"/>
        </w:rPr>
      </w:pPr>
      <w:r>
        <w:rPr>
          <w:sz w:val="22"/>
          <w:szCs w:val="22"/>
        </w:rPr>
        <w:t>Changes to any existing IMT identifications are not within the scope of this agenda item.</w:t>
      </w:r>
    </w:p>
    <w:p w14:paraId="304A08A8" w14:textId="77777777" w:rsidR="00DD084B" w:rsidRPr="008D3FFD" w:rsidRDefault="00DD084B" w:rsidP="00DD084B">
      <w:pPr>
        <w:pBdr>
          <w:bottom w:val="single" w:sz="12" w:space="1" w:color="auto"/>
        </w:pBdr>
        <w:tabs>
          <w:tab w:val="left" w:pos="794"/>
          <w:tab w:val="left" w:pos="1191"/>
          <w:tab w:val="left" w:pos="1588"/>
          <w:tab w:val="left" w:pos="1985"/>
        </w:tabs>
        <w:jc w:val="both"/>
        <w:rPr>
          <w:rFonts w:eastAsia="Calibri"/>
          <w:color w:val="000000"/>
          <w:sz w:val="22"/>
          <w:szCs w:val="22"/>
        </w:rPr>
      </w:pPr>
    </w:p>
    <w:p w14:paraId="233AE864" w14:textId="77777777" w:rsidR="00DD084B" w:rsidRPr="008D3FFD" w:rsidRDefault="00DD084B" w:rsidP="00DD084B">
      <w:pPr>
        <w:jc w:val="both"/>
        <w:rPr>
          <w:rFonts w:eastAsia="Calibri"/>
          <w:b/>
          <w:bCs/>
          <w:i/>
          <w:iCs/>
          <w:sz w:val="22"/>
          <w:szCs w:val="22"/>
        </w:rPr>
      </w:pPr>
      <w:r w:rsidRPr="008D3FFD">
        <w:rPr>
          <w:rFonts w:eastAsia="Calibri"/>
          <w:b/>
          <w:bCs/>
          <w:i/>
          <w:iCs/>
          <w:sz w:val="22"/>
          <w:szCs w:val="22"/>
        </w:rPr>
        <w:t xml:space="preserve">Radiocommunication services concerned: </w:t>
      </w:r>
    </w:p>
    <w:p w14:paraId="25F20DDF" w14:textId="77777777" w:rsidR="00DD084B" w:rsidRPr="008D3FFD" w:rsidRDefault="00DD084B" w:rsidP="00DD084B">
      <w:pPr>
        <w:jc w:val="both"/>
        <w:rPr>
          <w:rFonts w:ascii="TimesNewRomanPSMT" w:eastAsia="Calibri" w:hAnsi="TimesNewRomanPSMT" w:cs="TimesNewRomanPSMT"/>
          <w:sz w:val="22"/>
          <w:szCs w:val="22"/>
        </w:rPr>
      </w:pPr>
      <w:r w:rsidRPr="003129CD">
        <w:rPr>
          <w:rFonts w:ascii="TimesNewRomanPSMT" w:eastAsia="Calibri" w:hAnsi="TimesNewRomanPSMT" w:cs="TimesNewRomanPSMT"/>
          <w:sz w:val="22"/>
          <w:szCs w:val="22"/>
        </w:rPr>
        <w:t xml:space="preserve">Broadcasting, </w:t>
      </w:r>
      <w:r>
        <w:rPr>
          <w:rFonts w:ascii="TimesNewRomanPSMT" w:eastAsia="Calibri" w:hAnsi="TimesNewRomanPSMT" w:cs="TimesNewRomanPSMT"/>
          <w:sz w:val="22"/>
          <w:szCs w:val="22"/>
        </w:rPr>
        <w:t xml:space="preserve">Broadcasting-Satellite, </w:t>
      </w:r>
      <w:r w:rsidRPr="003129CD">
        <w:rPr>
          <w:rFonts w:ascii="TimesNewRomanPSMT" w:eastAsia="Calibri" w:hAnsi="TimesNewRomanPSMT" w:cs="TimesNewRomanPSMT"/>
          <w:sz w:val="22"/>
          <w:szCs w:val="22"/>
        </w:rPr>
        <w:t xml:space="preserve">Fixed, </w:t>
      </w:r>
      <w:r>
        <w:rPr>
          <w:rFonts w:ascii="TimesNewRomanPSMT" w:eastAsia="Calibri" w:hAnsi="TimesNewRomanPSMT" w:cs="TimesNewRomanPSMT"/>
          <w:sz w:val="22"/>
          <w:szCs w:val="22"/>
        </w:rPr>
        <w:t xml:space="preserve">Fixed-Satellite, </w:t>
      </w:r>
      <w:r w:rsidRPr="003129CD">
        <w:rPr>
          <w:rFonts w:ascii="TimesNewRomanPSMT" w:eastAsia="Calibri" w:hAnsi="TimesNewRomanPSMT" w:cs="TimesNewRomanPSMT"/>
          <w:sz w:val="22"/>
          <w:szCs w:val="22"/>
        </w:rPr>
        <w:t>Mobile, Mobile</w:t>
      </w:r>
      <w:r>
        <w:rPr>
          <w:rFonts w:ascii="TimesNewRomanPSMT" w:eastAsia="Calibri" w:hAnsi="TimesNewRomanPSMT" w:cs="TimesNewRomanPSMT"/>
          <w:sz w:val="22"/>
          <w:szCs w:val="22"/>
        </w:rPr>
        <w:t>-</w:t>
      </w:r>
      <w:r w:rsidRPr="003129CD">
        <w:rPr>
          <w:rFonts w:ascii="TimesNewRomanPSMT" w:eastAsia="Calibri" w:hAnsi="TimesNewRomanPSMT" w:cs="TimesNewRomanPSMT"/>
          <w:sz w:val="22"/>
          <w:szCs w:val="22"/>
        </w:rPr>
        <w:t xml:space="preserve">Satellite, </w:t>
      </w:r>
      <w:r>
        <w:rPr>
          <w:rFonts w:ascii="TimesNewRomanPSMT" w:eastAsia="Calibri" w:hAnsi="TimesNewRomanPSMT" w:cs="TimesNewRomanPSMT"/>
          <w:sz w:val="22"/>
          <w:szCs w:val="22"/>
        </w:rPr>
        <w:t>and Radiolocation.</w:t>
      </w:r>
    </w:p>
    <w:p w14:paraId="520AF56C" w14:textId="77777777" w:rsidR="00DD084B" w:rsidRPr="008D3FFD" w:rsidRDefault="00DD084B" w:rsidP="00DD084B">
      <w:pPr>
        <w:pBdr>
          <w:bottom w:val="single" w:sz="12" w:space="1" w:color="auto"/>
        </w:pBdr>
        <w:tabs>
          <w:tab w:val="left" w:pos="794"/>
          <w:tab w:val="left" w:pos="1191"/>
          <w:tab w:val="left" w:pos="1588"/>
          <w:tab w:val="left" w:pos="1985"/>
        </w:tabs>
        <w:jc w:val="both"/>
        <w:rPr>
          <w:rFonts w:eastAsia="Calibri"/>
          <w:color w:val="000000"/>
          <w:sz w:val="22"/>
          <w:szCs w:val="22"/>
        </w:rPr>
      </w:pPr>
    </w:p>
    <w:p w14:paraId="0976046C" w14:textId="39469092" w:rsidR="00DD084B" w:rsidRPr="008D3FFD" w:rsidRDefault="00DD084B" w:rsidP="00DD084B">
      <w:pPr>
        <w:jc w:val="both"/>
        <w:rPr>
          <w:rFonts w:eastAsia="Calibri"/>
          <w:color w:val="000000"/>
          <w:sz w:val="22"/>
          <w:szCs w:val="22"/>
        </w:rPr>
      </w:pPr>
      <w:r w:rsidRPr="008D3FFD">
        <w:rPr>
          <w:rFonts w:eastAsia="Calibri"/>
          <w:b/>
          <w:bCs/>
          <w:i/>
          <w:iCs/>
          <w:sz w:val="22"/>
          <w:szCs w:val="22"/>
        </w:rPr>
        <w:t xml:space="preserve">Indication of possible difficulties: </w:t>
      </w:r>
      <w:r>
        <w:rPr>
          <w:rFonts w:ascii="TimesNewRomanPSMT" w:eastAsia="Calibri" w:hAnsi="TimesNewRomanPSMT" w:cs="TimesNewRomanPSMT"/>
          <w:sz w:val="22"/>
          <w:szCs w:val="22"/>
        </w:rPr>
        <w:t xml:space="preserve">The proposed bands are widely used for terrestrial and space services, although they are already identified for IMT, </w:t>
      </w:r>
      <w:r>
        <w:rPr>
          <w:sz w:val="22"/>
          <w:szCs w:val="22"/>
        </w:rPr>
        <w:t>on a global or regional level,</w:t>
      </w:r>
      <w:r>
        <w:rPr>
          <w:rFonts w:ascii="TimesNewRomanPSMT" w:eastAsia="Calibri" w:hAnsi="TimesNewRomanPSMT" w:cs="TimesNewRomanPSMT"/>
          <w:sz w:val="22"/>
          <w:szCs w:val="22"/>
        </w:rPr>
        <w:t xml:space="preserve"> with which compatibility has already been agreed.  The possible identifications of </w:t>
      </w:r>
      <w:r>
        <w:rPr>
          <w:sz w:val="22"/>
          <w:szCs w:val="22"/>
        </w:rPr>
        <w:t xml:space="preserve">high-altitude IMT base stations would result in separate regulatory procedural considerations than those for existing IMT identifications. </w:t>
      </w:r>
    </w:p>
    <w:p w14:paraId="0F94464E" w14:textId="2D57FB46" w:rsidR="00DD084B" w:rsidRPr="008D3FFD" w:rsidRDefault="00DD084B" w:rsidP="00DD084B">
      <w:pPr>
        <w:jc w:val="both"/>
        <w:rPr>
          <w:rFonts w:ascii="TimesNewRomanPSMT" w:eastAsia="Calibri" w:hAnsi="TimesNewRomanPSMT" w:cs="TimesNewRomanPSMT"/>
          <w:sz w:val="22"/>
          <w:szCs w:val="22"/>
        </w:rPr>
      </w:pPr>
      <w:r w:rsidRPr="008D3FFD">
        <w:rPr>
          <w:rFonts w:eastAsia="Calibri"/>
          <w:b/>
          <w:bCs/>
          <w:i/>
          <w:iCs/>
          <w:sz w:val="22"/>
          <w:szCs w:val="22"/>
        </w:rPr>
        <w:t xml:space="preserve">Previous/ongoing studies on the issue: </w:t>
      </w:r>
      <w:r w:rsidRPr="008D3FFD">
        <w:rPr>
          <w:rFonts w:ascii="TimesNewRomanPSMT" w:eastAsia="Calibri" w:hAnsi="TimesNewRomanPSMT" w:cs="TimesNewRomanPSMT"/>
          <w:sz w:val="22"/>
          <w:szCs w:val="22"/>
        </w:rPr>
        <w:t>Studies have been ongoing in</w:t>
      </w:r>
      <w:r>
        <w:rPr>
          <w:rFonts w:ascii="TimesNewRomanPSMT" w:eastAsia="Calibri" w:hAnsi="TimesNewRomanPSMT" w:cs="TimesNewRomanPSMT"/>
          <w:sz w:val="22"/>
          <w:szCs w:val="22"/>
        </w:rPr>
        <w:t xml:space="preserve"> ITU-R Working Party 5D on co-channel sharing analysis for high-altitude IMT base stations considering IMT-Advanced, in accordance with No.</w:t>
      </w:r>
      <w:r w:rsidR="005E4F56">
        <w:rPr>
          <w:rFonts w:ascii="TimesNewRomanPSMT" w:eastAsia="Calibri" w:hAnsi="TimesNewRomanPSMT" w:cs="TimesNewRomanPSMT"/>
          <w:sz w:val="22"/>
          <w:szCs w:val="22"/>
        </w:rPr>
        <w:t> </w:t>
      </w:r>
      <w:r w:rsidRPr="00F954EE">
        <w:rPr>
          <w:rFonts w:ascii="TimesNewRomanPSMT" w:eastAsia="Calibri" w:hAnsi="TimesNewRomanPSMT" w:cs="TimesNewRomanPSMT"/>
          <w:b/>
          <w:sz w:val="22"/>
          <w:szCs w:val="22"/>
        </w:rPr>
        <w:t>5.338A</w:t>
      </w:r>
      <w:r>
        <w:rPr>
          <w:rFonts w:ascii="TimesNewRomanPSMT" w:eastAsia="Calibri" w:hAnsi="TimesNewRomanPSMT" w:cs="TimesNewRomanPSMT"/>
          <w:sz w:val="22"/>
          <w:szCs w:val="22"/>
        </w:rPr>
        <w:t xml:space="preserve">. </w:t>
      </w:r>
      <w:r w:rsidRPr="003129CD">
        <w:rPr>
          <w:rFonts w:ascii="TimesNewRomanPSMT" w:eastAsia="Calibri" w:hAnsi="TimesNewRomanPSMT" w:cs="TimesNewRomanPSMT"/>
          <w:sz w:val="22"/>
          <w:szCs w:val="22"/>
        </w:rPr>
        <w:t>Recommendation</w:t>
      </w:r>
      <w:r>
        <w:rPr>
          <w:rFonts w:ascii="TimesNewRomanPSMT" w:eastAsia="Calibri" w:hAnsi="TimesNewRomanPSMT" w:cs="TimesNewRomanPSMT"/>
          <w:sz w:val="22"/>
          <w:szCs w:val="22"/>
        </w:rPr>
        <w:t>s</w:t>
      </w:r>
      <w:r w:rsidRPr="003129CD">
        <w:rPr>
          <w:rFonts w:ascii="TimesNewRomanPSMT" w:eastAsia="Calibri" w:hAnsi="TimesNewRomanPSMT" w:cs="TimesNewRomanPSMT"/>
          <w:sz w:val="22"/>
          <w:szCs w:val="22"/>
        </w:rPr>
        <w:t xml:space="preserve"> ITU-R M.1456 and M.1641 provide </w:t>
      </w:r>
      <w:r>
        <w:rPr>
          <w:rFonts w:ascii="TimesNewRomanPSMT" w:eastAsia="Calibri" w:hAnsi="TimesNewRomanPSMT" w:cs="TimesNewRomanPSMT"/>
          <w:sz w:val="22"/>
          <w:szCs w:val="22"/>
        </w:rPr>
        <w:t xml:space="preserve">technical </w:t>
      </w:r>
      <w:r w:rsidRPr="003129CD">
        <w:rPr>
          <w:rFonts w:ascii="TimesNewRomanPSMT" w:eastAsia="Calibri" w:hAnsi="TimesNewRomanPSMT" w:cs="TimesNewRomanPSMT"/>
          <w:sz w:val="22"/>
          <w:szCs w:val="22"/>
        </w:rPr>
        <w:t xml:space="preserve">requirements and </w:t>
      </w:r>
      <w:r>
        <w:rPr>
          <w:rFonts w:ascii="TimesNewRomanPSMT" w:eastAsia="Calibri" w:hAnsi="TimesNewRomanPSMT" w:cs="TimesNewRomanPSMT"/>
          <w:sz w:val="22"/>
          <w:szCs w:val="22"/>
        </w:rPr>
        <w:t xml:space="preserve">methodology for </w:t>
      </w:r>
      <w:r w:rsidRPr="003129CD">
        <w:rPr>
          <w:rFonts w:ascii="TimesNewRomanPSMT" w:eastAsia="Calibri" w:hAnsi="TimesNewRomanPSMT" w:cs="TimesNewRomanPSMT"/>
          <w:sz w:val="22"/>
          <w:szCs w:val="22"/>
        </w:rPr>
        <w:t>studies on the</w:t>
      </w:r>
      <w:r>
        <w:rPr>
          <w:rFonts w:ascii="TimesNewRomanPSMT" w:eastAsia="Calibri" w:hAnsi="TimesNewRomanPSMT" w:cs="TimesNewRomanPSMT"/>
          <w:sz w:val="22"/>
          <w:szCs w:val="22"/>
        </w:rPr>
        <w:t xml:space="preserve"> use of high-altitude IMT base stations in the bands</w:t>
      </w:r>
      <w:r w:rsidRPr="003129CD">
        <w:rPr>
          <w:rFonts w:ascii="TimesNewRomanPSMT" w:eastAsia="Calibri" w:hAnsi="TimesNewRomanPSMT" w:cs="TimesNewRomanPSMT"/>
          <w:sz w:val="22"/>
          <w:szCs w:val="22"/>
        </w:rPr>
        <w:t xml:space="preserve"> around 1.9/2.1 GHz</w:t>
      </w:r>
      <w:r w:rsidRPr="008D3FFD">
        <w:rPr>
          <w:rFonts w:ascii="TimesNewRomanPSMT" w:eastAsia="Calibri" w:hAnsi="TimesNewRomanPSMT" w:cs="TimesNewRomanPSMT"/>
          <w:sz w:val="22"/>
          <w:szCs w:val="22"/>
        </w:rPr>
        <w:t>.</w:t>
      </w:r>
    </w:p>
    <w:p w14:paraId="4659D21D" w14:textId="77777777" w:rsidR="00DD084B" w:rsidRPr="008D3FFD" w:rsidRDefault="00DD084B" w:rsidP="00DD084B">
      <w:pPr>
        <w:pBdr>
          <w:bottom w:val="single" w:sz="12" w:space="1" w:color="auto"/>
        </w:pBdr>
        <w:tabs>
          <w:tab w:val="left" w:pos="794"/>
          <w:tab w:val="left" w:pos="1191"/>
          <w:tab w:val="left" w:pos="1588"/>
          <w:tab w:val="left" w:pos="1985"/>
        </w:tabs>
        <w:jc w:val="both"/>
        <w:rPr>
          <w:rFonts w:eastAsia="Calibri"/>
          <w:color w:val="000000"/>
          <w:sz w:val="22"/>
          <w:szCs w:val="22"/>
        </w:rPr>
      </w:pPr>
    </w:p>
    <w:tbl>
      <w:tblPr>
        <w:tblW w:w="0" w:type="auto"/>
        <w:tblBorders>
          <w:bottom w:val="single" w:sz="12" w:space="0" w:color="auto"/>
          <w:insideH w:val="single" w:sz="12" w:space="0" w:color="auto"/>
          <w:insideV w:val="single" w:sz="12" w:space="0" w:color="auto"/>
        </w:tblBorders>
        <w:tblCellMar>
          <w:left w:w="0" w:type="dxa"/>
          <w:right w:w="0" w:type="dxa"/>
        </w:tblCellMar>
        <w:tblLook w:val="04A0" w:firstRow="1" w:lastRow="0" w:firstColumn="1" w:lastColumn="0" w:noHBand="0" w:noVBand="1"/>
      </w:tblPr>
      <w:tblGrid>
        <w:gridCol w:w="3979"/>
        <w:gridCol w:w="5357"/>
      </w:tblGrid>
      <w:tr w:rsidR="00DD084B" w:rsidRPr="008D3FFD" w14:paraId="41EFFE7A" w14:textId="77777777" w:rsidTr="001E27D0">
        <w:tc>
          <w:tcPr>
            <w:tcW w:w="3979" w:type="dxa"/>
            <w:tcBorders>
              <w:top w:val="nil"/>
              <w:left w:val="nil"/>
              <w:bottom w:val="single" w:sz="12" w:space="0" w:color="auto"/>
              <w:right w:val="single" w:sz="12" w:space="0" w:color="auto"/>
            </w:tcBorders>
            <w:hideMark/>
          </w:tcPr>
          <w:p w14:paraId="7EDE69B7" w14:textId="77777777" w:rsidR="00DD084B" w:rsidRDefault="00DD084B" w:rsidP="001E27D0">
            <w:pPr>
              <w:framePr w:hSpace="181" w:wrap="notBeside" w:vAnchor="text" w:hAnchor="text" w:xAlign="center" w:y="1"/>
              <w:tabs>
                <w:tab w:val="left" w:pos="4366"/>
              </w:tabs>
              <w:rPr>
                <w:rFonts w:eastAsia="Calibri"/>
                <w:b/>
                <w:bCs/>
                <w:i/>
                <w:iCs/>
                <w:color w:val="000000"/>
                <w:sz w:val="22"/>
                <w:szCs w:val="22"/>
              </w:rPr>
            </w:pPr>
            <w:r w:rsidRPr="008D3FFD">
              <w:rPr>
                <w:rFonts w:eastAsia="Calibri"/>
                <w:b/>
                <w:i/>
                <w:color w:val="000000"/>
                <w:sz w:val="22"/>
                <w:szCs w:val="22"/>
              </w:rPr>
              <w:t>Studies to be carried out by</w:t>
            </w:r>
            <w:r w:rsidRPr="008D3FFD">
              <w:rPr>
                <w:rFonts w:eastAsia="Calibri"/>
                <w:b/>
                <w:bCs/>
                <w:i/>
                <w:iCs/>
                <w:color w:val="000000"/>
                <w:sz w:val="22"/>
                <w:szCs w:val="22"/>
              </w:rPr>
              <w:t xml:space="preserve">: </w:t>
            </w:r>
          </w:p>
          <w:p w14:paraId="358A80C0" w14:textId="77777777" w:rsidR="00DD084B" w:rsidRPr="008D3FFD" w:rsidRDefault="00DD084B" w:rsidP="001E27D0">
            <w:pPr>
              <w:framePr w:hSpace="181" w:wrap="notBeside" w:vAnchor="text" w:hAnchor="text" w:xAlign="center" w:y="1"/>
              <w:tabs>
                <w:tab w:val="left" w:pos="4366"/>
              </w:tabs>
              <w:rPr>
                <w:rFonts w:eastAsia="Calibri"/>
                <w:bCs/>
                <w:iCs/>
                <w:color w:val="000000"/>
                <w:sz w:val="22"/>
                <w:szCs w:val="22"/>
              </w:rPr>
            </w:pPr>
            <w:r w:rsidRPr="008D3FFD">
              <w:rPr>
                <w:rFonts w:eastAsia="Calibri"/>
                <w:bCs/>
                <w:iCs/>
                <w:color w:val="000000"/>
                <w:sz w:val="22"/>
                <w:szCs w:val="22"/>
              </w:rPr>
              <w:t xml:space="preserve">ITU-R </w:t>
            </w:r>
            <w:r>
              <w:rPr>
                <w:rFonts w:eastAsia="Calibri"/>
                <w:bCs/>
                <w:iCs/>
                <w:color w:val="000000"/>
                <w:sz w:val="22"/>
                <w:szCs w:val="22"/>
              </w:rPr>
              <w:t>Working Party 5D</w:t>
            </w:r>
          </w:p>
          <w:p w14:paraId="1D7A158D" w14:textId="77777777" w:rsidR="00DD084B" w:rsidRPr="008D3FFD" w:rsidRDefault="00DD084B" w:rsidP="001E27D0">
            <w:pPr>
              <w:framePr w:hSpace="181" w:wrap="notBeside" w:vAnchor="text" w:hAnchor="text" w:xAlign="center" w:y="1"/>
              <w:tabs>
                <w:tab w:val="left" w:pos="4366"/>
              </w:tabs>
              <w:rPr>
                <w:rFonts w:eastAsia="Calibri"/>
                <w:b/>
                <w:bCs/>
                <w:i/>
                <w:iCs/>
                <w:color w:val="000000"/>
                <w:sz w:val="22"/>
                <w:szCs w:val="22"/>
              </w:rPr>
            </w:pPr>
          </w:p>
        </w:tc>
        <w:tc>
          <w:tcPr>
            <w:tcW w:w="5357" w:type="dxa"/>
            <w:tcBorders>
              <w:top w:val="nil"/>
              <w:left w:val="single" w:sz="12" w:space="0" w:color="auto"/>
              <w:bottom w:val="single" w:sz="12" w:space="0" w:color="auto"/>
              <w:right w:val="nil"/>
            </w:tcBorders>
          </w:tcPr>
          <w:p w14:paraId="6F9986DB" w14:textId="77777777" w:rsidR="00DD084B" w:rsidRPr="009A30DC" w:rsidRDefault="00DD084B" w:rsidP="001E27D0">
            <w:pPr>
              <w:framePr w:hSpace="181" w:wrap="notBeside" w:vAnchor="text" w:hAnchor="text" w:xAlign="center" w:y="1"/>
              <w:tabs>
                <w:tab w:val="left" w:pos="360"/>
                <w:tab w:val="left" w:pos="900"/>
                <w:tab w:val="left" w:pos="4366"/>
              </w:tabs>
              <w:ind w:left="113"/>
              <w:rPr>
                <w:rFonts w:eastAsia="Calibri"/>
                <w:b/>
                <w:bCs/>
                <w:i/>
                <w:color w:val="000000"/>
                <w:sz w:val="22"/>
                <w:szCs w:val="22"/>
              </w:rPr>
            </w:pPr>
            <w:r w:rsidRPr="009A30DC">
              <w:rPr>
                <w:rFonts w:eastAsia="Calibri"/>
                <w:b/>
                <w:bCs/>
                <w:i/>
                <w:color w:val="000000"/>
                <w:sz w:val="22"/>
                <w:szCs w:val="22"/>
              </w:rPr>
              <w:t xml:space="preserve">with the participation of: </w:t>
            </w:r>
          </w:p>
          <w:p w14:paraId="6FD76815" w14:textId="77777777" w:rsidR="00DD084B" w:rsidRPr="008D3FFD" w:rsidRDefault="00DD084B" w:rsidP="001E27D0">
            <w:pPr>
              <w:framePr w:hSpace="181" w:wrap="notBeside" w:vAnchor="text" w:hAnchor="text" w:xAlign="center" w:y="1"/>
              <w:tabs>
                <w:tab w:val="left" w:pos="360"/>
                <w:tab w:val="left" w:pos="900"/>
                <w:tab w:val="left" w:pos="4366"/>
              </w:tabs>
              <w:ind w:left="113"/>
              <w:rPr>
                <w:rFonts w:eastAsia="Calibri"/>
                <w:iCs/>
                <w:color w:val="000000"/>
                <w:sz w:val="22"/>
                <w:szCs w:val="22"/>
              </w:rPr>
            </w:pPr>
            <w:r>
              <w:rPr>
                <w:rFonts w:eastAsia="Calibri"/>
                <w:bCs/>
                <w:color w:val="000000"/>
                <w:sz w:val="22"/>
                <w:szCs w:val="22"/>
              </w:rPr>
              <w:t>ITU-R membership</w:t>
            </w:r>
            <w:r w:rsidRPr="008D3FFD">
              <w:rPr>
                <w:rFonts w:eastAsia="Calibri"/>
                <w:bCs/>
                <w:color w:val="000000"/>
                <w:sz w:val="22"/>
                <w:szCs w:val="22"/>
              </w:rPr>
              <w:t xml:space="preserve">   </w:t>
            </w:r>
            <w:r w:rsidRPr="008D3FFD">
              <w:rPr>
                <w:rFonts w:eastAsia="Calibri"/>
                <w:i/>
                <w:iCs/>
                <w:color w:val="000000"/>
                <w:sz w:val="22"/>
                <w:szCs w:val="22"/>
              </w:rPr>
              <w:t xml:space="preserve"> </w:t>
            </w:r>
          </w:p>
          <w:p w14:paraId="35C0D674" w14:textId="77777777" w:rsidR="00DD084B" w:rsidRPr="008D3FFD" w:rsidRDefault="00DD084B" w:rsidP="001E27D0">
            <w:pPr>
              <w:framePr w:hSpace="181" w:wrap="notBeside" w:vAnchor="text" w:hAnchor="text" w:xAlign="center" w:y="1"/>
              <w:tabs>
                <w:tab w:val="left" w:pos="360"/>
                <w:tab w:val="left" w:pos="900"/>
                <w:tab w:val="left" w:pos="4366"/>
              </w:tabs>
              <w:ind w:left="113"/>
              <w:rPr>
                <w:rFonts w:eastAsia="Calibri"/>
                <w:b/>
                <w:bCs/>
                <w:iCs/>
                <w:color w:val="000000"/>
                <w:sz w:val="22"/>
                <w:szCs w:val="22"/>
              </w:rPr>
            </w:pPr>
          </w:p>
        </w:tc>
      </w:tr>
    </w:tbl>
    <w:p w14:paraId="2F025C19" w14:textId="77777777" w:rsidR="00DD084B" w:rsidRDefault="00DD084B" w:rsidP="00DD084B">
      <w:pPr>
        <w:rPr>
          <w:rFonts w:eastAsia="Calibri"/>
          <w:b/>
          <w:bCs/>
          <w:i/>
          <w:iCs/>
          <w:sz w:val="22"/>
          <w:szCs w:val="22"/>
        </w:rPr>
      </w:pPr>
      <w:r w:rsidRPr="008D3FFD">
        <w:rPr>
          <w:rFonts w:eastAsia="Calibri"/>
          <w:b/>
          <w:bCs/>
          <w:i/>
          <w:iCs/>
          <w:sz w:val="22"/>
          <w:szCs w:val="22"/>
        </w:rPr>
        <w:t xml:space="preserve">ITU-R Study Groups concerned: </w:t>
      </w:r>
    </w:p>
    <w:p w14:paraId="0893F364" w14:textId="77777777" w:rsidR="00DD084B" w:rsidRPr="008D3FFD" w:rsidRDefault="00DD084B" w:rsidP="00DD084B">
      <w:pPr>
        <w:rPr>
          <w:rFonts w:ascii="TimesNewRomanPSMT" w:eastAsia="Calibri" w:hAnsi="TimesNewRomanPSMT" w:cs="TimesNewRomanPSMT"/>
          <w:sz w:val="22"/>
          <w:szCs w:val="22"/>
        </w:rPr>
      </w:pPr>
      <w:r>
        <w:rPr>
          <w:rFonts w:ascii="TimesNewRomanPSMT" w:eastAsia="Calibri" w:hAnsi="TimesNewRomanPSMT" w:cs="TimesNewRomanPSMT"/>
          <w:sz w:val="22"/>
          <w:szCs w:val="22"/>
        </w:rPr>
        <w:t>ITU-R Study Groups 4, 5, and 6</w:t>
      </w:r>
      <w:r w:rsidRPr="008D3FFD">
        <w:rPr>
          <w:rFonts w:ascii="TimesNewRomanPSMT" w:eastAsia="Calibri" w:hAnsi="TimesNewRomanPSMT" w:cs="TimesNewRomanPSMT"/>
          <w:sz w:val="22"/>
          <w:szCs w:val="22"/>
        </w:rPr>
        <w:t xml:space="preserve"> </w:t>
      </w:r>
    </w:p>
    <w:p w14:paraId="2EED01AB" w14:textId="77777777" w:rsidR="00DD084B" w:rsidRPr="008D3FFD" w:rsidRDefault="00DD084B" w:rsidP="00DD084B">
      <w:pPr>
        <w:pBdr>
          <w:bottom w:val="single" w:sz="12" w:space="1" w:color="auto"/>
        </w:pBdr>
        <w:tabs>
          <w:tab w:val="left" w:pos="794"/>
          <w:tab w:val="left" w:pos="1191"/>
          <w:tab w:val="left" w:pos="1588"/>
          <w:tab w:val="left" w:pos="1985"/>
        </w:tabs>
        <w:rPr>
          <w:rFonts w:eastAsia="Calibri"/>
          <w:color w:val="000000"/>
          <w:sz w:val="22"/>
          <w:szCs w:val="22"/>
        </w:rPr>
      </w:pPr>
    </w:p>
    <w:p w14:paraId="5565DBC1" w14:textId="6324FF0A" w:rsidR="00DD084B" w:rsidRPr="008D3FFD" w:rsidRDefault="00DD084B" w:rsidP="00DD084B">
      <w:pPr>
        <w:jc w:val="both"/>
        <w:rPr>
          <w:rFonts w:ascii="TimesNewRomanPSMT" w:eastAsia="Calibri" w:hAnsi="TimesNewRomanPSMT" w:cs="TimesNewRomanPSMT"/>
          <w:sz w:val="22"/>
          <w:szCs w:val="22"/>
        </w:rPr>
      </w:pPr>
      <w:r w:rsidRPr="008D3FFD">
        <w:rPr>
          <w:rFonts w:eastAsia="Calibri"/>
          <w:b/>
          <w:bCs/>
          <w:i/>
          <w:iCs/>
          <w:sz w:val="22"/>
          <w:szCs w:val="22"/>
        </w:rPr>
        <w:t>ITU resource implications, including financial implications (refer to CV126):</w:t>
      </w:r>
      <w:r w:rsidRPr="008D3FFD">
        <w:rPr>
          <w:rFonts w:ascii="TimesNewRomanPSMT" w:eastAsia="Calibri" w:hAnsi="TimesNewRomanPSMT" w:cs="TimesNewRomanPSMT"/>
          <w:sz w:val="22"/>
          <w:szCs w:val="22"/>
        </w:rPr>
        <w:t xml:space="preserve"> Minimal</w:t>
      </w:r>
      <w:r>
        <w:rPr>
          <w:rFonts w:ascii="TimesNewRomanPSMT" w:eastAsia="Calibri" w:hAnsi="TimesNewRomanPSMT" w:cs="TimesNewRomanPSMT"/>
          <w:sz w:val="22"/>
          <w:szCs w:val="22"/>
        </w:rPr>
        <w:t>, as the proposed agenda item should be studied by ITU-R WP 5D within its existing framework of meetings.</w:t>
      </w:r>
    </w:p>
    <w:p w14:paraId="3FAC64C3" w14:textId="77777777" w:rsidR="00DD084B" w:rsidRPr="008D3FFD" w:rsidRDefault="00DD084B" w:rsidP="00DD084B">
      <w:pPr>
        <w:pBdr>
          <w:bottom w:val="single" w:sz="12" w:space="1" w:color="auto"/>
        </w:pBdr>
        <w:tabs>
          <w:tab w:val="left" w:pos="794"/>
          <w:tab w:val="left" w:pos="1191"/>
          <w:tab w:val="left" w:pos="1588"/>
          <w:tab w:val="left" w:pos="1985"/>
        </w:tabs>
        <w:rPr>
          <w:rFonts w:eastAsia="Calibri"/>
          <w:color w:val="000000"/>
          <w:sz w:val="22"/>
          <w:szCs w:val="22"/>
        </w:rPr>
      </w:pPr>
    </w:p>
    <w:p w14:paraId="53A26B06" w14:textId="77777777" w:rsidR="00DD084B" w:rsidRPr="008D3FFD" w:rsidRDefault="00DD084B" w:rsidP="00DD084B">
      <w:pPr>
        <w:rPr>
          <w:rFonts w:ascii="TimesNewRomanPSMT" w:eastAsia="Calibri" w:hAnsi="TimesNewRomanPSMT" w:cs="TimesNewRomanPSMT"/>
          <w:sz w:val="22"/>
          <w:szCs w:val="22"/>
        </w:rPr>
      </w:pPr>
      <w:r w:rsidRPr="008D3FFD">
        <w:rPr>
          <w:rFonts w:eastAsia="Calibri"/>
          <w:b/>
          <w:bCs/>
          <w:i/>
          <w:iCs/>
          <w:sz w:val="22"/>
          <w:szCs w:val="22"/>
        </w:rPr>
        <w:t xml:space="preserve">Common regional proposal: </w:t>
      </w:r>
      <w:r>
        <w:rPr>
          <w:rFonts w:eastAsia="Calibri"/>
          <w:bCs/>
          <w:iCs/>
          <w:sz w:val="22"/>
          <w:szCs w:val="22"/>
        </w:rPr>
        <w:t>[</w:t>
      </w:r>
      <w:r w:rsidRPr="008D3FFD">
        <w:rPr>
          <w:rFonts w:ascii="TimesNewRomanPSMT" w:eastAsia="Calibri" w:hAnsi="TimesNewRomanPSMT" w:cs="TimesNewRomanPSMT"/>
          <w:sz w:val="22"/>
          <w:szCs w:val="22"/>
        </w:rPr>
        <w:t>Yes</w:t>
      </w:r>
      <w:r>
        <w:rPr>
          <w:rFonts w:ascii="TimesNewRomanPSMT" w:eastAsia="Calibri" w:hAnsi="TimesNewRomanPSMT" w:cs="TimesNewRomanPSMT"/>
          <w:sz w:val="22"/>
          <w:szCs w:val="22"/>
        </w:rPr>
        <w:t>/No]</w:t>
      </w:r>
      <w:r w:rsidRPr="008D3FFD">
        <w:rPr>
          <w:rFonts w:ascii="TimesNewRomanPSMT" w:eastAsia="Calibri" w:hAnsi="TimesNewRomanPSMT" w:cs="TimesNewRomanPSMT"/>
          <w:sz w:val="22"/>
          <w:szCs w:val="22"/>
        </w:rPr>
        <w:t xml:space="preserve"> </w:t>
      </w:r>
      <w:r w:rsidRPr="008D3FFD">
        <w:rPr>
          <w:rFonts w:ascii="TimesNewRomanPSMT" w:eastAsia="Calibri" w:hAnsi="TimesNewRomanPSMT" w:cs="TimesNewRomanPSMT"/>
          <w:sz w:val="22"/>
          <w:szCs w:val="22"/>
        </w:rPr>
        <w:tab/>
      </w:r>
      <w:r w:rsidRPr="008D3FFD">
        <w:rPr>
          <w:rFonts w:ascii="TimesNewRomanPSMT" w:eastAsia="Calibri" w:hAnsi="TimesNewRomanPSMT" w:cs="TimesNewRomanPSMT"/>
          <w:sz w:val="22"/>
          <w:szCs w:val="22"/>
        </w:rPr>
        <w:tab/>
      </w:r>
      <w:proofErr w:type="spellStart"/>
      <w:r w:rsidRPr="008D3FFD">
        <w:rPr>
          <w:rFonts w:eastAsia="Calibri"/>
          <w:b/>
          <w:bCs/>
          <w:i/>
          <w:iCs/>
          <w:sz w:val="22"/>
          <w:szCs w:val="22"/>
        </w:rPr>
        <w:t>Multicountry</w:t>
      </w:r>
      <w:proofErr w:type="spellEnd"/>
      <w:r w:rsidRPr="008D3FFD">
        <w:rPr>
          <w:rFonts w:eastAsia="Calibri"/>
          <w:b/>
          <w:bCs/>
          <w:i/>
          <w:iCs/>
          <w:sz w:val="22"/>
          <w:szCs w:val="22"/>
        </w:rPr>
        <w:t xml:space="preserve"> proposal: </w:t>
      </w:r>
      <w:r>
        <w:rPr>
          <w:rFonts w:eastAsia="Calibri"/>
          <w:bCs/>
          <w:iCs/>
          <w:sz w:val="22"/>
          <w:szCs w:val="22"/>
        </w:rPr>
        <w:t>[</w:t>
      </w:r>
      <w:r w:rsidRPr="008D3FFD">
        <w:rPr>
          <w:rFonts w:ascii="TimesNewRomanPSMT" w:eastAsia="Calibri" w:hAnsi="TimesNewRomanPSMT" w:cs="TimesNewRomanPSMT"/>
          <w:sz w:val="22"/>
          <w:szCs w:val="22"/>
        </w:rPr>
        <w:t>Yes/No</w:t>
      </w:r>
      <w:r>
        <w:rPr>
          <w:rFonts w:ascii="TimesNewRomanPSMT" w:eastAsia="Calibri" w:hAnsi="TimesNewRomanPSMT" w:cs="TimesNewRomanPSMT"/>
          <w:sz w:val="22"/>
          <w:szCs w:val="22"/>
        </w:rPr>
        <w:t>]</w:t>
      </w:r>
    </w:p>
    <w:p w14:paraId="18F0AB62" w14:textId="77777777" w:rsidR="00DD084B" w:rsidRPr="009A30DC" w:rsidRDefault="00DD084B" w:rsidP="00DD084B">
      <w:pPr>
        <w:ind w:left="3528" w:firstLine="720"/>
        <w:rPr>
          <w:rFonts w:ascii="TimesNewRomanPS-ItalicMT" w:eastAsia="Calibri" w:hAnsi="TimesNewRomanPS-ItalicMT" w:cs="TimesNewRomanPS-ItalicMT"/>
          <w:b/>
          <w:i/>
          <w:iCs/>
          <w:sz w:val="22"/>
          <w:szCs w:val="22"/>
        </w:rPr>
      </w:pPr>
      <w:r w:rsidRPr="009A30DC">
        <w:rPr>
          <w:rFonts w:ascii="TimesNewRomanPS-ItalicMT" w:eastAsia="Calibri" w:hAnsi="TimesNewRomanPS-ItalicMT" w:cs="TimesNewRomanPS-ItalicMT"/>
          <w:b/>
          <w:i/>
          <w:iCs/>
          <w:sz w:val="22"/>
          <w:szCs w:val="22"/>
        </w:rPr>
        <w:t>Number of countries:</w:t>
      </w:r>
    </w:p>
    <w:p w14:paraId="63EB9F26" w14:textId="77777777" w:rsidR="00DD084B" w:rsidRPr="008D3FFD" w:rsidRDefault="00DD084B" w:rsidP="00DD084B">
      <w:pPr>
        <w:pBdr>
          <w:bottom w:val="single" w:sz="12" w:space="1" w:color="auto"/>
        </w:pBdr>
        <w:tabs>
          <w:tab w:val="left" w:pos="794"/>
          <w:tab w:val="left" w:pos="1191"/>
          <w:tab w:val="left" w:pos="1588"/>
          <w:tab w:val="left" w:pos="1985"/>
        </w:tabs>
        <w:rPr>
          <w:rFonts w:eastAsia="Calibri"/>
          <w:color w:val="000000"/>
          <w:sz w:val="22"/>
          <w:szCs w:val="22"/>
        </w:rPr>
      </w:pPr>
    </w:p>
    <w:p w14:paraId="614558C2" w14:textId="77777777" w:rsidR="00DD084B" w:rsidRPr="008D3FFD" w:rsidRDefault="00DD084B" w:rsidP="00DD084B">
      <w:pPr>
        <w:rPr>
          <w:rFonts w:eastAsia="Calibri"/>
          <w:sz w:val="22"/>
          <w:szCs w:val="22"/>
        </w:rPr>
      </w:pPr>
      <w:r w:rsidRPr="008D3FFD">
        <w:rPr>
          <w:rFonts w:eastAsia="Calibri"/>
          <w:b/>
          <w:bCs/>
          <w:i/>
          <w:iCs/>
          <w:sz w:val="22"/>
          <w:szCs w:val="22"/>
        </w:rPr>
        <w:t>Remarks</w:t>
      </w:r>
    </w:p>
    <w:p w14:paraId="3C6AF028" w14:textId="77777777" w:rsidR="00DD084B" w:rsidRDefault="00DD084B" w:rsidP="0037598B"/>
    <w:p w14:paraId="6D8BF4A9" w14:textId="77777777" w:rsidR="00DD084B" w:rsidRDefault="00DD084B" w:rsidP="0037598B"/>
    <w:p w14:paraId="2D35F833" w14:textId="77777777" w:rsidR="00B9313A" w:rsidRDefault="00DD084B" w:rsidP="0037598B">
      <w:pPr>
        <w:jc w:val="center"/>
      </w:pPr>
      <w:r>
        <w:t>_______________</w:t>
      </w:r>
    </w:p>
    <w:sectPr w:rsidR="00B9313A" w:rsidSect="0039169B">
      <w:headerReference w:type="default" r:id="rId13"/>
      <w:footerReference w:type="even" r:id="rId14"/>
      <w:footerReference w:type="default" r:id="rId15"/>
      <w:footerReference w:type="first" r:id="rId16"/>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1AA81D" w14:textId="77777777" w:rsidR="00B3660B" w:rsidRDefault="00B3660B">
      <w:r>
        <w:separator/>
      </w:r>
    </w:p>
  </w:endnote>
  <w:endnote w:type="continuationSeparator" w:id="0">
    <w:p w14:paraId="44402994" w14:textId="77777777" w:rsidR="00B3660B" w:rsidRDefault="00B366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PS-BoldMT">
    <w:altName w:val="Times New Roman"/>
    <w:charset w:val="00"/>
    <w:family w:val="auto"/>
    <w:pitch w:val="variable"/>
    <w:sig w:usb0="E0002AEF" w:usb1="C0007841" w:usb2="00000009" w:usb3="00000000" w:csb0="000001FF" w:csb1="00000000"/>
  </w:font>
  <w:font w:name="TimesNewRomanPS-ItalicMT">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7EDE38" w14:textId="77777777" w:rsidR="00E45D05" w:rsidRDefault="00E45D05">
    <w:pPr>
      <w:framePr w:wrap="around" w:vAnchor="text" w:hAnchor="margin" w:xAlign="right" w:y="1"/>
    </w:pPr>
    <w:r>
      <w:fldChar w:fldCharType="begin"/>
    </w:r>
    <w:r>
      <w:instrText xml:space="preserve">PAGE  </w:instrText>
    </w:r>
    <w:r>
      <w:fldChar w:fldCharType="end"/>
    </w:r>
  </w:p>
  <w:p w14:paraId="161FE622" w14:textId="1156E85C"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8A1512">
      <w:rPr>
        <w:noProof/>
        <w:lang w:val="en-US"/>
      </w:rPr>
      <w:t>P:\ENG\ITU-R\CONF-R\CMR19\000\011ADD24ADD02E.docx</w:t>
    </w:r>
    <w:r>
      <w:fldChar w:fldCharType="end"/>
    </w:r>
    <w:r w:rsidRPr="0041348E">
      <w:rPr>
        <w:lang w:val="en-US"/>
      </w:rPr>
      <w:tab/>
    </w:r>
    <w:r>
      <w:fldChar w:fldCharType="begin"/>
    </w:r>
    <w:r>
      <w:instrText xml:space="preserve"> SAVEDATE \@ DD.MM.YY </w:instrText>
    </w:r>
    <w:r>
      <w:fldChar w:fldCharType="separate"/>
    </w:r>
    <w:r w:rsidR="008A1512">
      <w:rPr>
        <w:noProof/>
      </w:rPr>
      <w:t>20.09.19</w:t>
    </w:r>
    <w:r>
      <w:fldChar w:fldCharType="end"/>
    </w:r>
    <w:r w:rsidRPr="0041348E">
      <w:rPr>
        <w:lang w:val="en-US"/>
      </w:rPr>
      <w:tab/>
    </w:r>
    <w:r>
      <w:fldChar w:fldCharType="begin"/>
    </w:r>
    <w:r>
      <w:instrText xml:space="preserve"> PRINTDATE \@ DD.MM.YY </w:instrText>
    </w:r>
    <w:r>
      <w:fldChar w:fldCharType="separate"/>
    </w:r>
    <w:r w:rsidR="008A1512">
      <w:rPr>
        <w:noProof/>
      </w:rPr>
      <w:t>20.09.19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8D29F0" w14:textId="4418D66E" w:rsidR="00E45D05" w:rsidRDefault="00CA7E28" w:rsidP="009B1EA1">
    <w:pPr>
      <w:pStyle w:val="Footer"/>
    </w:pPr>
    <w:r>
      <w:fldChar w:fldCharType="begin"/>
    </w:r>
    <w:r w:rsidRPr="0041348E">
      <w:rPr>
        <w:lang w:val="en-US"/>
      </w:rPr>
      <w:instrText xml:space="preserve"> FILENAME \p  \* MERGEFORMAT </w:instrText>
    </w:r>
    <w:r>
      <w:fldChar w:fldCharType="separate"/>
    </w:r>
    <w:r w:rsidR="008A1512">
      <w:rPr>
        <w:lang w:val="en-US"/>
      </w:rPr>
      <w:t>P:\ENG\ITU-R\CONF-R\CMR19\000\011ADD24ADD02E.docx</w:t>
    </w:r>
    <w:r>
      <w:fldChar w:fldCharType="end"/>
    </w:r>
    <w:r>
      <w:t xml:space="preserve"> (460761)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E261AA" w14:textId="4590C0EC" w:rsidR="00E45D05" w:rsidRPr="0041348E" w:rsidRDefault="00E45D05" w:rsidP="00302605">
    <w:pPr>
      <w:pStyle w:val="Footer"/>
      <w:rPr>
        <w:lang w:val="en-US"/>
      </w:rPr>
    </w:pPr>
    <w:r>
      <w:fldChar w:fldCharType="begin"/>
    </w:r>
    <w:r w:rsidRPr="0041348E">
      <w:rPr>
        <w:lang w:val="en-US"/>
      </w:rPr>
      <w:instrText xml:space="preserve"> FILENAME \p  \* MERGEFORMAT </w:instrText>
    </w:r>
    <w:r>
      <w:fldChar w:fldCharType="separate"/>
    </w:r>
    <w:r w:rsidR="008A1512">
      <w:rPr>
        <w:lang w:val="en-US"/>
      </w:rPr>
      <w:t>P:\ENG\ITU-R\CONF-R\CMR19\000\011ADD24ADD02E.docx</w:t>
    </w:r>
    <w:r>
      <w:fldChar w:fldCharType="end"/>
    </w:r>
    <w:r w:rsidR="00CA7E28">
      <w:t xml:space="preserve"> (460761)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CDCA55" w14:textId="77777777" w:rsidR="00B3660B" w:rsidRDefault="00B3660B">
      <w:r>
        <w:rPr>
          <w:b/>
        </w:rPr>
        <w:t>_______________</w:t>
      </w:r>
    </w:p>
  </w:footnote>
  <w:footnote w:type="continuationSeparator" w:id="0">
    <w:p w14:paraId="0F0C6EF5" w14:textId="77777777" w:rsidR="00B3660B" w:rsidRDefault="00B366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1F8CE5" w14:textId="77777777" w:rsidR="00E45D05" w:rsidRDefault="00A066F1" w:rsidP="00187BD9">
    <w:pPr>
      <w:pStyle w:val="Header"/>
    </w:pPr>
    <w:r>
      <w:fldChar w:fldCharType="begin"/>
    </w:r>
    <w:r>
      <w:instrText xml:space="preserve"> PAGE  \* MERGEFORMAT </w:instrText>
    </w:r>
    <w:r>
      <w:fldChar w:fldCharType="separate"/>
    </w:r>
    <w:r w:rsidR="008A28EC">
      <w:rPr>
        <w:noProof/>
      </w:rPr>
      <w:t>7</w:t>
    </w:r>
    <w:r>
      <w:fldChar w:fldCharType="end"/>
    </w:r>
  </w:p>
  <w:p w14:paraId="166D09BB" w14:textId="77777777" w:rsidR="00A066F1" w:rsidRPr="00A066F1" w:rsidRDefault="00187BD9" w:rsidP="00241FA2">
    <w:pPr>
      <w:pStyle w:val="Header"/>
    </w:pPr>
    <w:r>
      <w:t>CMR1</w:t>
    </w:r>
    <w:r w:rsidR="00202756">
      <w:t>9</w:t>
    </w:r>
    <w:r w:rsidR="00A066F1">
      <w:t>/</w:t>
    </w:r>
    <w:bookmarkStart w:id="11" w:name="OLE_LINK1"/>
    <w:bookmarkStart w:id="12" w:name="OLE_LINK2"/>
    <w:bookmarkStart w:id="13" w:name="OLE_LINK3"/>
    <w:r w:rsidR="00EB55C6">
      <w:t>11(Add.24)(Add.2)</w:t>
    </w:r>
    <w:bookmarkEnd w:id="11"/>
    <w:bookmarkEnd w:id="12"/>
    <w:bookmarkEnd w:id="13"/>
    <w:r>
      <w:t>-</w:t>
    </w:r>
    <w:r w:rsidR="004A26C4" w:rsidRPr="004A26C4">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intFractionalCharacterWidth/>
  <w:embedSystemFont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355FD"/>
    <w:rsid w:val="00040C00"/>
    <w:rsid w:val="00051E39"/>
    <w:rsid w:val="000705F2"/>
    <w:rsid w:val="00077239"/>
    <w:rsid w:val="0007795D"/>
    <w:rsid w:val="00086491"/>
    <w:rsid w:val="00091346"/>
    <w:rsid w:val="0009706C"/>
    <w:rsid w:val="000A47AE"/>
    <w:rsid w:val="000C2987"/>
    <w:rsid w:val="000D154B"/>
    <w:rsid w:val="000D2DAF"/>
    <w:rsid w:val="000E463E"/>
    <w:rsid w:val="000F73FF"/>
    <w:rsid w:val="00114CF7"/>
    <w:rsid w:val="001168C9"/>
    <w:rsid w:val="00116C7A"/>
    <w:rsid w:val="00123B68"/>
    <w:rsid w:val="00126F2E"/>
    <w:rsid w:val="00146F6F"/>
    <w:rsid w:val="00187BD9"/>
    <w:rsid w:val="00190B55"/>
    <w:rsid w:val="001A5C5D"/>
    <w:rsid w:val="001C3B5F"/>
    <w:rsid w:val="001D058F"/>
    <w:rsid w:val="002009EA"/>
    <w:rsid w:val="00202756"/>
    <w:rsid w:val="00202CA0"/>
    <w:rsid w:val="00207C5D"/>
    <w:rsid w:val="00216B6D"/>
    <w:rsid w:val="00221154"/>
    <w:rsid w:val="0023771E"/>
    <w:rsid w:val="00241FA2"/>
    <w:rsid w:val="00271316"/>
    <w:rsid w:val="002727D7"/>
    <w:rsid w:val="002B349C"/>
    <w:rsid w:val="002D58BE"/>
    <w:rsid w:val="002F4747"/>
    <w:rsid w:val="00302605"/>
    <w:rsid w:val="003349A0"/>
    <w:rsid w:val="0035404E"/>
    <w:rsid w:val="00361B37"/>
    <w:rsid w:val="0037598B"/>
    <w:rsid w:val="00377BD3"/>
    <w:rsid w:val="00384088"/>
    <w:rsid w:val="003852CE"/>
    <w:rsid w:val="0039169B"/>
    <w:rsid w:val="003A7F8C"/>
    <w:rsid w:val="003B2284"/>
    <w:rsid w:val="003B532E"/>
    <w:rsid w:val="003D0F8B"/>
    <w:rsid w:val="003E0DB6"/>
    <w:rsid w:val="0041348E"/>
    <w:rsid w:val="00420873"/>
    <w:rsid w:val="00492075"/>
    <w:rsid w:val="004969AD"/>
    <w:rsid w:val="004A26C4"/>
    <w:rsid w:val="004B13CB"/>
    <w:rsid w:val="004D26EA"/>
    <w:rsid w:val="004D2BFB"/>
    <w:rsid w:val="004D5D5C"/>
    <w:rsid w:val="004F3DC0"/>
    <w:rsid w:val="0050139F"/>
    <w:rsid w:val="0055140B"/>
    <w:rsid w:val="005964AB"/>
    <w:rsid w:val="005C099A"/>
    <w:rsid w:val="005C31A5"/>
    <w:rsid w:val="005D61E4"/>
    <w:rsid w:val="005E10C9"/>
    <w:rsid w:val="005E290B"/>
    <w:rsid w:val="005E4F56"/>
    <w:rsid w:val="005E61DD"/>
    <w:rsid w:val="005F04D8"/>
    <w:rsid w:val="006023DF"/>
    <w:rsid w:val="00615426"/>
    <w:rsid w:val="00616219"/>
    <w:rsid w:val="00645B7D"/>
    <w:rsid w:val="00657DE0"/>
    <w:rsid w:val="00685313"/>
    <w:rsid w:val="00692833"/>
    <w:rsid w:val="006A6E9B"/>
    <w:rsid w:val="006B7C2A"/>
    <w:rsid w:val="006C23DA"/>
    <w:rsid w:val="006E3D45"/>
    <w:rsid w:val="0070607A"/>
    <w:rsid w:val="007149F9"/>
    <w:rsid w:val="00733A30"/>
    <w:rsid w:val="00745AEE"/>
    <w:rsid w:val="00750F10"/>
    <w:rsid w:val="007742CA"/>
    <w:rsid w:val="00790D70"/>
    <w:rsid w:val="007A6F1F"/>
    <w:rsid w:val="007D5320"/>
    <w:rsid w:val="00800972"/>
    <w:rsid w:val="00804475"/>
    <w:rsid w:val="00811633"/>
    <w:rsid w:val="00814037"/>
    <w:rsid w:val="00841216"/>
    <w:rsid w:val="00842AF0"/>
    <w:rsid w:val="0086171E"/>
    <w:rsid w:val="00872FC8"/>
    <w:rsid w:val="008845D0"/>
    <w:rsid w:val="00884D60"/>
    <w:rsid w:val="008A1512"/>
    <w:rsid w:val="008A28EC"/>
    <w:rsid w:val="008B43F2"/>
    <w:rsid w:val="008B6CFF"/>
    <w:rsid w:val="009274B4"/>
    <w:rsid w:val="00934EA2"/>
    <w:rsid w:val="00944A5C"/>
    <w:rsid w:val="00952A66"/>
    <w:rsid w:val="00973705"/>
    <w:rsid w:val="009B1EA1"/>
    <w:rsid w:val="009B7C9A"/>
    <w:rsid w:val="009C56E5"/>
    <w:rsid w:val="009C7716"/>
    <w:rsid w:val="009E5FC8"/>
    <w:rsid w:val="009E687A"/>
    <w:rsid w:val="009F236F"/>
    <w:rsid w:val="00A066F1"/>
    <w:rsid w:val="00A141AF"/>
    <w:rsid w:val="00A16D29"/>
    <w:rsid w:val="00A30305"/>
    <w:rsid w:val="00A31D2D"/>
    <w:rsid w:val="00A4600A"/>
    <w:rsid w:val="00A538A6"/>
    <w:rsid w:val="00A54C25"/>
    <w:rsid w:val="00A710E7"/>
    <w:rsid w:val="00A7372E"/>
    <w:rsid w:val="00A93B85"/>
    <w:rsid w:val="00AA0B18"/>
    <w:rsid w:val="00AA3C65"/>
    <w:rsid w:val="00AA666F"/>
    <w:rsid w:val="00AD7914"/>
    <w:rsid w:val="00AE514B"/>
    <w:rsid w:val="00B12DEA"/>
    <w:rsid w:val="00B3660B"/>
    <w:rsid w:val="00B40888"/>
    <w:rsid w:val="00B639E9"/>
    <w:rsid w:val="00B817CD"/>
    <w:rsid w:val="00B81A7D"/>
    <w:rsid w:val="00B9313A"/>
    <w:rsid w:val="00B94AD0"/>
    <w:rsid w:val="00BB3A95"/>
    <w:rsid w:val="00BD6CCE"/>
    <w:rsid w:val="00C0018F"/>
    <w:rsid w:val="00C16A5A"/>
    <w:rsid w:val="00C20466"/>
    <w:rsid w:val="00C214ED"/>
    <w:rsid w:val="00C234E6"/>
    <w:rsid w:val="00C324A8"/>
    <w:rsid w:val="00C54517"/>
    <w:rsid w:val="00C56F70"/>
    <w:rsid w:val="00C57B91"/>
    <w:rsid w:val="00C64CD8"/>
    <w:rsid w:val="00C82695"/>
    <w:rsid w:val="00C97C68"/>
    <w:rsid w:val="00CA1A47"/>
    <w:rsid w:val="00CA3DFC"/>
    <w:rsid w:val="00CA7E28"/>
    <w:rsid w:val="00CB44E5"/>
    <w:rsid w:val="00CC247A"/>
    <w:rsid w:val="00CE388F"/>
    <w:rsid w:val="00CE5E47"/>
    <w:rsid w:val="00CF020F"/>
    <w:rsid w:val="00CF2B5B"/>
    <w:rsid w:val="00D04C97"/>
    <w:rsid w:val="00D14CE0"/>
    <w:rsid w:val="00D268B3"/>
    <w:rsid w:val="00D52FD6"/>
    <w:rsid w:val="00D54009"/>
    <w:rsid w:val="00D5651D"/>
    <w:rsid w:val="00D57A34"/>
    <w:rsid w:val="00D74898"/>
    <w:rsid w:val="00D801ED"/>
    <w:rsid w:val="00D936BC"/>
    <w:rsid w:val="00D96530"/>
    <w:rsid w:val="00DA1CB1"/>
    <w:rsid w:val="00DD084B"/>
    <w:rsid w:val="00DD44AF"/>
    <w:rsid w:val="00DE2AC3"/>
    <w:rsid w:val="00DE5692"/>
    <w:rsid w:val="00DE6300"/>
    <w:rsid w:val="00DF4BC6"/>
    <w:rsid w:val="00E03C94"/>
    <w:rsid w:val="00E1094C"/>
    <w:rsid w:val="00E205BC"/>
    <w:rsid w:val="00E26226"/>
    <w:rsid w:val="00E45D05"/>
    <w:rsid w:val="00E55816"/>
    <w:rsid w:val="00E55AEF"/>
    <w:rsid w:val="00E976C1"/>
    <w:rsid w:val="00EA12E5"/>
    <w:rsid w:val="00EB55C6"/>
    <w:rsid w:val="00EF1932"/>
    <w:rsid w:val="00EF71B6"/>
    <w:rsid w:val="00F02766"/>
    <w:rsid w:val="00F05BD4"/>
    <w:rsid w:val="00F06473"/>
    <w:rsid w:val="00F16A2E"/>
    <w:rsid w:val="00F6155B"/>
    <w:rsid w:val="00F62E64"/>
    <w:rsid w:val="00F65C19"/>
    <w:rsid w:val="00FA1E56"/>
    <w:rsid w:val="00FD08E2"/>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F6744BA"/>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B40888"/>
    <w:pPr>
      <w:tabs>
        <w:tab w:val="clear" w:pos="1134"/>
        <w:tab w:val="clear" w:pos="1871"/>
        <w:tab w:val="clear" w:pos="2268"/>
      </w:tabs>
      <w:overflowPunct/>
      <w:autoSpaceDE/>
      <w:autoSpaceDN/>
      <w:adjustRightInd/>
      <w:spacing w:before="0"/>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R16-WRC19-C-0011!A24-A2!MSW-E</DPM_x0020_File_x0020_name>
    <DPM_x0020_Author xmlns="32a1a8c5-2265-4ebc-b7a0-2071e2c5c9bb" xsi:nil="false">DPM</DPM_x0020_Author>
    <DPM_x0020_Version xmlns="32a1a8c5-2265-4ebc-b7a0-2071e2c5c9bb" xsi:nil="false">DPM_2019.08.19.01</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4.xml><?xml version="1.0" encoding="utf-8"?>
<FormTemplates xmlns="http://schemas.microsoft.com/sharepoint/v3/contenttype/forms">
  <Display>DocumentLibraryForm</Display>
  <Edit>DocumentLibraryForm</Edit>
  <New>DocumentLibraryForm</New>
</FormTemplate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3.xml><?xml version="1.0" encoding="utf-8"?>
<ds:datastoreItem xmlns:ds="http://schemas.openxmlformats.org/officeDocument/2006/customXml" ds:itemID="{BE103E2F-FF35-49E6-966F-EF890421CFC2}">
  <ds:schemaRefs>
    <ds:schemaRef ds:uri="32a1a8c5-2265-4ebc-b7a0-2071e2c5c9bb"/>
    <ds:schemaRef ds:uri="http://purl.org/dc/dcmitype/"/>
    <ds:schemaRef ds:uri="http://purl.org/dc/elements/1.1/"/>
    <ds:schemaRef ds:uri="http://purl.org/dc/terms/"/>
    <ds:schemaRef ds:uri="http://schemas.microsoft.com/office/2006/documentManagement/types"/>
    <ds:schemaRef ds:uri="996b2e75-67fd-4955-a3b0-5ab9934cb50b"/>
    <ds:schemaRef ds:uri="http://www.w3.org/XML/1998/namespace"/>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C1310655-302B-4E04-9BF9-242F4AF1474F}">
  <ds:schemaRefs>
    <ds:schemaRef ds:uri="http://schemas.microsoft.com/sharepoint/v3/contenttype/forms"/>
  </ds:schemaRefs>
</ds:datastoreItem>
</file>

<file path=customXml/itemProps5.xml><?xml version="1.0" encoding="utf-8"?>
<ds:datastoreItem xmlns:ds="http://schemas.openxmlformats.org/officeDocument/2006/customXml" ds:itemID="{49967909-EC93-4865-AFDC-486E7F451E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Pages>
  <Words>1898</Words>
  <Characters>10384</Characters>
  <Application>Microsoft Office Word</Application>
  <DocSecurity>0</DocSecurity>
  <Lines>200</Lines>
  <Paragraphs>79</Paragraphs>
  <ScaleCrop>false</ScaleCrop>
  <HeadingPairs>
    <vt:vector size="2" baseType="variant">
      <vt:variant>
        <vt:lpstr>Title</vt:lpstr>
      </vt:variant>
      <vt:variant>
        <vt:i4>1</vt:i4>
      </vt:variant>
    </vt:vector>
  </HeadingPairs>
  <TitlesOfParts>
    <vt:vector size="1" baseType="lpstr">
      <vt:lpstr>R16-WRC19-C-0011!A24-A2!MSW-E</vt:lpstr>
    </vt:vector>
  </TitlesOfParts>
  <Manager>General Secretariat - Pool</Manager>
  <Company>International Telecommunication Union (ITU)</Company>
  <LinksUpToDate>false</LinksUpToDate>
  <CharactersWithSpaces>12225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R16-WRC19-C-0011!A24-A2!MSW-E</dc:title>
  <dc:subject>World Radiocommunication Conference - 2019</dc:subject>
  <dc:creator>Documents Proposals Manager (DPM)</dc:creator>
  <cp:keywords>DPM_v2019.9.13.1_prod</cp:keywords>
  <dc:description>Uploaded on 2015.07.06</dc:description>
  <cp:lastModifiedBy>Sarah Scott</cp:lastModifiedBy>
  <cp:revision>7</cp:revision>
  <cp:lastPrinted>2019-09-20T14:00:00Z</cp:lastPrinted>
  <dcterms:created xsi:type="dcterms:W3CDTF">2019-09-19T08:49:00Z</dcterms:created>
  <dcterms:modified xsi:type="dcterms:W3CDTF">2019-09-20T14:00:00Z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