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C516D1C" w14:textId="77777777" w:rsidTr="00F55E63">
        <w:trPr>
          <w:cantSplit/>
          <w:trHeight w:val="20"/>
        </w:trPr>
        <w:tc>
          <w:tcPr>
            <w:tcW w:w="6619" w:type="dxa"/>
          </w:tcPr>
          <w:p w14:paraId="468E45F7"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5B1EEC05" w14:textId="77777777" w:rsidR="00280E04" w:rsidRDefault="00A375BD" w:rsidP="00D44350">
            <w:pPr>
              <w:rPr>
                <w:rtl/>
                <w:lang w:bidi="ar-EG"/>
              </w:rPr>
            </w:pPr>
            <w:bookmarkStart w:id="0" w:name="ditulogo"/>
            <w:bookmarkEnd w:id="0"/>
            <w:r>
              <w:rPr>
                <w:noProof/>
                <w:lang w:eastAsia="zh-CN"/>
              </w:rPr>
              <w:drawing>
                <wp:inline distT="0" distB="0" distL="0" distR="0" wp14:anchorId="66951B6E" wp14:editId="014A3D4E">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075377F" w14:textId="77777777" w:rsidTr="00F55E63">
        <w:trPr>
          <w:cantSplit/>
          <w:trHeight w:val="20"/>
        </w:trPr>
        <w:tc>
          <w:tcPr>
            <w:tcW w:w="6619" w:type="dxa"/>
            <w:tcBorders>
              <w:bottom w:val="single" w:sz="12" w:space="0" w:color="auto"/>
            </w:tcBorders>
          </w:tcPr>
          <w:p w14:paraId="6AD39739" w14:textId="77777777" w:rsidR="00280E04" w:rsidRPr="00960962" w:rsidRDefault="00280E04" w:rsidP="00D44350">
            <w:pPr>
              <w:rPr>
                <w:rtl/>
                <w:lang w:bidi="ar-EG"/>
              </w:rPr>
            </w:pPr>
          </w:p>
        </w:tc>
        <w:tc>
          <w:tcPr>
            <w:tcW w:w="3053" w:type="dxa"/>
            <w:tcBorders>
              <w:bottom w:val="single" w:sz="12" w:space="0" w:color="auto"/>
            </w:tcBorders>
          </w:tcPr>
          <w:p w14:paraId="525D4D8F" w14:textId="77777777" w:rsidR="00280E04" w:rsidRPr="00A9645C" w:rsidRDefault="00280E04" w:rsidP="00D44350">
            <w:pPr>
              <w:rPr>
                <w:lang w:bidi="ar-EG"/>
              </w:rPr>
            </w:pPr>
          </w:p>
        </w:tc>
      </w:tr>
      <w:tr w:rsidR="00280E04" w14:paraId="189C7668" w14:textId="77777777" w:rsidTr="00F55E63">
        <w:trPr>
          <w:cantSplit/>
          <w:trHeight w:val="20"/>
        </w:trPr>
        <w:tc>
          <w:tcPr>
            <w:tcW w:w="6619" w:type="dxa"/>
            <w:tcBorders>
              <w:top w:val="single" w:sz="12" w:space="0" w:color="auto"/>
            </w:tcBorders>
          </w:tcPr>
          <w:p w14:paraId="0BDEE718"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0154430A" w14:textId="77777777" w:rsidR="00280E04" w:rsidRPr="00BD6EF3" w:rsidRDefault="00280E04" w:rsidP="00A42709">
            <w:pPr>
              <w:pStyle w:val="Adress"/>
              <w:framePr w:hSpace="0" w:wrap="auto" w:xAlign="left" w:yAlign="inline"/>
              <w:spacing w:before="0"/>
            </w:pPr>
          </w:p>
        </w:tc>
      </w:tr>
      <w:tr w:rsidR="00A809E8" w:rsidRPr="00F545E4" w14:paraId="6088A4EE" w14:textId="77777777" w:rsidTr="00F55E63">
        <w:trPr>
          <w:cantSplit/>
        </w:trPr>
        <w:tc>
          <w:tcPr>
            <w:tcW w:w="6619" w:type="dxa"/>
          </w:tcPr>
          <w:p w14:paraId="457727DC"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0740EB1E" w14:textId="794C5A1F" w:rsidR="00CD129D" w:rsidRPr="00CD129D" w:rsidRDefault="00CD129D" w:rsidP="00A42709">
            <w:pPr>
              <w:pStyle w:val="Adress"/>
              <w:framePr w:hSpace="0" w:wrap="auto" w:xAlign="left" w:yAlign="inline"/>
              <w:spacing w:before="0"/>
              <w:rPr>
                <w:rtl/>
              </w:rPr>
            </w:pPr>
            <w:r w:rsidRPr="00CD129D">
              <w:rPr>
                <w:rFonts w:eastAsia="SimSun" w:hint="cs"/>
                <w:rtl/>
              </w:rPr>
              <w:t xml:space="preserve">الإضافة </w:t>
            </w:r>
            <w:r w:rsidRPr="00CD129D">
              <w:rPr>
                <w:rFonts w:eastAsia="SimSun"/>
              </w:rPr>
              <w:t>6</w:t>
            </w:r>
            <w:r w:rsidRPr="00CD129D">
              <w:rPr>
                <w:rFonts w:eastAsia="SimSun"/>
                <w:rtl/>
              </w:rPr>
              <w:br/>
            </w:r>
            <w:r w:rsidRPr="00CD129D">
              <w:rPr>
                <w:rFonts w:eastAsia="SimSun" w:hint="cs"/>
                <w:rtl/>
              </w:rPr>
              <w:t xml:space="preserve">للوثيقة </w:t>
            </w:r>
            <w:r w:rsidRPr="00CD129D">
              <w:rPr>
                <w:rFonts w:eastAsia="SimSun"/>
              </w:rPr>
              <w:t>11(Add.</w:t>
            </w:r>
            <w:proofErr w:type="gramStart"/>
            <w:r w:rsidRPr="00CD129D">
              <w:rPr>
                <w:rFonts w:eastAsia="SimSun"/>
              </w:rPr>
              <w:t>24)-</w:t>
            </w:r>
            <w:proofErr w:type="gramEnd"/>
            <w:r w:rsidRPr="00CD129D">
              <w:rPr>
                <w:rFonts w:eastAsia="SimSun"/>
              </w:rPr>
              <w:t>A</w:t>
            </w:r>
          </w:p>
        </w:tc>
      </w:tr>
      <w:tr w:rsidR="00A809E8" w:rsidRPr="00F545E4" w14:paraId="1958D78D" w14:textId="77777777" w:rsidTr="00F55E63">
        <w:trPr>
          <w:cantSplit/>
        </w:trPr>
        <w:tc>
          <w:tcPr>
            <w:tcW w:w="6619" w:type="dxa"/>
          </w:tcPr>
          <w:p w14:paraId="752C1FCA" w14:textId="77777777" w:rsidR="00A809E8" w:rsidRPr="00F545E4" w:rsidRDefault="00A809E8" w:rsidP="00A42709">
            <w:pPr>
              <w:pStyle w:val="Adress"/>
              <w:framePr w:hSpace="0" w:wrap="auto" w:xAlign="left" w:yAlign="inline"/>
              <w:spacing w:before="0"/>
              <w:rPr>
                <w:rtl/>
              </w:rPr>
            </w:pPr>
          </w:p>
        </w:tc>
        <w:tc>
          <w:tcPr>
            <w:tcW w:w="3053" w:type="dxa"/>
            <w:vAlign w:val="center"/>
          </w:tcPr>
          <w:p w14:paraId="38CC86B6" w14:textId="77777777" w:rsidR="00A809E8" w:rsidRPr="00CD129D" w:rsidRDefault="00F55E63" w:rsidP="00A42709">
            <w:pPr>
              <w:pStyle w:val="Adress"/>
              <w:framePr w:hSpace="0" w:wrap="auto" w:xAlign="left" w:yAlign="inline"/>
              <w:spacing w:before="0"/>
              <w:rPr>
                <w:rtl/>
              </w:rPr>
            </w:pPr>
            <w:r w:rsidRPr="00CD129D">
              <w:rPr>
                <w:rFonts w:eastAsia="SimSun"/>
              </w:rPr>
              <w:t>17</w:t>
            </w:r>
            <w:r w:rsidRPr="00CD129D">
              <w:rPr>
                <w:rFonts w:eastAsia="SimSun"/>
                <w:rtl/>
              </w:rPr>
              <w:t xml:space="preserve"> سبتمبر </w:t>
            </w:r>
            <w:r w:rsidRPr="00CD129D">
              <w:rPr>
                <w:rFonts w:eastAsia="SimSun"/>
              </w:rPr>
              <w:t>2019</w:t>
            </w:r>
          </w:p>
        </w:tc>
      </w:tr>
      <w:tr w:rsidR="00A809E8" w:rsidRPr="00F545E4" w14:paraId="18E7C358" w14:textId="77777777" w:rsidTr="00F55E63">
        <w:trPr>
          <w:cantSplit/>
        </w:trPr>
        <w:tc>
          <w:tcPr>
            <w:tcW w:w="6619" w:type="dxa"/>
          </w:tcPr>
          <w:p w14:paraId="0051F120"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629C153D" w14:textId="7D3C4C2E" w:rsidR="00A809E8" w:rsidRPr="00F545E4" w:rsidRDefault="00F55E63" w:rsidP="00A42709">
            <w:pPr>
              <w:pStyle w:val="Adress"/>
              <w:framePr w:hSpace="0" w:wrap="auto" w:xAlign="left" w:yAlign="inline"/>
              <w:spacing w:before="0"/>
              <w:rPr>
                <w:rFonts w:eastAsia="SimSun" w:hint="eastAsia"/>
              </w:rPr>
            </w:pPr>
            <w:r w:rsidRPr="00F55E63">
              <w:rPr>
                <w:rtl/>
              </w:rPr>
              <w:t>الأصل: بالإنكليزية</w:t>
            </w:r>
            <w:r w:rsidR="00CD129D">
              <w:rPr>
                <w:rFonts w:hint="cs"/>
                <w:rtl/>
              </w:rPr>
              <w:t>/بالإسبانية</w:t>
            </w:r>
          </w:p>
        </w:tc>
      </w:tr>
      <w:tr w:rsidR="00764079" w14:paraId="72A1E803" w14:textId="77777777" w:rsidTr="00F55E63">
        <w:trPr>
          <w:cantSplit/>
        </w:trPr>
        <w:tc>
          <w:tcPr>
            <w:tcW w:w="9672" w:type="dxa"/>
            <w:gridSpan w:val="2"/>
          </w:tcPr>
          <w:p w14:paraId="0E3DC457" w14:textId="77777777" w:rsidR="00764079" w:rsidRDefault="00764079" w:rsidP="00A42709">
            <w:pPr>
              <w:pStyle w:val="Adress"/>
              <w:framePr w:hSpace="0" w:wrap="auto" w:xAlign="left" w:yAlign="inline"/>
              <w:spacing w:before="0"/>
              <w:rPr>
                <w:rFonts w:eastAsia="SimSun" w:hint="eastAsia"/>
              </w:rPr>
            </w:pPr>
          </w:p>
        </w:tc>
      </w:tr>
      <w:tr w:rsidR="00764079" w14:paraId="0E5A4AAC" w14:textId="77777777" w:rsidTr="00F55E63">
        <w:trPr>
          <w:cantSplit/>
        </w:trPr>
        <w:tc>
          <w:tcPr>
            <w:tcW w:w="9672" w:type="dxa"/>
            <w:gridSpan w:val="2"/>
          </w:tcPr>
          <w:p w14:paraId="484EB3F3" w14:textId="0F7B3433" w:rsidR="00764079" w:rsidRPr="00E621A3" w:rsidRDefault="00F55E63" w:rsidP="00F55E63">
            <w:pPr>
              <w:pStyle w:val="Source"/>
              <w:rPr>
                <w:rtl/>
              </w:rPr>
            </w:pPr>
            <w:r w:rsidRPr="00F55E63">
              <w:rPr>
                <w:rtl/>
              </w:rPr>
              <w:t xml:space="preserve">الدول الأعضاء في لجنة البلدان الأمريكية للاتصالات </w:t>
            </w:r>
            <w:r w:rsidR="00CD129D">
              <w:t>(CITEL)</w:t>
            </w:r>
          </w:p>
        </w:tc>
      </w:tr>
      <w:tr w:rsidR="00764079" w14:paraId="4FEA3215" w14:textId="77777777" w:rsidTr="00F55E63">
        <w:trPr>
          <w:cantSplit/>
        </w:trPr>
        <w:tc>
          <w:tcPr>
            <w:tcW w:w="9672" w:type="dxa"/>
            <w:gridSpan w:val="2"/>
          </w:tcPr>
          <w:p w14:paraId="38EF5059" w14:textId="181D7449" w:rsidR="00764079" w:rsidRPr="00BD6EF3" w:rsidRDefault="00CD129D" w:rsidP="00F55E63">
            <w:pPr>
              <w:pStyle w:val="Title1"/>
              <w:spacing w:before="240"/>
              <w:rPr>
                <w:rtl/>
              </w:rPr>
            </w:pPr>
            <w:r>
              <w:rPr>
                <w:rFonts w:hint="cs"/>
                <w:rtl/>
              </w:rPr>
              <w:t>مقترحات بشأن أعمال المؤتمر</w:t>
            </w:r>
          </w:p>
        </w:tc>
      </w:tr>
      <w:tr w:rsidR="00764079" w14:paraId="473FA7FA" w14:textId="77777777" w:rsidTr="00F55E63">
        <w:trPr>
          <w:cantSplit/>
        </w:trPr>
        <w:tc>
          <w:tcPr>
            <w:tcW w:w="9672" w:type="dxa"/>
            <w:gridSpan w:val="2"/>
          </w:tcPr>
          <w:p w14:paraId="669041F8" w14:textId="77777777" w:rsidR="00764079" w:rsidRPr="00BD6EF3" w:rsidRDefault="00764079" w:rsidP="00F55E63">
            <w:pPr>
              <w:pStyle w:val="Title2"/>
              <w:rPr>
                <w:rtl/>
              </w:rPr>
            </w:pPr>
          </w:p>
        </w:tc>
      </w:tr>
      <w:tr w:rsidR="00764079" w14:paraId="7BC63D3F" w14:textId="77777777" w:rsidTr="00F55E63">
        <w:trPr>
          <w:cantSplit/>
        </w:trPr>
        <w:tc>
          <w:tcPr>
            <w:tcW w:w="9672" w:type="dxa"/>
            <w:gridSpan w:val="2"/>
          </w:tcPr>
          <w:p w14:paraId="701BF656" w14:textId="11872248" w:rsidR="00764079" w:rsidRPr="0012545F" w:rsidRDefault="00DB4CC9" w:rsidP="00F55E63">
            <w:pPr>
              <w:pStyle w:val="Agendaitem"/>
              <w:rPr>
                <w:rtl/>
                <w:lang w:val="en-US"/>
              </w:rPr>
            </w:pPr>
            <w:r>
              <w:rPr>
                <w:rtl/>
                <w:lang w:val="en-US"/>
              </w:rPr>
              <w:t>بند جدول الأعمال</w:t>
            </w:r>
            <w:r w:rsidR="00CD129D">
              <w:rPr>
                <w:rFonts w:hint="cs"/>
                <w:rtl/>
                <w:lang w:val="en-US"/>
              </w:rPr>
              <w:t xml:space="preserve"> </w:t>
            </w:r>
            <w:r w:rsidR="00CD129D">
              <w:rPr>
                <w:lang w:val="en-US"/>
              </w:rPr>
              <w:t>10</w:t>
            </w:r>
          </w:p>
        </w:tc>
      </w:tr>
    </w:tbl>
    <w:p w14:paraId="072B1813" w14:textId="63096531" w:rsidR="001D597A" w:rsidRDefault="00897988" w:rsidP="00053B53">
      <w:pPr>
        <w:rPr>
          <w:rFonts w:eastAsia="SimSun"/>
          <w:lang w:eastAsia="zh-CN"/>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w:t>
      </w:r>
      <w:r w:rsidR="00C06B0C">
        <w:rPr>
          <w:rFonts w:eastAsia="SimSun" w:hint="cs"/>
          <w:rtl/>
          <w:lang w:eastAsia="zh-CN"/>
        </w:rPr>
        <w:t>الاتفاقية.</w:t>
      </w:r>
    </w:p>
    <w:p w14:paraId="1B47323F" w14:textId="3A37107B" w:rsidR="002F3E46" w:rsidRDefault="00CD129D" w:rsidP="00CD129D">
      <w:pPr>
        <w:pStyle w:val="Headingb"/>
        <w:rPr>
          <w:rtl/>
        </w:rPr>
      </w:pPr>
      <w:r>
        <w:rPr>
          <w:rFonts w:hint="cs"/>
          <w:rtl/>
        </w:rPr>
        <w:t>خلفية</w:t>
      </w:r>
    </w:p>
    <w:p w14:paraId="6D800F14" w14:textId="2A46C6BF" w:rsidR="00CD129D" w:rsidRPr="00E8363C" w:rsidRDefault="007B2507" w:rsidP="008614B8">
      <w:pPr>
        <w:rPr>
          <w:rtl/>
        </w:rPr>
      </w:pPr>
      <w:r w:rsidRPr="00E8363C">
        <w:rPr>
          <w:rFonts w:hint="cs"/>
          <w:rtl/>
        </w:rPr>
        <w:t xml:space="preserve">لم تشمل </w:t>
      </w:r>
      <w:r w:rsidR="00E319C0" w:rsidRPr="00E8363C">
        <w:rPr>
          <w:rFonts w:hint="cs"/>
          <w:rtl/>
        </w:rPr>
        <w:t xml:space="preserve">الدراسات التي أُجريت بموجب البند </w:t>
      </w:r>
      <w:r w:rsidR="00E319C0" w:rsidRPr="00E8363C">
        <w:t>17.1</w:t>
      </w:r>
      <w:r w:rsidR="00E319C0" w:rsidRPr="00E8363C">
        <w:rPr>
          <w:rFonts w:hint="cs"/>
          <w:rtl/>
        </w:rPr>
        <w:t xml:space="preserve"> من جدول أعمال المؤتمر </w:t>
      </w:r>
      <w:r w:rsidR="00E319C0" w:rsidRPr="00E8363C">
        <w:t>WRC-2000</w:t>
      </w:r>
      <w:r w:rsidR="00E319C0" w:rsidRPr="00E8363C">
        <w:rPr>
          <w:rFonts w:hint="cs"/>
          <w:rtl/>
        </w:rPr>
        <w:t xml:space="preserve"> والتي أدت إلى اعتماد الحاشية </w:t>
      </w:r>
      <w:r w:rsidR="00E319C0" w:rsidRPr="001C2D3F">
        <w:rPr>
          <w:rFonts w:hint="cs"/>
          <w:rtl/>
        </w:rPr>
        <w:t>رقم</w:t>
      </w:r>
      <w:r w:rsidR="00E8363C" w:rsidRPr="00E8363C">
        <w:rPr>
          <w:rFonts w:hint="eastAsia"/>
          <w:b/>
          <w:bCs/>
          <w:rtl/>
        </w:rPr>
        <w:t> </w:t>
      </w:r>
      <w:r w:rsidR="00E319C0" w:rsidRPr="00E8363C">
        <w:rPr>
          <w:b/>
          <w:bCs/>
        </w:rPr>
        <w:t>522B.5</w:t>
      </w:r>
      <w:r w:rsidR="00E319C0" w:rsidRPr="00E8363C">
        <w:rPr>
          <w:rFonts w:hint="cs"/>
          <w:rtl/>
        </w:rPr>
        <w:t xml:space="preserve"> من لوائح الراديو استعراض جميع أنواع الأنظمة غير المستقرة بالنسبة إلى الأرض في الخدمة الثابتة الساتلية التي يمكن أن تعمل في نطاق التردد</w:t>
      </w:r>
      <w:r w:rsidR="00E8363C" w:rsidRPr="00E8363C">
        <w:rPr>
          <w:rFonts w:hint="eastAsia"/>
          <w:rtl/>
        </w:rPr>
        <w:t> </w:t>
      </w:r>
      <w:r w:rsidR="00E319C0" w:rsidRPr="00E8363C">
        <w:t>GHz 18,8-16,6</w:t>
      </w:r>
      <w:r w:rsidR="00E319C0" w:rsidRPr="00E8363C">
        <w:rPr>
          <w:rFonts w:hint="cs"/>
          <w:rtl/>
        </w:rPr>
        <w:t>.</w:t>
      </w:r>
    </w:p>
    <w:p w14:paraId="1D627598" w14:textId="1A06D964" w:rsidR="00CD129D" w:rsidRDefault="0072193A" w:rsidP="008614B8">
      <w:pPr>
        <w:rPr>
          <w:rtl/>
        </w:rPr>
      </w:pPr>
      <w:r>
        <w:rPr>
          <w:rFonts w:hint="cs"/>
          <w:rtl/>
        </w:rPr>
        <w:t xml:space="preserve">واقتصرت هذه الدراسات على أنظمة في الخدمة الثابتة الساتلية في المدار </w:t>
      </w:r>
      <w:proofErr w:type="spellStart"/>
      <w:r>
        <w:rPr>
          <w:rFonts w:hint="cs"/>
          <w:rtl/>
        </w:rPr>
        <w:t>ال</w:t>
      </w:r>
      <w:r w:rsidR="007B2507">
        <w:rPr>
          <w:rFonts w:hint="cs"/>
          <w:rtl/>
        </w:rPr>
        <w:t>إهليلجي</w:t>
      </w:r>
      <w:proofErr w:type="spellEnd"/>
      <w:r w:rsidR="007B2507">
        <w:rPr>
          <w:rFonts w:hint="cs"/>
          <w:rtl/>
        </w:rPr>
        <w:t xml:space="preserve"> شديد الانحناء والمدار الأرضي المنخفض. وبالإضافة إلى ذلك، كان </w:t>
      </w:r>
      <w:r w:rsidR="000B4518">
        <w:rPr>
          <w:rFonts w:hint="cs"/>
          <w:rtl/>
        </w:rPr>
        <w:t>من المقرر</w:t>
      </w:r>
      <w:r w:rsidR="007B2507">
        <w:rPr>
          <w:rFonts w:hint="cs"/>
          <w:rtl/>
        </w:rPr>
        <w:t xml:space="preserve"> أن يعمل </w:t>
      </w:r>
      <w:r w:rsidR="000B4518">
        <w:rPr>
          <w:rFonts w:hint="cs"/>
          <w:rtl/>
        </w:rPr>
        <w:t>في ذلك الحين</w:t>
      </w:r>
      <w:r w:rsidR="000B4518" w:rsidRPr="000B4518">
        <w:rPr>
          <w:rFonts w:hint="cs"/>
          <w:rtl/>
        </w:rPr>
        <w:t xml:space="preserve"> </w:t>
      </w:r>
      <w:r w:rsidR="000B4518">
        <w:rPr>
          <w:rFonts w:hint="cs"/>
          <w:rtl/>
        </w:rPr>
        <w:t xml:space="preserve">في نطاق التردد هذا، </w:t>
      </w:r>
      <w:r w:rsidR="007B2507">
        <w:rPr>
          <w:rFonts w:hint="cs"/>
          <w:rtl/>
        </w:rPr>
        <w:t xml:space="preserve">نظام واحد غير مستقر بالنسبة إلى الأرض </w:t>
      </w:r>
      <w:r w:rsidR="00977D73">
        <w:rPr>
          <w:rFonts w:hint="cs"/>
          <w:rtl/>
        </w:rPr>
        <w:t>ب</w:t>
      </w:r>
      <w:r w:rsidR="007B2507">
        <w:rPr>
          <w:rFonts w:hint="cs"/>
          <w:rtl/>
        </w:rPr>
        <w:t xml:space="preserve">مدار </w:t>
      </w:r>
      <w:r w:rsidR="000B4518">
        <w:rPr>
          <w:rFonts w:hint="cs"/>
          <w:rtl/>
        </w:rPr>
        <w:t>يفوق</w:t>
      </w:r>
      <w:r w:rsidR="00BF485E">
        <w:rPr>
          <w:rFonts w:hint="cs"/>
          <w:rtl/>
        </w:rPr>
        <w:t xml:space="preserve"> أوجه</w:t>
      </w:r>
      <w:r w:rsidR="007B2507">
        <w:rPr>
          <w:rFonts w:hint="cs"/>
          <w:rtl/>
        </w:rPr>
        <w:t xml:space="preserve"> </w:t>
      </w:r>
      <w:r w:rsidR="007B2507">
        <w:t>20 000</w:t>
      </w:r>
      <w:r w:rsidR="007B2507">
        <w:rPr>
          <w:rFonts w:hint="cs"/>
          <w:rtl/>
        </w:rPr>
        <w:t xml:space="preserve"> كلم.</w:t>
      </w:r>
    </w:p>
    <w:p w14:paraId="78467C8E" w14:textId="17CAFC3A" w:rsidR="00CD129D" w:rsidRPr="002F1A7C" w:rsidRDefault="0078694E" w:rsidP="00E8363C">
      <w:pPr>
        <w:pStyle w:val="Heading4"/>
        <w:keepNext w:val="0"/>
        <w:tabs>
          <w:tab w:val="clear" w:pos="1134"/>
        </w:tabs>
        <w:ind w:left="11" w:firstLine="0"/>
        <w:rPr>
          <w:rFonts w:ascii="Times New Roman" w:hAnsi="Times New Roman"/>
          <w:b w:val="0"/>
          <w:bCs w:val="0"/>
          <w:spacing w:val="2"/>
          <w:rtl/>
          <w:lang w:bidi="ar-SA"/>
        </w:rPr>
      </w:pPr>
      <w:r>
        <w:rPr>
          <w:rFonts w:hint="cs"/>
          <w:b w:val="0"/>
          <w:bCs w:val="0"/>
          <w:rtl/>
        </w:rPr>
        <w:t xml:space="preserve">واليوم، </w:t>
      </w:r>
      <w:r w:rsidR="000B4518">
        <w:rPr>
          <w:rFonts w:hint="cs"/>
          <w:b w:val="0"/>
          <w:bCs w:val="0"/>
          <w:rtl/>
        </w:rPr>
        <w:t>و</w:t>
      </w:r>
      <w:r>
        <w:rPr>
          <w:rFonts w:hint="cs"/>
          <w:b w:val="0"/>
          <w:bCs w:val="0"/>
          <w:rtl/>
        </w:rPr>
        <w:t xml:space="preserve">نظراً إلى تزايد الطلب العالمي على خدمات النطاق العريض من جانب أنظمة المدارات الأرضية المنخفضة والمدارات الأرضية المتوسطة والتقدم الملاحظ في مجال التكنولوجيات المتصلة بالفضاء في السنوات الأخيرة، من الضروري إعادة النظر في الدراسات التي أُجريت منذ ما يقرب من </w:t>
      </w:r>
      <w:r w:rsidRPr="0078694E">
        <w:rPr>
          <w:rFonts w:ascii="Times New Roman" w:hAnsi="Times New Roman"/>
          <w:b w:val="0"/>
        </w:rPr>
        <w:t>20</w:t>
      </w:r>
      <w:r>
        <w:rPr>
          <w:rFonts w:hint="cs"/>
          <w:b w:val="0"/>
          <w:bCs w:val="0"/>
          <w:rtl/>
          <w:lang w:bidi="ar-SA"/>
        </w:rPr>
        <w:t xml:space="preserve"> عاماً في نطاق التردد </w:t>
      </w:r>
      <w:r w:rsidRPr="0078694E">
        <w:rPr>
          <w:rFonts w:ascii="Times New Roman" w:hAnsi="Times New Roman"/>
          <w:b w:val="0"/>
          <w:bCs w:val="0"/>
          <w:lang w:bidi="ar-SA"/>
        </w:rPr>
        <w:t>GHz 18,8-18,6</w:t>
      </w:r>
      <w:r w:rsidRPr="0078694E">
        <w:rPr>
          <w:rFonts w:ascii="Times New Roman" w:hAnsi="Times New Roman" w:hint="cs"/>
          <w:b w:val="0"/>
          <w:bCs w:val="0"/>
          <w:rtl/>
          <w:lang w:bidi="ar-SA"/>
        </w:rPr>
        <w:t xml:space="preserve">، </w:t>
      </w:r>
      <w:r w:rsidR="0067513E">
        <w:rPr>
          <w:rFonts w:hint="cs"/>
          <w:b w:val="0"/>
          <w:bCs w:val="0"/>
          <w:rtl/>
          <w:lang w:bidi="ar-SA"/>
        </w:rPr>
        <w:t xml:space="preserve">للتفكير في مدارات ذات أوج يساوي أو يقل عن </w:t>
      </w:r>
      <w:r w:rsidR="0067513E" w:rsidRPr="0067513E">
        <w:rPr>
          <w:rFonts w:ascii="Times New Roman" w:hAnsi="Times New Roman"/>
          <w:b w:val="0"/>
          <w:bCs w:val="0"/>
          <w:lang w:bidi="ar-SA"/>
        </w:rPr>
        <w:t>20 000</w:t>
      </w:r>
      <w:r w:rsidR="00A73C0D">
        <w:rPr>
          <w:rFonts w:hint="eastAsia"/>
          <w:b w:val="0"/>
          <w:bCs w:val="0"/>
          <w:rtl/>
          <w:lang w:bidi="ar-SA"/>
        </w:rPr>
        <w:t> </w:t>
      </w:r>
      <w:r w:rsidR="0067513E">
        <w:rPr>
          <w:rFonts w:hint="cs"/>
          <w:b w:val="0"/>
          <w:bCs w:val="0"/>
          <w:rtl/>
          <w:lang w:bidi="ar-SA"/>
        </w:rPr>
        <w:t>كلم.</w:t>
      </w:r>
      <w:r w:rsidR="00BC0F64">
        <w:rPr>
          <w:rFonts w:hint="cs"/>
          <w:b w:val="0"/>
          <w:bCs w:val="0"/>
          <w:rtl/>
          <w:lang w:bidi="ar-SA"/>
        </w:rPr>
        <w:t xml:space="preserve"> </w:t>
      </w:r>
      <w:r w:rsidR="009948DC">
        <w:rPr>
          <w:rFonts w:hint="cs"/>
          <w:b w:val="0"/>
          <w:bCs w:val="0"/>
          <w:rtl/>
          <w:lang w:bidi="ar-SA"/>
        </w:rPr>
        <w:t>و</w:t>
      </w:r>
      <w:r w:rsidR="000B4518">
        <w:rPr>
          <w:rFonts w:hint="cs"/>
          <w:b w:val="0"/>
          <w:bCs w:val="0"/>
          <w:rtl/>
          <w:lang w:bidi="ar-SA"/>
        </w:rPr>
        <w:t xml:space="preserve">يتجلى </w:t>
      </w:r>
      <w:r w:rsidR="00BC0F64">
        <w:rPr>
          <w:rFonts w:hint="cs"/>
          <w:b w:val="0"/>
          <w:bCs w:val="0"/>
          <w:rtl/>
          <w:lang w:bidi="ar-SA"/>
        </w:rPr>
        <w:t xml:space="preserve">الطلب المتزايد بشكل واضح على الخدمات التي تستعمل نطاقي التردد </w:t>
      </w:r>
      <w:r w:rsidR="00BC0F64" w:rsidRPr="009948DC">
        <w:rPr>
          <w:rFonts w:ascii="Times New Roman" w:hAnsi="Times New Roman"/>
          <w:b w:val="0"/>
          <w:bCs w:val="0"/>
          <w:lang w:bidi="ar-SA"/>
        </w:rPr>
        <w:t>GHz 30-27,5</w:t>
      </w:r>
      <w:r w:rsidR="00BC0F64">
        <w:rPr>
          <w:rFonts w:hint="cs"/>
          <w:b w:val="0"/>
          <w:bCs w:val="0"/>
          <w:rtl/>
          <w:lang w:bidi="ar-SA"/>
        </w:rPr>
        <w:t xml:space="preserve"> (أرض-فضاء) </w:t>
      </w:r>
      <w:r w:rsidR="00BC0F64" w:rsidRPr="002F1A7C">
        <w:rPr>
          <w:rFonts w:hint="cs"/>
          <w:b w:val="0"/>
          <w:bCs w:val="0"/>
          <w:spacing w:val="2"/>
          <w:rtl/>
          <w:lang w:bidi="ar-SA"/>
        </w:rPr>
        <w:t>و</w:t>
      </w:r>
      <w:r w:rsidR="00BC0F64" w:rsidRPr="002F1A7C">
        <w:rPr>
          <w:rFonts w:ascii="Times New Roman" w:hAnsi="Times New Roman"/>
          <w:b w:val="0"/>
          <w:bCs w:val="0"/>
          <w:spacing w:val="2"/>
          <w:lang w:bidi="ar-SA"/>
        </w:rPr>
        <w:t>GHz 20,2-17,7</w:t>
      </w:r>
      <w:r w:rsidR="00BC0F64" w:rsidRPr="002F1A7C">
        <w:rPr>
          <w:rFonts w:hint="cs"/>
          <w:b w:val="0"/>
          <w:bCs w:val="0"/>
          <w:spacing w:val="2"/>
          <w:rtl/>
          <w:lang w:bidi="ar-SA"/>
        </w:rPr>
        <w:t xml:space="preserve"> (فضاء-أرض) من أجل الأنظمة غير المستقرة بالنس</w:t>
      </w:r>
      <w:r w:rsidR="000B4518" w:rsidRPr="002F1A7C">
        <w:rPr>
          <w:rFonts w:hint="cs"/>
          <w:b w:val="0"/>
          <w:bCs w:val="0"/>
          <w:spacing w:val="2"/>
          <w:rtl/>
          <w:lang w:bidi="ar-SA"/>
        </w:rPr>
        <w:t>ب</w:t>
      </w:r>
      <w:r w:rsidR="00BC0F64" w:rsidRPr="002F1A7C">
        <w:rPr>
          <w:rFonts w:hint="cs"/>
          <w:b w:val="0"/>
          <w:bCs w:val="0"/>
          <w:spacing w:val="2"/>
          <w:rtl/>
          <w:lang w:bidi="ar-SA"/>
        </w:rPr>
        <w:t xml:space="preserve">ة إلى الأرض </w:t>
      </w:r>
      <w:r w:rsidR="00306DF9" w:rsidRPr="002F1A7C">
        <w:rPr>
          <w:rFonts w:hint="cs"/>
          <w:b w:val="0"/>
          <w:bCs w:val="0"/>
          <w:spacing w:val="2"/>
          <w:rtl/>
          <w:lang w:bidi="ar-SA"/>
        </w:rPr>
        <w:t xml:space="preserve">في </w:t>
      </w:r>
      <w:r w:rsidR="009948DC" w:rsidRPr="002F1A7C">
        <w:rPr>
          <w:rFonts w:hint="cs"/>
          <w:b w:val="0"/>
          <w:bCs w:val="0"/>
          <w:spacing w:val="2"/>
          <w:rtl/>
          <w:lang w:bidi="ar-SA"/>
        </w:rPr>
        <w:t xml:space="preserve">أمثلة من قبيل </w:t>
      </w:r>
      <w:r w:rsidR="009948DC" w:rsidRPr="002F1A7C">
        <w:rPr>
          <w:rFonts w:ascii="Times New Roman" w:hAnsi="Times New Roman"/>
          <w:b w:val="0"/>
          <w:bCs w:val="0"/>
          <w:color w:val="000000"/>
          <w:spacing w:val="2"/>
          <w:rtl/>
        </w:rPr>
        <w:t xml:space="preserve">مجموعة </w:t>
      </w:r>
      <w:r w:rsidR="009948DC" w:rsidRPr="002F1A7C">
        <w:rPr>
          <w:rFonts w:ascii="Times New Roman" w:hAnsi="Times New Roman" w:hint="cs"/>
          <w:b w:val="0"/>
          <w:bCs w:val="0"/>
          <w:color w:val="000000"/>
          <w:spacing w:val="2"/>
          <w:rtl/>
        </w:rPr>
        <w:t>ال</w:t>
      </w:r>
      <w:r w:rsidR="009948DC" w:rsidRPr="002F1A7C">
        <w:rPr>
          <w:rFonts w:ascii="Times New Roman" w:hAnsi="Times New Roman"/>
          <w:b w:val="0"/>
          <w:bCs w:val="0"/>
          <w:color w:val="000000"/>
          <w:spacing w:val="2"/>
          <w:rtl/>
        </w:rPr>
        <w:t>سواتل</w:t>
      </w:r>
      <w:r w:rsidR="0056076C">
        <w:rPr>
          <w:rFonts w:ascii="Times New Roman" w:hAnsi="Times New Roman" w:hint="eastAsia"/>
          <w:b w:val="0"/>
          <w:bCs w:val="0"/>
          <w:color w:val="000000"/>
          <w:spacing w:val="2"/>
          <w:rtl/>
        </w:rPr>
        <w:t> </w:t>
      </w:r>
      <w:r w:rsidR="00306DF9" w:rsidRPr="002F1A7C">
        <w:rPr>
          <w:rFonts w:ascii="Times New Roman" w:hAnsi="Times New Roman"/>
          <w:b w:val="0"/>
          <w:bCs w:val="0"/>
          <w:color w:val="000000"/>
          <w:spacing w:val="2"/>
        </w:rPr>
        <w:t>O3b</w:t>
      </w:r>
      <w:r w:rsidR="009948DC" w:rsidRPr="002F1A7C">
        <w:rPr>
          <w:rFonts w:ascii="Times New Roman" w:hAnsi="Times New Roman" w:hint="cs"/>
          <w:b w:val="0"/>
          <w:bCs w:val="0"/>
          <w:spacing w:val="2"/>
          <w:rtl/>
          <w:lang w:bidi="ar-SA"/>
        </w:rPr>
        <w:t xml:space="preserve"> في</w:t>
      </w:r>
      <w:r w:rsidR="00B310EC">
        <w:rPr>
          <w:rFonts w:ascii="Times New Roman" w:hAnsi="Times New Roman" w:hint="eastAsia"/>
          <w:b w:val="0"/>
          <w:bCs w:val="0"/>
          <w:spacing w:val="2"/>
          <w:rtl/>
          <w:lang w:bidi="ar-SA"/>
        </w:rPr>
        <w:t> </w:t>
      </w:r>
      <w:r w:rsidR="009948DC" w:rsidRPr="002F1A7C">
        <w:rPr>
          <w:rFonts w:ascii="Times New Roman" w:hAnsi="Times New Roman" w:hint="cs"/>
          <w:b w:val="0"/>
          <w:bCs w:val="0"/>
          <w:spacing w:val="2"/>
          <w:rtl/>
          <w:lang w:bidi="ar-SA"/>
        </w:rPr>
        <w:t>مدار أرضي متوسط التي تعمل بنجاح على الصعيد العالمي في أجزاء من هذين النطاقين إلى جانب أنظمة أخرى أُطلقت مؤخراً أو سيجري تشغيلها في المستقبل القريب.</w:t>
      </w:r>
    </w:p>
    <w:p w14:paraId="0AFB843C" w14:textId="4E3654A3" w:rsidR="00CD129D" w:rsidRPr="00587591" w:rsidRDefault="00587591" w:rsidP="008614B8">
      <w:pPr>
        <w:rPr>
          <w:rtl/>
        </w:rPr>
      </w:pPr>
      <w:r>
        <w:rPr>
          <w:rFonts w:hint="cs"/>
          <w:rtl/>
        </w:rPr>
        <w:lastRenderedPageBreak/>
        <w:t>وبناء</w:t>
      </w:r>
      <w:r w:rsidR="00E8363C">
        <w:rPr>
          <w:rFonts w:hint="cs"/>
          <w:rtl/>
        </w:rPr>
        <w:t>ً</w:t>
      </w:r>
      <w:r>
        <w:rPr>
          <w:rFonts w:hint="cs"/>
          <w:rtl/>
        </w:rPr>
        <w:t xml:space="preserve"> على ذلك، </w:t>
      </w:r>
      <w:r w:rsidR="00306DF9">
        <w:rPr>
          <w:rFonts w:hint="cs"/>
          <w:rtl/>
        </w:rPr>
        <w:t xml:space="preserve">من </w:t>
      </w:r>
      <w:proofErr w:type="spellStart"/>
      <w:r w:rsidR="00306DF9">
        <w:rPr>
          <w:rFonts w:hint="cs"/>
          <w:rtl/>
        </w:rPr>
        <w:t>المستصوب</w:t>
      </w:r>
      <w:proofErr w:type="spellEnd"/>
      <w:r>
        <w:rPr>
          <w:rFonts w:hint="cs"/>
          <w:rtl/>
        </w:rPr>
        <w:t xml:space="preserve"> تيسير </w:t>
      </w:r>
      <w:r w:rsidR="00306DF9">
        <w:rPr>
          <w:rFonts w:hint="cs"/>
          <w:rtl/>
        </w:rPr>
        <w:t>ال</w:t>
      </w:r>
      <w:r>
        <w:rPr>
          <w:rFonts w:hint="cs"/>
          <w:rtl/>
        </w:rPr>
        <w:t xml:space="preserve">نفاذ إلى الطيف في الاتجاه </w:t>
      </w:r>
      <w:r w:rsidR="00306DF9">
        <w:rPr>
          <w:rFonts w:hint="cs"/>
          <w:rtl/>
        </w:rPr>
        <w:t>فضاء-أرض</w:t>
      </w:r>
      <w:r>
        <w:rPr>
          <w:rFonts w:hint="cs"/>
          <w:rtl/>
        </w:rPr>
        <w:t xml:space="preserve"> في النطاق </w:t>
      </w:r>
      <w:r>
        <w:t>GHz 18,8-18,6</w:t>
      </w:r>
      <w:r w:rsidR="00306DF9">
        <w:rPr>
          <w:rFonts w:hint="cs"/>
          <w:rtl/>
        </w:rPr>
        <w:t xml:space="preserve"> من جانب </w:t>
      </w:r>
      <w:r w:rsidR="00306DF9" w:rsidRPr="00587591">
        <w:rPr>
          <w:rFonts w:hint="cs"/>
          <w:rtl/>
        </w:rPr>
        <w:t>أنظمة المدارات الأرضية المنخفضة والمدارات الأرضية المتوسطة</w:t>
      </w:r>
      <w:r w:rsidR="00306DF9">
        <w:rPr>
          <w:rFonts w:hint="cs"/>
          <w:rtl/>
        </w:rPr>
        <w:t xml:space="preserve"> غير المستقرة بالنسبة إلى الأرض</w:t>
      </w:r>
      <w:r>
        <w:rPr>
          <w:rFonts w:hint="cs"/>
          <w:rtl/>
        </w:rPr>
        <w:t xml:space="preserve">، </w:t>
      </w:r>
      <w:r w:rsidR="00306DF9">
        <w:rPr>
          <w:rFonts w:hint="cs"/>
          <w:rtl/>
        </w:rPr>
        <w:t>ومن ثم تمكين</w:t>
      </w:r>
      <w:r>
        <w:rPr>
          <w:rFonts w:hint="cs"/>
          <w:rtl/>
        </w:rPr>
        <w:t xml:space="preserve"> </w:t>
      </w:r>
      <w:r w:rsidR="00FC23B1">
        <w:rPr>
          <w:rFonts w:hint="cs"/>
          <w:rtl/>
        </w:rPr>
        <w:t xml:space="preserve">استعمالها </w:t>
      </w:r>
      <w:r w:rsidR="00D73516">
        <w:rPr>
          <w:rFonts w:hint="cs"/>
          <w:rtl/>
        </w:rPr>
        <w:t>بشكل متجاور</w:t>
      </w:r>
      <w:r>
        <w:rPr>
          <w:rFonts w:hint="cs"/>
          <w:rtl/>
        </w:rPr>
        <w:t xml:space="preserve"> في</w:t>
      </w:r>
      <w:r w:rsidR="00E8363C">
        <w:rPr>
          <w:rFonts w:hint="eastAsia"/>
          <w:rtl/>
        </w:rPr>
        <w:t> </w:t>
      </w:r>
      <w:r>
        <w:rPr>
          <w:rFonts w:hint="cs"/>
          <w:rtl/>
        </w:rPr>
        <w:t>المدى</w:t>
      </w:r>
      <w:r w:rsidR="00581FEA">
        <w:rPr>
          <w:rFonts w:hint="eastAsia"/>
          <w:rtl/>
        </w:rPr>
        <w:t> </w:t>
      </w:r>
      <w:r>
        <w:t>GHz 20,2-17,7</w:t>
      </w:r>
      <w:r>
        <w:rPr>
          <w:rFonts w:hint="cs"/>
          <w:rtl/>
        </w:rPr>
        <w:t xml:space="preserve">، </w:t>
      </w:r>
      <w:r w:rsidR="00E22E78" w:rsidRPr="00D73516">
        <w:rPr>
          <w:rFonts w:hint="cs"/>
          <w:rtl/>
        </w:rPr>
        <w:t>و</w:t>
      </w:r>
      <w:r w:rsidR="00306DF9" w:rsidRPr="00D73516">
        <w:rPr>
          <w:rFonts w:hint="cs"/>
          <w:rtl/>
        </w:rPr>
        <w:t>التي يكون من</w:t>
      </w:r>
      <w:r w:rsidRPr="00D73516">
        <w:rPr>
          <w:rFonts w:hint="cs"/>
          <w:rtl/>
        </w:rPr>
        <w:t xml:space="preserve"> الضروري النظر في </w:t>
      </w:r>
      <w:r w:rsidR="00E22E78" w:rsidRPr="00D73516">
        <w:rPr>
          <w:rFonts w:hint="cs"/>
          <w:rtl/>
        </w:rPr>
        <w:t>تعايشها</w:t>
      </w:r>
      <w:r>
        <w:rPr>
          <w:rFonts w:hint="cs"/>
          <w:rtl/>
        </w:rPr>
        <w:t xml:space="preserve"> مع خدمات أخرى يُحتمل أن تتعرض للتأثر.</w:t>
      </w:r>
    </w:p>
    <w:p w14:paraId="0D9D380E" w14:textId="1BABA02C" w:rsidR="00CD129D" w:rsidRPr="00E8363C" w:rsidRDefault="00FC23B1" w:rsidP="00E8363C">
      <w:pPr>
        <w:pStyle w:val="Headingb"/>
        <w:rPr>
          <w:rtl/>
        </w:rPr>
      </w:pPr>
      <w:r w:rsidRPr="00FC23B1">
        <w:rPr>
          <w:rFonts w:hint="cs"/>
          <w:rtl/>
        </w:rPr>
        <w:t>الهدف</w:t>
      </w:r>
    </w:p>
    <w:p w14:paraId="222C670B" w14:textId="7AACC6AC" w:rsidR="00FC23B1" w:rsidRDefault="00FC23B1" w:rsidP="008614B8">
      <w:pPr>
        <w:rPr>
          <w:rtl/>
        </w:rPr>
      </w:pPr>
      <w:r>
        <w:rPr>
          <w:rFonts w:hint="cs"/>
          <w:rtl/>
        </w:rPr>
        <w:t xml:space="preserve">نقترح دراسة وتحديد الشروط التقنية والتنظيمية التي يمكن أن تعمل في ظلها السواتل غير المستقرة بالنسبة إلى الأرض </w:t>
      </w:r>
      <w:r w:rsidR="00045819">
        <w:rPr>
          <w:rFonts w:hint="cs"/>
          <w:rtl/>
        </w:rPr>
        <w:t xml:space="preserve">ذات المدار </w:t>
      </w:r>
      <w:r w:rsidR="00B80A2C">
        <w:rPr>
          <w:rFonts w:hint="cs"/>
          <w:rtl/>
        </w:rPr>
        <w:t xml:space="preserve">الذي </w:t>
      </w:r>
      <w:r w:rsidR="00977D73">
        <w:rPr>
          <w:rFonts w:hint="cs"/>
          <w:rtl/>
        </w:rPr>
        <w:t>يساوي</w:t>
      </w:r>
      <w:r w:rsidR="00B80A2C">
        <w:rPr>
          <w:rFonts w:hint="cs"/>
          <w:rtl/>
        </w:rPr>
        <w:t xml:space="preserve"> أوجه </w:t>
      </w:r>
      <w:r w:rsidR="00977D73">
        <w:rPr>
          <w:rFonts w:hint="cs"/>
          <w:rtl/>
        </w:rPr>
        <w:t>أو يقل</w:t>
      </w:r>
      <w:r w:rsidR="00B80A2C">
        <w:rPr>
          <w:rFonts w:hint="cs"/>
          <w:rtl/>
        </w:rPr>
        <w:t xml:space="preserve"> </w:t>
      </w:r>
      <w:r w:rsidR="00977D73">
        <w:rPr>
          <w:rFonts w:hint="cs"/>
          <w:rtl/>
        </w:rPr>
        <w:t>عن</w:t>
      </w:r>
      <w:r w:rsidR="00045819">
        <w:rPr>
          <w:rFonts w:hint="cs"/>
          <w:rtl/>
        </w:rPr>
        <w:t xml:space="preserve"> </w:t>
      </w:r>
      <w:r w:rsidR="00045819">
        <w:t>20 000</w:t>
      </w:r>
      <w:r w:rsidR="00045819">
        <w:rPr>
          <w:rFonts w:hint="cs"/>
          <w:rtl/>
        </w:rPr>
        <w:t xml:space="preserve"> كلم</w:t>
      </w:r>
      <w:r w:rsidR="00E22E78">
        <w:rPr>
          <w:rFonts w:hint="cs"/>
          <w:rtl/>
        </w:rPr>
        <w:t xml:space="preserve"> دون</w:t>
      </w:r>
      <w:r w:rsidR="00045819">
        <w:rPr>
          <w:rFonts w:hint="cs"/>
          <w:rtl/>
        </w:rPr>
        <w:t xml:space="preserve"> التسبب في تداخلات غير مقبولة لمحطات تابعة لخدمات أخرى لديها توزيعات أولية في نطاق التردد </w:t>
      </w:r>
      <w:r w:rsidR="00045819">
        <w:t>GHz 18,8-18,6</w:t>
      </w:r>
      <w:r w:rsidR="00045819">
        <w:rPr>
          <w:rFonts w:hint="cs"/>
          <w:rtl/>
        </w:rPr>
        <w:t>.</w:t>
      </w:r>
    </w:p>
    <w:p w14:paraId="155F6E36" w14:textId="77777777" w:rsidR="0012545F" w:rsidRDefault="0012545F">
      <w:pPr>
        <w:tabs>
          <w:tab w:val="clear" w:pos="1134"/>
          <w:tab w:val="clear" w:pos="1871"/>
          <w:tab w:val="clear" w:pos="2268"/>
        </w:tabs>
        <w:bidi w:val="0"/>
        <w:spacing w:before="0" w:line="240" w:lineRule="auto"/>
        <w:jc w:val="left"/>
      </w:pPr>
      <w:r>
        <w:rPr>
          <w:rtl/>
        </w:rPr>
        <w:br w:type="page"/>
      </w:r>
    </w:p>
    <w:p w14:paraId="599140F8" w14:textId="77777777" w:rsidR="00347556" w:rsidRDefault="00897988">
      <w:pPr>
        <w:pStyle w:val="Proposal"/>
      </w:pPr>
      <w:r>
        <w:lastRenderedPageBreak/>
        <w:t>ADD</w:t>
      </w:r>
      <w:r>
        <w:tab/>
        <w:t>IAP/11A24A6/1</w:t>
      </w:r>
    </w:p>
    <w:p w14:paraId="3476625B" w14:textId="3BBEA621" w:rsidR="00347556" w:rsidRPr="004A4B77" w:rsidRDefault="004A4B77" w:rsidP="004A4B77">
      <w:pPr>
        <w:pStyle w:val="ResNo"/>
      </w:pPr>
      <w:r w:rsidRPr="004A4B77">
        <w:rPr>
          <w:rFonts w:hint="cs"/>
          <w:rtl/>
        </w:rPr>
        <w:t>مشروع قرار جديد</w:t>
      </w:r>
      <w:r>
        <w:rPr>
          <w:rFonts w:hint="cs"/>
          <w:rtl/>
        </w:rPr>
        <w:t xml:space="preserve"> </w:t>
      </w:r>
      <w:r w:rsidR="00897988" w:rsidRPr="004A4B77">
        <w:t>[IAP</w:t>
      </w:r>
      <w:r>
        <w:t>/</w:t>
      </w:r>
      <w:r w:rsidR="00897988" w:rsidRPr="004A4B77">
        <w:t>10(F)-2023]</w:t>
      </w:r>
      <w:r>
        <w:t xml:space="preserve"> (WRC-19)</w:t>
      </w:r>
    </w:p>
    <w:p w14:paraId="5A60A00A" w14:textId="1FB2A0B9" w:rsidR="004A4B77" w:rsidRPr="004763BC" w:rsidRDefault="004A4B77" w:rsidP="00422F6D">
      <w:pPr>
        <w:pStyle w:val="Restitle"/>
      </w:pPr>
      <w:bookmarkStart w:id="1" w:name="_Toc446346168"/>
      <w:r w:rsidRPr="000E4894">
        <w:rPr>
          <w:rFonts w:hint="cs"/>
          <w:rtl/>
        </w:rPr>
        <w:t xml:space="preserve">جدول أعمال المؤتمر العالمي للاتصالات الراديوية لعام </w:t>
      </w:r>
      <w:r w:rsidRPr="000E4894">
        <w:t>2023</w:t>
      </w:r>
      <w:bookmarkEnd w:id="1"/>
    </w:p>
    <w:p w14:paraId="16EA34B0" w14:textId="27936B64" w:rsidR="004A4B77" w:rsidRPr="004763BC" w:rsidRDefault="004A4B77" w:rsidP="004A4B77">
      <w:pPr>
        <w:pStyle w:val="Normalaftertitle"/>
      </w:pPr>
      <w:r w:rsidRPr="004763BC">
        <w:rPr>
          <w:rFonts w:hint="cs"/>
          <w:rtl/>
        </w:rPr>
        <w:t>إن المؤتمر العالمي للاتصالات الراديوية (</w:t>
      </w:r>
      <w:r>
        <w:rPr>
          <w:rFonts w:hint="cs"/>
          <w:rtl/>
        </w:rPr>
        <w:t xml:space="preserve">شرم الشيخ، </w:t>
      </w:r>
      <w:r>
        <w:t>2019</w:t>
      </w:r>
      <w:r w:rsidRPr="004763BC">
        <w:rPr>
          <w:rFonts w:hint="cs"/>
          <w:rtl/>
        </w:rPr>
        <w:t>)،</w:t>
      </w:r>
    </w:p>
    <w:p w14:paraId="14D44623" w14:textId="4E866940" w:rsidR="00347556" w:rsidRDefault="004A4B77" w:rsidP="004A4B77">
      <w:pPr>
        <w:rPr>
          <w:rtl/>
        </w:rPr>
      </w:pPr>
      <w:r>
        <w:rPr>
          <w:rFonts w:hint="cs"/>
          <w:rtl/>
        </w:rPr>
        <w:t>...</w:t>
      </w:r>
    </w:p>
    <w:p w14:paraId="1580920C" w14:textId="4592BA23" w:rsidR="004A4B77" w:rsidRPr="00431CD9" w:rsidRDefault="004A4B77" w:rsidP="004A4B77">
      <w:pPr>
        <w:rPr>
          <w:rFonts w:ascii="Traditional Arabic" w:hAnsi="Traditional Arabic"/>
          <w:sz w:val="30"/>
          <w:rtl/>
        </w:rPr>
      </w:pPr>
      <w:r>
        <w:t>xx.1</w:t>
      </w:r>
      <w:r>
        <w:rPr>
          <w:rtl/>
          <w:lang w:bidi="ar-EG"/>
        </w:rPr>
        <w:tab/>
      </w:r>
      <w:r w:rsidR="000E4894">
        <w:rPr>
          <w:rFonts w:hint="cs"/>
          <w:rtl/>
        </w:rPr>
        <w:t>دراسة الأحكام التقنية والتنظيمية للأنظمة غير المستقرة بالنسبة إلى الأرض في الخدمة الثابتة الساتلية العاملة في</w:t>
      </w:r>
      <w:r w:rsidR="006C0960">
        <w:rPr>
          <w:rFonts w:hint="eastAsia"/>
          <w:rtl/>
        </w:rPr>
        <w:t> </w:t>
      </w:r>
      <w:r w:rsidR="000E4894">
        <w:rPr>
          <w:rFonts w:hint="cs"/>
          <w:rtl/>
        </w:rPr>
        <w:t>نطاق التردد</w:t>
      </w:r>
      <w:r w:rsidR="001C2D3F">
        <w:rPr>
          <w:rFonts w:hint="eastAsia"/>
          <w:rtl/>
        </w:rPr>
        <w:t> </w:t>
      </w:r>
      <w:r w:rsidR="000E4894">
        <w:t>GHz 18,8-18,6</w:t>
      </w:r>
      <w:r w:rsidR="000E4894">
        <w:rPr>
          <w:rFonts w:hint="cs"/>
          <w:rtl/>
        </w:rPr>
        <w:t xml:space="preserve"> </w:t>
      </w:r>
      <w:r w:rsidR="00E22E78">
        <w:rPr>
          <w:rFonts w:hint="cs"/>
          <w:rtl/>
        </w:rPr>
        <w:t>مع مدار</w:t>
      </w:r>
      <w:r w:rsidR="000E4894">
        <w:rPr>
          <w:rFonts w:hint="cs"/>
          <w:rtl/>
        </w:rPr>
        <w:t xml:space="preserve"> </w:t>
      </w:r>
      <w:r w:rsidR="000E4894" w:rsidRPr="00977D73">
        <w:rPr>
          <w:rFonts w:hint="cs"/>
          <w:rtl/>
        </w:rPr>
        <w:t xml:space="preserve">يقل أوجه عن </w:t>
      </w:r>
      <w:r w:rsidR="000E4894" w:rsidRPr="00977D73">
        <w:t>20 000</w:t>
      </w:r>
      <w:r w:rsidR="000E4894">
        <w:rPr>
          <w:rFonts w:hint="cs"/>
          <w:rtl/>
        </w:rPr>
        <w:t xml:space="preserve"> كلم، وفقاً للقرار </w:t>
      </w:r>
      <w:r w:rsidR="000E4894" w:rsidRPr="000D3025">
        <w:rPr>
          <w:rFonts w:eastAsia="Calibri"/>
          <w:b/>
          <w:bCs/>
          <w:color w:val="000000"/>
        </w:rPr>
        <w:t>[IAP/10(F)/NGSO-FSS] (WRC-19)</w:t>
      </w:r>
      <w:r w:rsidR="00431CD9">
        <w:rPr>
          <w:rFonts w:ascii="Traditional Arabic" w:eastAsia="Calibri" w:hAnsi="Traditional Arabic" w:hint="cs"/>
          <w:color w:val="000000"/>
          <w:sz w:val="30"/>
          <w:rtl/>
        </w:rPr>
        <w:t>.</w:t>
      </w:r>
    </w:p>
    <w:p w14:paraId="2E937998" w14:textId="076655D5" w:rsidR="00347556" w:rsidRDefault="00897988">
      <w:pPr>
        <w:pStyle w:val="Reasons"/>
        <w:rPr>
          <w:rtl/>
        </w:rPr>
      </w:pPr>
      <w:r>
        <w:rPr>
          <w:rtl/>
        </w:rPr>
        <w:t>الأسباب:</w:t>
      </w:r>
      <w:r>
        <w:tab/>
      </w:r>
      <w:r w:rsidR="000E4894">
        <w:rPr>
          <w:rFonts w:hint="cs"/>
          <w:b w:val="0"/>
          <w:bCs w:val="0"/>
          <w:rtl/>
        </w:rPr>
        <w:t xml:space="preserve">تعديل جدول أعمال المؤتمر العالمي للاتصالات الراديوية لعام </w:t>
      </w:r>
      <w:r w:rsidR="000E4894" w:rsidRPr="000E4894">
        <w:rPr>
          <w:rFonts w:ascii="Times New Roman" w:hAnsi="Times New Roman"/>
          <w:b w:val="0"/>
          <w:bCs w:val="0"/>
        </w:rPr>
        <w:t>2023</w:t>
      </w:r>
      <w:r w:rsidR="009B2336">
        <w:rPr>
          <w:rFonts w:hint="cs"/>
          <w:rtl/>
        </w:rPr>
        <w:t>.</w:t>
      </w:r>
    </w:p>
    <w:p w14:paraId="6AAC7DA1" w14:textId="77777777" w:rsidR="00347556" w:rsidRDefault="00897988">
      <w:pPr>
        <w:pStyle w:val="Proposal"/>
      </w:pPr>
      <w:r>
        <w:t>ADD</w:t>
      </w:r>
      <w:r>
        <w:tab/>
        <w:t>IAP/11A24A6/2</w:t>
      </w:r>
    </w:p>
    <w:p w14:paraId="765C7947" w14:textId="1D0931B3" w:rsidR="00347556" w:rsidRDefault="004A4B77">
      <w:pPr>
        <w:pStyle w:val="ResNo"/>
      </w:pPr>
      <w:r w:rsidRPr="004A4B77">
        <w:rPr>
          <w:rFonts w:hint="cs"/>
          <w:rtl/>
        </w:rPr>
        <w:t>مشروع قرار جديد</w:t>
      </w:r>
      <w:r>
        <w:rPr>
          <w:rFonts w:hint="cs"/>
          <w:rtl/>
        </w:rPr>
        <w:t xml:space="preserve"> </w:t>
      </w:r>
      <w:r w:rsidR="00897988">
        <w:t>[IAP-10(f)/NGSO-FSS]</w:t>
      </w:r>
      <w:r>
        <w:t xml:space="preserve"> (WRC-19)</w:t>
      </w:r>
    </w:p>
    <w:p w14:paraId="149D1801" w14:textId="019F20F8" w:rsidR="009B2336" w:rsidRPr="009B2336" w:rsidRDefault="009B2336" w:rsidP="007229C8">
      <w:pPr>
        <w:pStyle w:val="Restitle"/>
        <w:rPr>
          <w:rtl/>
        </w:rPr>
      </w:pPr>
      <w:r w:rsidRPr="009B2336">
        <w:rPr>
          <w:rFonts w:hint="cs"/>
          <w:rtl/>
        </w:rPr>
        <w:t>دراسة الأحكام التقنية والتنظيمية للأنظمة غير المستقرة بالنسبة إلى الأرض</w:t>
      </w:r>
      <w:r w:rsidR="007229C8">
        <w:rPr>
          <w:rtl/>
        </w:rPr>
        <w:br/>
      </w:r>
      <w:r w:rsidRPr="009B2336">
        <w:rPr>
          <w:rFonts w:hint="cs"/>
          <w:rtl/>
        </w:rPr>
        <w:t xml:space="preserve">في الخدمة الثابتة الساتلية العاملة في نطاق التردد </w:t>
      </w:r>
      <w:r w:rsidRPr="009B2336">
        <w:t>GHz 18,8-18,6</w:t>
      </w:r>
      <w:r w:rsidR="007229C8">
        <w:rPr>
          <w:rtl/>
        </w:rPr>
        <w:br/>
      </w:r>
      <w:r w:rsidR="00D832BB">
        <w:rPr>
          <w:rFonts w:hint="cs"/>
          <w:rtl/>
        </w:rPr>
        <w:t xml:space="preserve">ذات المدارات التي </w:t>
      </w:r>
      <w:r w:rsidRPr="00977D73">
        <w:rPr>
          <w:rFonts w:hint="cs"/>
          <w:rtl/>
        </w:rPr>
        <w:t>يقل أوجه</w:t>
      </w:r>
      <w:r w:rsidR="00D832BB">
        <w:rPr>
          <w:rFonts w:hint="cs"/>
          <w:rtl/>
        </w:rPr>
        <w:t>ا</w:t>
      </w:r>
      <w:r w:rsidRPr="00977D73">
        <w:rPr>
          <w:rFonts w:hint="cs"/>
          <w:rtl/>
        </w:rPr>
        <w:t xml:space="preserve"> عن </w:t>
      </w:r>
      <w:r w:rsidRPr="00977D73">
        <w:t>20 000</w:t>
      </w:r>
      <w:r w:rsidRPr="009B2336">
        <w:rPr>
          <w:rFonts w:hint="cs"/>
          <w:rtl/>
        </w:rPr>
        <w:t xml:space="preserve"> كلم</w:t>
      </w:r>
    </w:p>
    <w:p w14:paraId="6DA35CF0" w14:textId="77777777" w:rsidR="001E1073" w:rsidRPr="004763BC" w:rsidRDefault="001E1073" w:rsidP="001E1073">
      <w:pPr>
        <w:pStyle w:val="Normalaftertitle"/>
      </w:pPr>
      <w:r w:rsidRPr="004763BC">
        <w:rPr>
          <w:rFonts w:hint="cs"/>
          <w:rtl/>
        </w:rPr>
        <w:t>إن المؤتمر العالمي للاتصالات الراديوية (</w:t>
      </w:r>
      <w:r>
        <w:rPr>
          <w:rFonts w:hint="cs"/>
          <w:rtl/>
        </w:rPr>
        <w:t xml:space="preserve">شرم الشيخ، </w:t>
      </w:r>
      <w:r>
        <w:t>2019</w:t>
      </w:r>
      <w:r w:rsidRPr="004763BC">
        <w:rPr>
          <w:rFonts w:hint="cs"/>
          <w:rtl/>
        </w:rPr>
        <w:t>)،</w:t>
      </w:r>
    </w:p>
    <w:p w14:paraId="620FF0D8" w14:textId="77777777" w:rsidR="004A4B77" w:rsidRPr="004763BC" w:rsidRDefault="004A4B77" w:rsidP="004A4B77">
      <w:pPr>
        <w:pStyle w:val="Call"/>
        <w:rPr>
          <w:i w:val="0"/>
          <w:iCs w:val="0"/>
          <w:rtl/>
        </w:rPr>
      </w:pPr>
      <w:r w:rsidRPr="004763BC">
        <w:rPr>
          <w:rFonts w:hint="cs"/>
          <w:rtl/>
        </w:rPr>
        <w:t>إذ يضع في اعتباره</w:t>
      </w:r>
    </w:p>
    <w:p w14:paraId="18978695" w14:textId="3A48D0E9" w:rsidR="004A4B77" w:rsidRPr="004763BC" w:rsidRDefault="001E1073" w:rsidP="004A4B77">
      <w:pPr>
        <w:rPr>
          <w:rtl/>
        </w:rPr>
      </w:pPr>
      <w:r>
        <w:rPr>
          <w:rFonts w:hint="eastAsia"/>
          <w:i/>
          <w:iCs/>
          <w:rtl/>
        </w:rPr>
        <w:t> </w:t>
      </w:r>
      <w:proofErr w:type="gramStart"/>
      <w:r w:rsidR="004A4B77" w:rsidRPr="004763BC">
        <w:rPr>
          <w:rFonts w:hint="cs"/>
          <w:i/>
          <w:iCs/>
          <w:rtl/>
        </w:rPr>
        <w:t>أ</w:t>
      </w:r>
      <w:r>
        <w:rPr>
          <w:rFonts w:hint="eastAsia"/>
          <w:i/>
          <w:iCs/>
          <w:rtl/>
        </w:rPr>
        <w:t> </w:t>
      </w:r>
      <w:r w:rsidR="004A4B77" w:rsidRPr="004763BC">
        <w:rPr>
          <w:rFonts w:hint="cs"/>
          <w:i/>
          <w:iCs/>
          <w:rtl/>
        </w:rPr>
        <w:t>)</w:t>
      </w:r>
      <w:proofErr w:type="gramEnd"/>
      <w:r w:rsidR="004A4B77" w:rsidRPr="004763BC">
        <w:rPr>
          <w:rFonts w:hint="cs"/>
          <w:rtl/>
        </w:rPr>
        <w:tab/>
      </w:r>
      <w:r w:rsidR="009B2336">
        <w:rPr>
          <w:rFonts w:hint="cs"/>
          <w:rtl/>
        </w:rPr>
        <w:t>أن</w:t>
      </w:r>
      <w:r w:rsidR="00C4367C" w:rsidRPr="00C4367C">
        <w:rPr>
          <w:rFonts w:hint="cs"/>
          <w:rtl/>
        </w:rPr>
        <w:t xml:space="preserve"> </w:t>
      </w:r>
      <w:r w:rsidR="00C4367C">
        <w:rPr>
          <w:rFonts w:hint="cs"/>
          <w:rtl/>
        </w:rPr>
        <w:t xml:space="preserve">في الإقليم </w:t>
      </w:r>
      <w:r w:rsidR="00C4367C">
        <w:t>2</w:t>
      </w:r>
      <w:r w:rsidR="00C4367C">
        <w:rPr>
          <w:rFonts w:hint="cs"/>
          <w:rtl/>
        </w:rPr>
        <w:t>، يشكل</w:t>
      </w:r>
      <w:r w:rsidR="009B2336">
        <w:rPr>
          <w:rFonts w:hint="cs"/>
          <w:rtl/>
        </w:rPr>
        <w:t xml:space="preserve"> </w:t>
      </w:r>
      <w:r w:rsidR="00046984">
        <w:rPr>
          <w:rFonts w:hint="cs"/>
          <w:rtl/>
        </w:rPr>
        <w:t>نطاق التردد</w:t>
      </w:r>
      <w:r w:rsidR="009B2336">
        <w:rPr>
          <w:rFonts w:hint="cs"/>
          <w:rtl/>
        </w:rPr>
        <w:t xml:space="preserve"> </w:t>
      </w:r>
      <w:r w:rsidR="009B2336">
        <w:t>GHz 19,3-18,3</w:t>
      </w:r>
      <w:r w:rsidR="009B2336">
        <w:rPr>
          <w:rFonts w:hint="cs"/>
          <w:rtl/>
        </w:rPr>
        <w:t xml:space="preserve"> أحد النطاقات المحددة في الرقم </w:t>
      </w:r>
      <w:r w:rsidR="009B2336" w:rsidRPr="005E06AD">
        <w:rPr>
          <w:b/>
          <w:bCs/>
        </w:rPr>
        <w:t>516B.5</w:t>
      </w:r>
      <w:r w:rsidR="009B2336" w:rsidRPr="005E06AD">
        <w:rPr>
          <w:rFonts w:hint="cs"/>
          <w:b/>
          <w:bCs/>
          <w:rtl/>
        </w:rPr>
        <w:t xml:space="preserve"> </w:t>
      </w:r>
      <w:r w:rsidR="009B2336">
        <w:rPr>
          <w:rFonts w:hint="cs"/>
          <w:rtl/>
        </w:rPr>
        <w:t>من لوائح الراديو ل</w:t>
      </w:r>
      <w:r w:rsidR="00C4367C">
        <w:rPr>
          <w:rFonts w:hint="cs"/>
          <w:rtl/>
        </w:rPr>
        <w:t xml:space="preserve">استعمالها في </w:t>
      </w:r>
      <w:r w:rsidR="009B2336">
        <w:rPr>
          <w:rFonts w:hint="cs"/>
          <w:rtl/>
        </w:rPr>
        <w:t>التطبيقات عالية الكثافة للخدمة الثابتة الساتلية في الاتجاه فضاء-أرض؛</w:t>
      </w:r>
    </w:p>
    <w:p w14:paraId="0812BC21" w14:textId="614DF06B" w:rsidR="004A4B77" w:rsidRPr="004763BC" w:rsidRDefault="004A4B77" w:rsidP="004A4B77">
      <w:pPr>
        <w:rPr>
          <w:rtl/>
        </w:rPr>
      </w:pPr>
      <w:r w:rsidRPr="004763BC">
        <w:rPr>
          <w:rFonts w:hint="cs"/>
          <w:i/>
          <w:iCs/>
          <w:rtl/>
        </w:rPr>
        <w:t>ب)</w:t>
      </w:r>
      <w:r w:rsidRPr="004763BC">
        <w:rPr>
          <w:rFonts w:hint="cs"/>
          <w:rtl/>
        </w:rPr>
        <w:tab/>
      </w:r>
      <w:r w:rsidR="00DC32BB">
        <w:rPr>
          <w:rFonts w:hint="cs"/>
          <w:rtl/>
        </w:rPr>
        <w:t>أن</w:t>
      </w:r>
      <w:r w:rsidR="005E06AD">
        <w:rPr>
          <w:rFonts w:hint="cs"/>
          <w:rtl/>
        </w:rPr>
        <w:t xml:space="preserve"> العديد من الأنظمة الساتلية غير المستقرة بالنسبة إلى الأرض</w:t>
      </w:r>
      <w:r w:rsidR="00DC32BB">
        <w:rPr>
          <w:rFonts w:hint="cs"/>
          <w:rtl/>
        </w:rPr>
        <w:t xml:space="preserve"> </w:t>
      </w:r>
      <w:r w:rsidR="00D832BB" w:rsidRPr="00D832BB">
        <w:rPr>
          <w:rFonts w:hint="cs"/>
          <w:rtl/>
        </w:rPr>
        <w:t>يتم نشرها</w:t>
      </w:r>
      <w:r w:rsidR="005E06AD" w:rsidRPr="00D832BB">
        <w:rPr>
          <w:rFonts w:hint="cs"/>
          <w:rtl/>
        </w:rPr>
        <w:t xml:space="preserve"> </w:t>
      </w:r>
      <w:r w:rsidR="00D832BB" w:rsidRPr="00D832BB">
        <w:rPr>
          <w:rFonts w:hint="cs"/>
          <w:rtl/>
        </w:rPr>
        <w:t>ب</w:t>
      </w:r>
      <w:r w:rsidR="005E06AD" w:rsidRPr="00D832BB">
        <w:rPr>
          <w:rFonts w:hint="cs"/>
          <w:rtl/>
        </w:rPr>
        <w:t>مدارات</w:t>
      </w:r>
      <w:r w:rsidR="005E06AD">
        <w:rPr>
          <w:rFonts w:hint="cs"/>
          <w:rtl/>
        </w:rPr>
        <w:t xml:space="preserve"> </w:t>
      </w:r>
      <w:r w:rsidR="005E06AD" w:rsidRPr="00977D73">
        <w:rPr>
          <w:rFonts w:hint="cs"/>
          <w:rtl/>
        </w:rPr>
        <w:t xml:space="preserve">يقل أوجها عن </w:t>
      </w:r>
      <w:r w:rsidR="005E06AD" w:rsidRPr="00977D73">
        <w:rPr>
          <w:bCs/>
        </w:rPr>
        <w:t>20 000</w:t>
      </w:r>
      <w:r w:rsidR="00380823">
        <w:rPr>
          <w:rFonts w:hint="eastAsia"/>
          <w:bCs/>
          <w:rtl/>
        </w:rPr>
        <w:t> </w:t>
      </w:r>
      <w:r w:rsidR="005E06AD" w:rsidRPr="00977D73">
        <w:rPr>
          <w:rFonts w:hint="cs"/>
          <w:b/>
          <w:rtl/>
        </w:rPr>
        <w:t>كلم</w:t>
      </w:r>
      <w:r w:rsidR="00DC32BB">
        <w:rPr>
          <w:rFonts w:hint="cs"/>
          <w:rtl/>
        </w:rPr>
        <w:t xml:space="preserve"> وتعمل في نطاقات مجاورة لمقطع التردد </w:t>
      </w:r>
      <w:r w:rsidR="00DC32BB">
        <w:t>GHz 18,8-18,6</w:t>
      </w:r>
      <w:r w:rsidR="00DC32BB">
        <w:rPr>
          <w:rFonts w:hint="cs"/>
          <w:rtl/>
        </w:rPr>
        <w:t>؛</w:t>
      </w:r>
    </w:p>
    <w:p w14:paraId="51C7E1BA" w14:textId="2BA3912C" w:rsidR="004A4B77" w:rsidRPr="004763BC" w:rsidRDefault="004A4B77" w:rsidP="004A4B77">
      <w:r w:rsidRPr="004763BC">
        <w:rPr>
          <w:rFonts w:hint="cs"/>
          <w:i/>
          <w:iCs/>
          <w:rtl/>
        </w:rPr>
        <w:t>ج)</w:t>
      </w:r>
      <w:r w:rsidRPr="004763BC">
        <w:rPr>
          <w:rFonts w:hint="cs"/>
          <w:rtl/>
        </w:rPr>
        <w:tab/>
      </w:r>
      <w:r w:rsidR="00EA4745">
        <w:rPr>
          <w:rFonts w:hint="cs"/>
          <w:rtl/>
        </w:rPr>
        <w:t xml:space="preserve">أنه وفقاً للمادة </w:t>
      </w:r>
      <w:r w:rsidR="00EA4745" w:rsidRPr="00EA4745">
        <w:rPr>
          <w:b/>
          <w:bCs/>
        </w:rPr>
        <w:t>22</w:t>
      </w:r>
      <w:r w:rsidR="00EA4745">
        <w:rPr>
          <w:rFonts w:hint="cs"/>
          <w:rtl/>
        </w:rPr>
        <w:t xml:space="preserve">، </w:t>
      </w:r>
      <w:r w:rsidRPr="00EA4745">
        <w:rPr>
          <w:rtl/>
        </w:rPr>
        <w:t xml:space="preserve">يجب </w:t>
      </w:r>
      <w:r w:rsidR="00EA4745" w:rsidRPr="00EA4745">
        <w:rPr>
          <w:rFonts w:hint="cs"/>
          <w:rtl/>
        </w:rPr>
        <w:t>ألا تتسبب</w:t>
      </w:r>
      <w:r w:rsidRPr="00EA4745">
        <w:rPr>
          <w:rtl/>
        </w:rPr>
        <w:t xml:space="preserve"> أنظمة السواتل غير المستقرة بالنسبة إلى الأرض </w:t>
      </w:r>
      <w:r w:rsidR="00EA4745" w:rsidRPr="00EA4745">
        <w:rPr>
          <w:rFonts w:hint="cs"/>
          <w:rtl/>
        </w:rPr>
        <w:t>في</w:t>
      </w:r>
      <w:r w:rsidRPr="00EA4745">
        <w:rPr>
          <w:rtl/>
        </w:rPr>
        <w:t xml:space="preserve"> تداخلات غير</w:t>
      </w:r>
      <w:r w:rsidR="001C2D3F">
        <w:rPr>
          <w:rFonts w:hint="cs"/>
          <w:rtl/>
        </w:rPr>
        <w:t> </w:t>
      </w:r>
      <w:r w:rsidRPr="00EA4745">
        <w:rPr>
          <w:rtl/>
        </w:rPr>
        <w:t xml:space="preserve">مقبولة لشبكات السواتل المستقرة بالنسبة إلى الأرض في الخدمتين الثابتة الساتلية والإذاعية الساتلية </w:t>
      </w:r>
      <w:r w:rsidR="001C2D3F">
        <w:rPr>
          <w:rFonts w:hint="cs"/>
          <w:rtl/>
        </w:rPr>
        <w:t>العاملتين</w:t>
      </w:r>
      <w:r w:rsidRPr="00EA4745">
        <w:rPr>
          <w:rtl/>
        </w:rPr>
        <w:t xml:space="preserve"> طبقاً لأحكام هذه </w:t>
      </w:r>
      <w:r w:rsidRPr="001C2D3F">
        <w:rPr>
          <w:rtl/>
        </w:rPr>
        <w:t>اللوائح</w:t>
      </w:r>
      <w:r w:rsidRPr="00EA4745">
        <w:rPr>
          <w:rtl/>
        </w:rPr>
        <w:t xml:space="preserve">، وما لم يحدد خلاف ذلك في هذه </w:t>
      </w:r>
      <w:r w:rsidRPr="001C2D3F">
        <w:rPr>
          <w:rtl/>
        </w:rPr>
        <w:t>اللوائح</w:t>
      </w:r>
      <w:r w:rsidRPr="00EA4745">
        <w:rPr>
          <w:rtl/>
        </w:rPr>
        <w:t xml:space="preserve"> لا تطالب بالحماية منها</w:t>
      </w:r>
      <w:r w:rsidR="00380823">
        <w:rPr>
          <w:rFonts w:hint="cs"/>
          <w:rtl/>
        </w:rPr>
        <w:t>؛</w:t>
      </w:r>
    </w:p>
    <w:p w14:paraId="682B7785" w14:textId="5F9B7AFB" w:rsidR="00347556" w:rsidRDefault="004A4B77" w:rsidP="004A4B77">
      <w:pPr>
        <w:rPr>
          <w:rtl/>
        </w:rPr>
      </w:pPr>
      <w:proofErr w:type="gramStart"/>
      <w:r w:rsidRPr="004A4B77">
        <w:rPr>
          <w:rFonts w:hint="cs"/>
          <w:i/>
          <w:iCs/>
          <w:rtl/>
        </w:rPr>
        <w:t>د )</w:t>
      </w:r>
      <w:proofErr w:type="gramEnd"/>
      <w:r>
        <w:rPr>
          <w:rtl/>
        </w:rPr>
        <w:tab/>
      </w:r>
      <w:r w:rsidR="00AF3FB4">
        <w:rPr>
          <w:rFonts w:hint="cs"/>
          <w:rtl/>
        </w:rPr>
        <w:t xml:space="preserve">أن النطاق </w:t>
      </w:r>
      <w:r w:rsidR="00AF3FB4">
        <w:t>GHz 18,8-18,6</w:t>
      </w:r>
      <w:r w:rsidR="00AF3FB4">
        <w:rPr>
          <w:rFonts w:hint="cs"/>
          <w:rtl/>
        </w:rPr>
        <w:t xml:space="preserve"> موزع أيضاً على أساس أولي لخدمة استكشاف الأرض الساتلية (المنفعلة) وخدمة الأبحاث الفضائية (المنفعلة)، نظراً إلى أن الجدول </w:t>
      </w:r>
      <w:r w:rsidR="00AF3FB4" w:rsidRPr="00C4367C">
        <w:rPr>
          <w:b/>
          <w:bCs/>
        </w:rPr>
        <w:t>4-21</w:t>
      </w:r>
      <w:r w:rsidR="00AF3FB4">
        <w:rPr>
          <w:rFonts w:hint="cs"/>
          <w:rtl/>
        </w:rPr>
        <w:t xml:space="preserve"> </w:t>
      </w:r>
      <w:r w:rsidR="00C4367C">
        <w:rPr>
          <w:rFonts w:hint="cs"/>
          <w:rtl/>
        </w:rPr>
        <w:t xml:space="preserve">من المادة </w:t>
      </w:r>
      <w:r w:rsidR="00C4367C" w:rsidRPr="00C4367C">
        <w:rPr>
          <w:b/>
          <w:bCs/>
        </w:rPr>
        <w:t>21</w:t>
      </w:r>
      <w:r w:rsidR="00C4367C">
        <w:rPr>
          <w:rFonts w:hint="cs"/>
          <w:rtl/>
        </w:rPr>
        <w:t xml:space="preserve"> يضع</w:t>
      </w:r>
      <w:r w:rsidR="00AF3FB4">
        <w:rPr>
          <w:rFonts w:hint="cs"/>
          <w:rtl/>
        </w:rPr>
        <w:t xml:space="preserve"> حداً أقصى لكثافة تدفق القدرة للأنظمة في</w:t>
      </w:r>
      <w:r w:rsidR="001C2D3F">
        <w:rPr>
          <w:rFonts w:hint="eastAsia"/>
          <w:rtl/>
        </w:rPr>
        <w:t> </w:t>
      </w:r>
      <w:r w:rsidR="00AF3FB4">
        <w:rPr>
          <w:rFonts w:hint="cs"/>
          <w:rtl/>
        </w:rPr>
        <w:t xml:space="preserve">الخدمة الثابتة الساتلية لجعل التعايش ممكناً. واستندت الدراسات التي </w:t>
      </w:r>
      <w:r w:rsidR="001C2D3F">
        <w:rPr>
          <w:rFonts w:hint="cs"/>
          <w:rtl/>
        </w:rPr>
        <w:t>بينت</w:t>
      </w:r>
      <w:r w:rsidR="00AF3FB4">
        <w:rPr>
          <w:rFonts w:hint="cs"/>
          <w:rtl/>
        </w:rPr>
        <w:t xml:space="preserve"> الحاجة </w:t>
      </w:r>
      <w:r w:rsidR="001C2D3F">
        <w:rPr>
          <w:rFonts w:hint="cs"/>
          <w:rtl/>
        </w:rPr>
        <w:t>إلى وضع</w:t>
      </w:r>
      <w:r w:rsidR="00AF3FB4">
        <w:rPr>
          <w:rFonts w:hint="cs"/>
          <w:rtl/>
        </w:rPr>
        <w:t xml:space="preserve"> الحد المذكور أعلاه إلى نظام غير مستقر بالنسبة إلى الأرض في الخدمة الثابتة الساتلية مع مدار </w:t>
      </w:r>
      <w:r w:rsidR="00C4367C">
        <w:rPr>
          <w:rFonts w:hint="cs"/>
          <w:rtl/>
        </w:rPr>
        <w:t>يفوق</w:t>
      </w:r>
      <w:r w:rsidR="00AF3FB4">
        <w:rPr>
          <w:rFonts w:hint="cs"/>
          <w:rtl/>
        </w:rPr>
        <w:t xml:space="preserve"> أوجه </w:t>
      </w:r>
      <w:r w:rsidR="00AF3FB4">
        <w:t>20 000</w:t>
      </w:r>
      <w:r w:rsidR="00AF3FB4">
        <w:rPr>
          <w:rFonts w:hint="cs"/>
          <w:rtl/>
        </w:rPr>
        <w:t xml:space="preserve"> كلم،</w:t>
      </w:r>
    </w:p>
    <w:p w14:paraId="23FE8A89" w14:textId="303C87E9" w:rsidR="004A4B77" w:rsidRPr="004A4B77" w:rsidRDefault="00DB728F" w:rsidP="004A4B77">
      <w:pPr>
        <w:pStyle w:val="Call"/>
        <w:rPr>
          <w:rFonts w:asciiTheme="minorHAnsi" w:hAnsiTheme="minorHAnsi"/>
          <w:rtl/>
          <w:lang w:bidi="ar-EG"/>
        </w:rPr>
      </w:pPr>
      <w:r>
        <w:rPr>
          <w:rFonts w:hint="cs"/>
          <w:rtl/>
        </w:rPr>
        <w:t>وإذ يلاحظ</w:t>
      </w:r>
    </w:p>
    <w:p w14:paraId="71DB25C4" w14:textId="6446A1CD" w:rsidR="004A4B77" w:rsidRDefault="00DB728F" w:rsidP="004A4B77">
      <w:pPr>
        <w:rPr>
          <w:rtl/>
        </w:rPr>
      </w:pPr>
      <w:r>
        <w:rPr>
          <w:rFonts w:hint="cs"/>
          <w:rtl/>
        </w:rPr>
        <w:t>أن هناك في الوقت الحاضر العديد من الشبكات الساتلية المستقرة بالنسبة إلى الأرض في الخدمة الثابتة الساتلية التي تعمل في نطاق التردد</w:t>
      </w:r>
      <w:r w:rsidR="00380823">
        <w:rPr>
          <w:rFonts w:hint="eastAsia"/>
          <w:rtl/>
        </w:rPr>
        <w:t> </w:t>
      </w:r>
      <w:r>
        <w:t>GHz 18,8-18,6</w:t>
      </w:r>
      <w:r>
        <w:rPr>
          <w:rFonts w:hint="cs"/>
          <w:rtl/>
        </w:rPr>
        <w:t xml:space="preserve"> وفقاً لأحكام لوائح الراديو،</w:t>
      </w:r>
    </w:p>
    <w:p w14:paraId="2185216F" w14:textId="04BA1503" w:rsidR="00DB728F" w:rsidRPr="00DB728F" w:rsidRDefault="00DB728F" w:rsidP="00380823">
      <w:pPr>
        <w:pStyle w:val="Call"/>
        <w:rPr>
          <w:rtl/>
        </w:rPr>
      </w:pPr>
      <w:r w:rsidRPr="00DB728F">
        <w:rPr>
          <w:rFonts w:hint="cs"/>
          <w:rtl/>
        </w:rPr>
        <w:lastRenderedPageBreak/>
        <w:t>وإذ يدرك</w:t>
      </w:r>
    </w:p>
    <w:p w14:paraId="0AB9C41D" w14:textId="6226CEEC" w:rsidR="00DB728F" w:rsidRPr="004763BC" w:rsidRDefault="00DB728F" w:rsidP="004A4B77">
      <w:pPr>
        <w:rPr>
          <w:rtl/>
        </w:rPr>
      </w:pPr>
      <w:r>
        <w:rPr>
          <w:rFonts w:hint="eastAsia"/>
          <w:i/>
          <w:iCs/>
          <w:rtl/>
        </w:rPr>
        <w:t> </w:t>
      </w:r>
      <w:proofErr w:type="gramStart"/>
      <w:r w:rsidRPr="004763BC">
        <w:rPr>
          <w:rFonts w:hint="cs"/>
          <w:i/>
          <w:iCs/>
          <w:rtl/>
        </w:rPr>
        <w:t>أ</w:t>
      </w:r>
      <w:r>
        <w:rPr>
          <w:rFonts w:hint="eastAsia"/>
          <w:i/>
          <w:iCs/>
          <w:rtl/>
        </w:rPr>
        <w:t> </w:t>
      </w:r>
      <w:r w:rsidRPr="004763BC">
        <w:rPr>
          <w:rFonts w:hint="cs"/>
          <w:i/>
          <w:iCs/>
          <w:rtl/>
        </w:rPr>
        <w:t>)</w:t>
      </w:r>
      <w:proofErr w:type="gramEnd"/>
      <w:r>
        <w:rPr>
          <w:rtl/>
        </w:rPr>
        <w:tab/>
      </w:r>
      <w:r>
        <w:rPr>
          <w:rFonts w:hint="cs"/>
          <w:rtl/>
        </w:rPr>
        <w:t xml:space="preserve">أن نطاق التردد </w:t>
      </w:r>
      <w:r>
        <w:t>GHz 18,8-18,6</w:t>
      </w:r>
      <w:r>
        <w:rPr>
          <w:rFonts w:hint="cs"/>
          <w:rtl/>
        </w:rPr>
        <w:t xml:space="preserve"> موزع في جميع أنحاء العالم </w:t>
      </w:r>
      <w:r w:rsidR="00EE7E3D">
        <w:rPr>
          <w:rFonts w:hint="cs"/>
          <w:rtl/>
        </w:rPr>
        <w:t>للخدمات</w:t>
      </w:r>
      <w:r>
        <w:rPr>
          <w:rFonts w:hint="cs"/>
          <w:rtl/>
        </w:rPr>
        <w:t xml:space="preserve"> الثابتة والمتنقلة والثابتة الساتلية (فضاء-أرض)</w:t>
      </w:r>
      <w:r w:rsidR="00380823">
        <w:rPr>
          <w:rFonts w:hint="cs"/>
          <w:rtl/>
        </w:rPr>
        <w:t>،</w:t>
      </w:r>
      <w:r>
        <w:rPr>
          <w:rFonts w:hint="cs"/>
          <w:rtl/>
        </w:rPr>
        <w:t xml:space="preserve"> و</w:t>
      </w:r>
      <w:r w:rsidR="00257683">
        <w:rPr>
          <w:rFonts w:hint="cs"/>
          <w:rtl/>
        </w:rPr>
        <w:t>ل</w:t>
      </w:r>
      <w:r>
        <w:rPr>
          <w:rFonts w:hint="cs"/>
          <w:rtl/>
        </w:rPr>
        <w:t>خدمة استكشاف الأرض الساتلية (المنفعلة) و</w:t>
      </w:r>
      <w:r w:rsidR="00257683">
        <w:rPr>
          <w:rFonts w:hint="cs"/>
          <w:rtl/>
        </w:rPr>
        <w:t xml:space="preserve">موزع </w:t>
      </w:r>
      <w:r>
        <w:rPr>
          <w:rFonts w:hint="cs"/>
          <w:rtl/>
        </w:rPr>
        <w:t xml:space="preserve">في الإقليم </w:t>
      </w:r>
      <w:r>
        <w:t>2</w:t>
      </w:r>
      <w:r>
        <w:rPr>
          <w:rFonts w:hint="cs"/>
          <w:rtl/>
        </w:rPr>
        <w:t xml:space="preserve"> لخدمة الأبحاث الفضائية (المنفعلة)؛</w:t>
      </w:r>
    </w:p>
    <w:p w14:paraId="7F44C6A9" w14:textId="1C65D191" w:rsidR="004A4B77" w:rsidRPr="004763BC" w:rsidRDefault="004A4B77" w:rsidP="004A4B77">
      <w:pPr>
        <w:rPr>
          <w:rtl/>
        </w:rPr>
      </w:pPr>
      <w:r w:rsidRPr="004763BC">
        <w:rPr>
          <w:rFonts w:hint="cs"/>
          <w:i/>
          <w:iCs/>
          <w:rtl/>
        </w:rPr>
        <w:t>ب)</w:t>
      </w:r>
      <w:r w:rsidRPr="004763BC">
        <w:rPr>
          <w:rFonts w:hint="cs"/>
          <w:rtl/>
        </w:rPr>
        <w:tab/>
      </w:r>
      <w:r w:rsidR="00FE505F">
        <w:rPr>
          <w:rFonts w:hint="cs"/>
          <w:rtl/>
        </w:rPr>
        <w:t xml:space="preserve">أن إرسالات الخدمة الثابتة والخدمة الثابتة الساتلية في النطاق </w:t>
      </w:r>
      <w:r w:rsidR="00FE505F">
        <w:t>GHz 18,8-18,6</w:t>
      </w:r>
      <w:r w:rsidR="00FE505F">
        <w:rPr>
          <w:rFonts w:hint="cs"/>
          <w:rtl/>
        </w:rPr>
        <w:t xml:space="preserve"> تقتصر على الأرقام الواردة في</w:t>
      </w:r>
      <w:r w:rsidR="00263F83">
        <w:rPr>
          <w:rFonts w:hint="eastAsia"/>
          <w:rtl/>
        </w:rPr>
        <w:t> </w:t>
      </w:r>
      <w:r w:rsidR="00FE505F">
        <w:rPr>
          <w:rFonts w:hint="cs"/>
          <w:rtl/>
        </w:rPr>
        <w:t>الرقمين</w:t>
      </w:r>
      <w:r w:rsidR="00263F83">
        <w:rPr>
          <w:rFonts w:hint="eastAsia"/>
          <w:rtl/>
        </w:rPr>
        <w:t> </w:t>
      </w:r>
      <w:r w:rsidR="00FE505F" w:rsidRPr="00720D7C">
        <w:rPr>
          <w:b/>
          <w:bCs/>
        </w:rPr>
        <w:t>5A.21</w:t>
      </w:r>
      <w:r w:rsidR="00FE505F" w:rsidRPr="00720D7C">
        <w:rPr>
          <w:rFonts w:hint="cs"/>
          <w:b/>
          <w:bCs/>
          <w:rtl/>
        </w:rPr>
        <w:t xml:space="preserve"> </w:t>
      </w:r>
      <w:r w:rsidR="00FE505F">
        <w:rPr>
          <w:rFonts w:hint="cs"/>
          <w:rtl/>
        </w:rPr>
        <w:t>و</w:t>
      </w:r>
      <w:r w:rsidR="00FE505F" w:rsidRPr="00720D7C">
        <w:rPr>
          <w:b/>
          <w:bCs/>
        </w:rPr>
        <w:t>2.16.21</w:t>
      </w:r>
      <w:r w:rsidR="00FE505F">
        <w:rPr>
          <w:rFonts w:hint="cs"/>
          <w:rtl/>
        </w:rPr>
        <w:t xml:space="preserve"> على التوالي</w:t>
      </w:r>
      <w:r w:rsidR="00380823">
        <w:rPr>
          <w:rFonts w:hint="cs"/>
          <w:rtl/>
        </w:rPr>
        <w:t>،</w:t>
      </w:r>
      <w:r w:rsidR="00FE505F">
        <w:rPr>
          <w:rFonts w:hint="cs"/>
          <w:rtl/>
        </w:rPr>
        <w:t xml:space="preserve"> عملاً بالرقم </w:t>
      </w:r>
      <w:r w:rsidR="00FE505F" w:rsidRPr="00F83092">
        <w:rPr>
          <w:b/>
          <w:bCs/>
        </w:rPr>
        <w:t>522A.5</w:t>
      </w:r>
      <w:r w:rsidR="00FE505F">
        <w:rPr>
          <w:rFonts w:hint="cs"/>
          <w:rtl/>
        </w:rPr>
        <w:t>؛</w:t>
      </w:r>
    </w:p>
    <w:p w14:paraId="0AA4002E" w14:textId="6F354C7E" w:rsidR="004A4B77" w:rsidRDefault="004A4B77" w:rsidP="004A4B77">
      <w:pPr>
        <w:rPr>
          <w:rtl/>
        </w:rPr>
      </w:pPr>
      <w:r w:rsidRPr="004763BC">
        <w:rPr>
          <w:rFonts w:hint="cs"/>
          <w:i/>
          <w:iCs/>
          <w:rtl/>
        </w:rPr>
        <w:t>ج)</w:t>
      </w:r>
      <w:r w:rsidRPr="004763BC">
        <w:rPr>
          <w:rFonts w:hint="cs"/>
          <w:rtl/>
        </w:rPr>
        <w:tab/>
      </w:r>
      <w:r w:rsidR="00720D7C">
        <w:rPr>
          <w:rFonts w:hint="cs"/>
          <w:rtl/>
        </w:rPr>
        <w:t xml:space="preserve">أن الإرسالات الصادرة من الخدمة المتنقلة في النطاق </w:t>
      </w:r>
      <w:r w:rsidR="00720D7C">
        <w:t>GHz 18,8-18,6</w:t>
      </w:r>
      <w:r w:rsidR="00720D7C">
        <w:rPr>
          <w:rFonts w:hint="cs"/>
          <w:rtl/>
        </w:rPr>
        <w:t xml:space="preserve"> تقتصر على الأرقام الواردة في الرقم</w:t>
      </w:r>
      <w:r w:rsidR="00380823">
        <w:rPr>
          <w:rFonts w:hint="eastAsia"/>
          <w:rtl/>
        </w:rPr>
        <w:t> </w:t>
      </w:r>
      <w:r w:rsidR="00720D7C" w:rsidRPr="00720D7C">
        <w:rPr>
          <w:b/>
          <w:bCs/>
        </w:rPr>
        <w:t>5.21</w:t>
      </w:r>
      <w:r w:rsidR="00720D7C">
        <w:rPr>
          <w:rFonts w:hint="cs"/>
          <w:rtl/>
        </w:rPr>
        <w:t>؛</w:t>
      </w:r>
    </w:p>
    <w:p w14:paraId="77684877" w14:textId="06043521" w:rsidR="004A4B77" w:rsidRDefault="004A4B77" w:rsidP="004A4B77">
      <w:pPr>
        <w:rPr>
          <w:rtl/>
        </w:rPr>
      </w:pPr>
      <w:proofErr w:type="gramStart"/>
      <w:r w:rsidRPr="004A4B77">
        <w:rPr>
          <w:rFonts w:hint="cs"/>
          <w:i/>
          <w:iCs/>
          <w:rtl/>
        </w:rPr>
        <w:t>د )</w:t>
      </w:r>
      <w:proofErr w:type="gramEnd"/>
      <w:r>
        <w:rPr>
          <w:rtl/>
        </w:rPr>
        <w:tab/>
      </w:r>
      <w:r w:rsidR="0045418C">
        <w:rPr>
          <w:rFonts w:hint="cs"/>
          <w:rtl/>
        </w:rPr>
        <w:t xml:space="preserve">أن الحدود المشار إليها في الفقرتين </w:t>
      </w:r>
      <w:r w:rsidR="0045418C" w:rsidRPr="005D5FDE">
        <w:rPr>
          <w:rFonts w:hint="cs"/>
          <w:i/>
          <w:iCs/>
          <w:rtl/>
        </w:rPr>
        <w:t>ب)</w:t>
      </w:r>
      <w:r w:rsidR="0045418C">
        <w:rPr>
          <w:rFonts w:hint="cs"/>
          <w:rtl/>
        </w:rPr>
        <w:t xml:space="preserve"> </w:t>
      </w:r>
      <w:proofErr w:type="spellStart"/>
      <w:r w:rsidR="0045418C">
        <w:rPr>
          <w:rFonts w:hint="cs"/>
          <w:rtl/>
        </w:rPr>
        <w:t>و</w:t>
      </w:r>
      <w:r w:rsidR="0045418C" w:rsidRPr="005D5FDE">
        <w:rPr>
          <w:rFonts w:hint="cs"/>
          <w:i/>
          <w:iCs/>
          <w:rtl/>
        </w:rPr>
        <w:t>ج</w:t>
      </w:r>
      <w:proofErr w:type="spellEnd"/>
      <w:r w:rsidR="0045418C" w:rsidRPr="005D5FDE">
        <w:rPr>
          <w:rFonts w:hint="cs"/>
          <w:i/>
          <w:iCs/>
          <w:rtl/>
        </w:rPr>
        <w:t>)</w:t>
      </w:r>
      <w:r w:rsidR="0045418C">
        <w:rPr>
          <w:rFonts w:hint="cs"/>
          <w:rtl/>
        </w:rPr>
        <w:t xml:space="preserve"> من </w:t>
      </w:r>
      <w:r w:rsidR="005D5FDE">
        <w:rPr>
          <w:rFonts w:hint="cs"/>
          <w:rtl/>
        </w:rPr>
        <w:t>"</w:t>
      </w:r>
      <w:r w:rsidR="00380823" w:rsidRPr="005D5FDE">
        <w:rPr>
          <w:rFonts w:hint="cs"/>
          <w:i/>
          <w:iCs/>
          <w:rtl/>
        </w:rPr>
        <w:t>و</w:t>
      </w:r>
      <w:r w:rsidR="0045418C" w:rsidRPr="005D5FDE">
        <w:rPr>
          <w:rFonts w:hint="cs"/>
          <w:i/>
          <w:iCs/>
          <w:rtl/>
        </w:rPr>
        <w:t>إذ يدرك</w:t>
      </w:r>
      <w:r w:rsidR="005D5FDE">
        <w:rPr>
          <w:rFonts w:hint="cs"/>
          <w:rtl/>
        </w:rPr>
        <w:t>"</w:t>
      </w:r>
      <w:r w:rsidR="0045418C">
        <w:rPr>
          <w:rFonts w:hint="cs"/>
          <w:rtl/>
        </w:rPr>
        <w:t xml:space="preserve"> أعلاه تنطبق على محطات الخدمة الثابتة والخدمة المتنقلة والخدمة الثابتة الساتلية </w:t>
      </w:r>
      <w:r w:rsidR="00005A37">
        <w:rPr>
          <w:rFonts w:hint="cs"/>
          <w:rtl/>
        </w:rPr>
        <w:t>التي تعمل</w:t>
      </w:r>
      <w:r w:rsidR="0045418C">
        <w:rPr>
          <w:rFonts w:hint="cs"/>
          <w:rtl/>
        </w:rPr>
        <w:t xml:space="preserve"> عند أوج </w:t>
      </w:r>
      <w:r w:rsidR="00005A37">
        <w:rPr>
          <w:rFonts w:hint="cs"/>
          <w:rtl/>
        </w:rPr>
        <w:t>قدره</w:t>
      </w:r>
      <w:r w:rsidR="0045418C">
        <w:rPr>
          <w:rFonts w:hint="cs"/>
          <w:rtl/>
        </w:rPr>
        <w:t xml:space="preserve"> </w:t>
      </w:r>
      <w:r w:rsidR="0045418C">
        <w:t>20 000</w:t>
      </w:r>
      <w:r w:rsidR="0045418C">
        <w:rPr>
          <w:rFonts w:hint="cs"/>
          <w:rtl/>
        </w:rPr>
        <w:t xml:space="preserve"> كلم، </w:t>
      </w:r>
      <w:r w:rsidR="00005A37">
        <w:rPr>
          <w:rFonts w:hint="cs"/>
          <w:rtl/>
        </w:rPr>
        <w:t xml:space="preserve">ينبغي أن </w:t>
      </w:r>
      <w:r w:rsidR="001C2D3F">
        <w:rPr>
          <w:rFonts w:hint="cs"/>
          <w:rtl/>
        </w:rPr>
        <w:t>ت</w:t>
      </w:r>
      <w:r w:rsidR="00C17A00">
        <w:rPr>
          <w:rFonts w:hint="cs"/>
          <w:rtl/>
        </w:rPr>
        <w:t>بقى دون تغيير</w:t>
      </w:r>
      <w:r w:rsidR="00005A37">
        <w:rPr>
          <w:rFonts w:hint="cs"/>
          <w:rtl/>
        </w:rPr>
        <w:t xml:space="preserve"> لحماية خدمة استكشاف الأرض الساتلية (المنفعلة) وخدمة الأبحاث الفضائية (المنفعلة) الحالية والمستقبلية في نطاق التردد </w:t>
      </w:r>
      <w:r w:rsidR="00005A37">
        <w:t>GHz 18,8-18,6</w:t>
      </w:r>
      <w:r w:rsidR="00005A37">
        <w:rPr>
          <w:rFonts w:hint="cs"/>
          <w:rtl/>
        </w:rPr>
        <w:t>؛</w:t>
      </w:r>
    </w:p>
    <w:p w14:paraId="240C6DA3" w14:textId="2C615E33" w:rsidR="004A4B77" w:rsidRPr="00977D73" w:rsidRDefault="004A4B77" w:rsidP="004A4B77">
      <w:pPr>
        <w:rPr>
          <w:rtl/>
        </w:rPr>
      </w:pPr>
      <w:proofErr w:type="gramStart"/>
      <w:r w:rsidRPr="004A4B77">
        <w:rPr>
          <w:rFonts w:hint="cs"/>
          <w:i/>
          <w:iCs/>
          <w:rtl/>
        </w:rPr>
        <w:t>ه )</w:t>
      </w:r>
      <w:proofErr w:type="gramEnd"/>
      <w:r>
        <w:rPr>
          <w:rtl/>
        </w:rPr>
        <w:tab/>
      </w:r>
      <w:r w:rsidR="00977D73" w:rsidRPr="002F0322">
        <w:rPr>
          <w:rFonts w:hint="cs"/>
          <w:spacing w:val="-4"/>
          <w:rtl/>
        </w:rPr>
        <w:t xml:space="preserve">أن شبكات الأنظمة المستقرة وغير المستقرة بالنسبة إلى الأرض في الخدمة الثابتة الساتلية </w:t>
      </w:r>
      <w:r w:rsidR="00C17A00" w:rsidRPr="002F0322">
        <w:rPr>
          <w:rFonts w:hint="cs"/>
          <w:spacing w:val="-4"/>
          <w:rtl/>
        </w:rPr>
        <w:t xml:space="preserve">تعمل في النطاق </w:t>
      </w:r>
      <w:r w:rsidR="00C17A00" w:rsidRPr="002F0322">
        <w:rPr>
          <w:spacing w:val="-4"/>
        </w:rPr>
        <w:t>GHz 18,8</w:t>
      </w:r>
      <w:r w:rsidR="002F0322" w:rsidRPr="002F0322">
        <w:rPr>
          <w:spacing w:val="-4"/>
        </w:rPr>
        <w:noBreakHyphen/>
      </w:r>
      <w:r w:rsidR="00C17A00" w:rsidRPr="002F0322">
        <w:rPr>
          <w:spacing w:val="-4"/>
        </w:rPr>
        <w:t>18,6</w:t>
      </w:r>
      <w:r w:rsidR="00C17A00">
        <w:rPr>
          <w:rFonts w:hint="cs"/>
          <w:rtl/>
        </w:rPr>
        <w:t xml:space="preserve"> </w:t>
      </w:r>
      <w:r w:rsidR="00977D73">
        <w:rPr>
          <w:rFonts w:hint="cs"/>
          <w:rtl/>
        </w:rPr>
        <w:t xml:space="preserve">وفقاً لأحكام الرقم </w:t>
      </w:r>
      <w:r w:rsidR="00977D73" w:rsidRPr="00F92D22">
        <w:rPr>
          <w:b/>
          <w:bCs/>
        </w:rPr>
        <w:t>522B.5</w:t>
      </w:r>
      <w:r w:rsidR="00977D73">
        <w:rPr>
          <w:rFonts w:hint="cs"/>
          <w:rtl/>
        </w:rPr>
        <w:t>؛</w:t>
      </w:r>
    </w:p>
    <w:p w14:paraId="28617FC9" w14:textId="0602B784" w:rsidR="004A4B77" w:rsidRDefault="004A4B77" w:rsidP="004A4B77">
      <w:pPr>
        <w:rPr>
          <w:rtl/>
        </w:rPr>
      </w:pPr>
      <w:proofErr w:type="gramStart"/>
      <w:r w:rsidRPr="004A4B77">
        <w:rPr>
          <w:rFonts w:hint="cs"/>
          <w:i/>
          <w:iCs/>
          <w:rtl/>
        </w:rPr>
        <w:t>و )</w:t>
      </w:r>
      <w:proofErr w:type="gramEnd"/>
      <w:r>
        <w:rPr>
          <w:rtl/>
        </w:rPr>
        <w:tab/>
      </w:r>
      <w:r w:rsidR="00F92D22">
        <w:rPr>
          <w:rFonts w:hint="cs"/>
          <w:rtl/>
        </w:rPr>
        <w:t xml:space="preserve">أن الرقم </w:t>
      </w:r>
      <w:r w:rsidR="00135805">
        <w:rPr>
          <w:b/>
          <w:bCs/>
        </w:rPr>
        <w:t>16.21</w:t>
      </w:r>
      <w:r w:rsidR="00F92D22">
        <w:rPr>
          <w:rFonts w:hint="cs"/>
          <w:rtl/>
        </w:rPr>
        <w:t xml:space="preserve"> يضع حدود كثافة تدفق القدرة المنطبقة على أنظمة الخدمة الثابتة الساتلية لحماية الخدمتين الثابتة والمتنقلة اللتين لديهما توزيع في نطاق التردد </w:t>
      </w:r>
      <w:r w:rsidR="00F92D22">
        <w:t>GHz 18,8-18,6</w:t>
      </w:r>
      <w:r w:rsidR="00F92D22">
        <w:rPr>
          <w:rFonts w:hint="cs"/>
          <w:rtl/>
        </w:rPr>
        <w:t>؛</w:t>
      </w:r>
    </w:p>
    <w:p w14:paraId="0FD285E3" w14:textId="0DFA6A4B" w:rsidR="004A4B77" w:rsidRDefault="004A4B77" w:rsidP="004A4B77">
      <w:pPr>
        <w:rPr>
          <w:rFonts w:hint="cs"/>
          <w:rtl/>
          <w:lang w:bidi="ar-EG"/>
        </w:rPr>
      </w:pPr>
      <w:proofErr w:type="gramStart"/>
      <w:r w:rsidRPr="004A4B77">
        <w:rPr>
          <w:rFonts w:hint="cs"/>
          <w:i/>
          <w:iCs/>
          <w:rtl/>
        </w:rPr>
        <w:t>ز )</w:t>
      </w:r>
      <w:proofErr w:type="gramEnd"/>
      <w:r>
        <w:rPr>
          <w:rtl/>
        </w:rPr>
        <w:tab/>
      </w:r>
      <w:r w:rsidR="003A672E">
        <w:rPr>
          <w:rFonts w:hint="cs"/>
          <w:rtl/>
        </w:rPr>
        <w:t xml:space="preserve">أن الرقم </w:t>
      </w:r>
      <w:r w:rsidR="003A672E" w:rsidRPr="003A672E">
        <w:rPr>
          <w:b/>
          <w:bCs/>
        </w:rPr>
        <w:t>17.21</w:t>
      </w:r>
      <w:r w:rsidR="003A672E">
        <w:rPr>
          <w:rFonts w:hint="cs"/>
          <w:rtl/>
        </w:rPr>
        <w:t xml:space="preserve"> لا ينطبق على نطاق التردد </w:t>
      </w:r>
      <w:r w:rsidR="003A672E">
        <w:t>GHz 18,8-18,6</w:t>
      </w:r>
      <w:r w:rsidR="0020641D">
        <w:rPr>
          <w:rFonts w:hint="cs"/>
          <w:rtl/>
          <w:lang w:bidi="ar-EG"/>
        </w:rPr>
        <w:t>،</w:t>
      </w:r>
    </w:p>
    <w:p w14:paraId="36E85CDE" w14:textId="0A78733A" w:rsidR="004A4B77" w:rsidRDefault="004A4B77" w:rsidP="001E1073">
      <w:pPr>
        <w:pStyle w:val="Call"/>
        <w:rPr>
          <w:rtl/>
        </w:rPr>
      </w:pPr>
      <w:r>
        <w:rPr>
          <w:rFonts w:hint="cs"/>
          <w:rtl/>
        </w:rPr>
        <w:t>يقرر أن يدعو قطاع الاتصالات الراديوية</w:t>
      </w:r>
    </w:p>
    <w:p w14:paraId="1B9F7C05" w14:textId="72402A65" w:rsidR="004A4B77" w:rsidRPr="008B2328" w:rsidRDefault="004A4B77" w:rsidP="004A4B77">
      <w:pPr>
        <w:rPr>
          <w:rtl/>
        </w:rPr>
      </w:pPr>
      <w:r w:rsidRPr="008B2328">
        <w:rPr>
          <w:lang w:bidi="ar-EG"/>
        </w:rPr>
        <w:t>1</w:t>
      </w:r>
      <w:r w:rsidRPr="008B2328">
        <w:rPr>
          <w:rtl/>
          <w:lang w:bidi="ar-EG"/>
        </w:rPr>
        <w:tab/>
      </w:r>
      <w:r w:rsidR="00246A4F" w:rsidRPr="008B2328">
        <w:rPr>
          <w:rFonts w:hint="cs"/>
          <w:rtl/>
          <w:lang w:bidi="ar-EG"/>
        </w:rPr>
        <w:t xml:space="preserve">إلى </w:t>
      </w:r>
      <w:r w:rsidR="00D84E95" w:rsidRPr="008B2328">
        <w:rPr>
          <w:rFonts w:hint="cs"/>
          <w:rtl/>
          <w:lang w:bidi="ar-EG"/>
        </w:rPr>
        <w:t xml:space="preserve">إجراء دراسات التوافق بين الأنظمة غير المستقرة بالنسبة إلى الأرض للخدمة الثابتة الساتلية (فضاء-أرض) العاملة </w:t>
      </w:r>
      <w:r w:rsidR="00582889" w:rsidRPr="008B2328">
        <w:rPr>
          <w:rFonts w:hint="cs"/>
          <w:rtl/>
          <w:lang w:bidi="ar-EG"/>
        </w:rPr>
        <w:t>ب</w:t>
      </w:r>
      <w:r w:rsidR="00D832BB" w:rsidRPr="008B2328">
        <w:rPr>
          <w:rFonts w:hint="cs"/>
          <w:rtl/>
          <w:lang w:bidi="ar-EG"/>
        </w:rPr>
        <w:t xml:space="preserve">مدارات يساوي </w:t>
      </w:r>
      <w:r w:rsidR="00582889" w:rsidRPr="008B2328">
        <w:rPr>
          <w:rFonts w:hint="cs"/>
          <w:rtl/>
          <w:lang w:bidi="ar-EG"/>
        </w:rPr>
        <w:t>أوج</w:t>
      </w:r>
      <w:r w:rsidR="00D832BB" w:rsidRPr="008B2328">
        <w:rPr>
          <w:rFonts w:hint="cs"/>
          <w:rtl/>
          <w:lang w:bidi="ar-EG"/>
        </w:rPr>
        <w:t xml:space="preserve">ها </w:t>
      </w:r>
      <w:r w:rsidR="00D84E95" w:rsidRPr="008B2328">
        <w:rPr>
          <w:rFonts w:hint="cs"/>
          <w:rtl/>
          <w:lang w:bidi="ar-EG"/>
        </w:rPr>
        <w:t xml:space="preserve">أو </w:t>
      </w:r>
      <w:r w:rsidR="004648AB" w:rsidRPr="008B2328">
        <w:rPr>
          <w:rFonts w:hint="cs"/>
          <w:rtl/>
          <w:lang w:bidi="ar-EG"/>
        </w:rPr>
        <w:t>يقل عن</w:t>
      </w:r>
      <w:r w:rsidR="00D84E95" w:rsidRPr="008B2328">
        <w:rPr>
          <w:rFonts w:hint="cs"/>
          <w:rtl/>
          <w:lang w:bidi="ar-EG"/>
        </w:rPr>
        <w:t xml:space="preserve"> </w:t>
      </w:r>
      <w:r w:rsidR="00D84E95" w:rsidRPr="008B2328">
        <w:rPr>
          <w:lang w:bidi="ar-EG"/>
        </w:rPr>
        <w:t>20 000</w:t>
      </w:r>
      <w:r w:rsidR="00D84E95" w:rsidRPr="008B2328">
        <w:rPr>
          <w:rFonts w:hint="cs"/>
          <w:rtl/>
        </w:rPr>
        <w:t xml:space="preserve"> كلم وخدمة استكشاف الأرض الساتلية (المنفعلة) وخدمة الأبحاث الفضائية (المنفعلة) في نطاق التردد </w:t>
      </w:r>
      <w:r w:rsidR="00D84E95" w:rsidRPr="008B2328">
        <w:t>GHz 18,8-18,6</w:t>
      </w:r>
      <w:r w:rsidR="00D84E95" w:rsidRPr="008B2328">
        <w:rPr>
          <w:rFonts w:hint="cs"/>
          <w:rtl/>
        </w:rPr>
        <w:t>؛</w:t>
      </w:r>
    </w:p>
    <w:p w14:paraId="4F9FE9EB" w14:textId="07E208EE" w:rsidR="004A4B77" w:rsidRPr="003E6133" w:rsidRDefault="004A4B77" w:rsidP="004A4B77">
      <w:pPr>
        <w:rPr>
          <w:spacing w:val="4"/>
          <w:rtl/>
        </w:rPr>
      </w:pPr>
      <w:r w:rsidRPr="003E6133">
        <w:rPr>
          <w:spacing w:val="4"/>
          <w:lang w:bidi="ar-EG"/>
        </w:rPr>
        <w:t>2</w:t>
      </w:r>
      <w:r w:rsidRPr="003E6133">
        <w:rPr>
          <w:spacing w:val="4"/>
          <w:rtl/>
          <w:lang w:bidi="ar-EG"/>
        </w:rPr>
        <w:tab/>
      </w:r>
      <w:r w:rsidR="00246A4F" w:rsidRPr="003E6133">
        <w:rPr>
          <w:rFonts w:hint="cs"/>
          <w:spacing w:val="4"/>
          <w:rtl/>
          <w:lang w:bidi="ar-EG"/>
        </w:rPr>
        <w:t xml:space="preserve">إلى </w:t>
      </w:r>
      <w:r w:rsidR="00B25626" w:rsidRPr="003E6133">
        <w:rPr>
          <w:rFonts w:hint="cs"/>
          <w:spacing w:val="4"/>
          <w:rtl/>
          <w:lang w:bidi="ar-EG"/>
        </w:rPr>
        <w:t xml:space="preserve">دراسة إمكانية تطبيق حدود كثافة تدفق القدرة المكافئة </w:t>
      </w:r>
      <w:r w:rsidR="00B25626" w:rsidRPr="003E6133">
        <w:rPr>
          <w:spacing w:val="4"/>
          <w:lang w:bidi="ar-EG"/>
        </w:rPr>
        <w:t>(epfd)</w:t>
      </w:r>
      <w:r w:rsidR="00B25626" w:rsidRPr="003E6133">
        <w:rPr>
          <w:rFonts w:hint="cs"/>
          <w:spacing w:val="4"/>
          <w:rtl/>
        </w:rPr>
        <w:t xml:space="preserve"> المحددة في الجدول </w:t>
      </w:r>
      <w:bookmarkStart w:id="2" w:name="_Hlk20756863"/>
      <w:r w:rsidR="00B25626" w:rsidRPr="003E6133">
        <w:rPr>
          <w:b/>
          <w:bCs/>
          <w:spacing w:val="4"/>
        </w:rPr>
        <w:t>1B-22</w:t>
      </w:r>
      <w:bookmarkEnd w:id="2"/>
      <w:r w:rsidR="00B25626" w:rsidRPr="003E6133">
        <w:rPr>
          <w:rFonts w:hint="cs"/>
          <w:spacing w:val="4"/>
          <w:rtl/>
        </w:rPr>
        <w:t xml:space="preserve"> على مقطع التردد </w:t>
      </w:r>
      <w:r w:rsidR="00B25626" w:rsidRPr="003E6133">
        <w:rPr>
          <w:spacing w:val="4"/>
        </w:rPr>
        <w:t>GHz 18,8-18,6</w:t>
      </w:r>
      <w:r w:rsidR="00B25626" w:rsidRPr="003E6133">
        <w:rPr>
          <w:rFonts w:hint="cs"/>
          <w:spacing w:val="4"/>
          <w:rtl/>
        </w:rPr>
        <w:t xml:space="preserve"> لضمان </w:t>
      </w:r>
      <w:r w:rsidR="00246A4F" w:rsidRPr="003E6133">
        <w:rPr>
          <w:rFonts w:hint="cs"/>
          <w:spacing w:val="4"/>
          <w:rtl/>
        </w:rPr>
        <w:t>ألا تُسبب</w:t>
      </w:r>
      <w:r w:rsidR="00B25626" w:rsidRPr="003E6133">
        <w:rPr>
          <w:rFonts w:hint="cs"/>
          <w:spacing w:val="4"/>
          <w:rtl/>
        </w:rPr>
        <w:t xml:space="preserve"> أنظمة غير مستقرة بالنسبة إلى الأرض </w:t>
      </w:r>
      <w:r w:rsidR="00246A4F" w:rsidRPr="003E6133">
        <w:rPr>
          <w:rFonts w:hint="cs"/>
          <w:spacing w:val="4"/>
          <w:rtl/>
        </w:rPr>
        <w:t>في ا</w:t>
      </w:r>
      <w:r w:rsidR="00B25626" w:rsidRPr="003E6133">
        <w:rPr>
          <w:rFonts w:hint="cs"/>
          <w:spacing w:val="4"/>
          <w:rtl/>
        </w:rPr>
        <w:t xml:space="preserve">لخدمة الثابتة الساتلية (فضاء-أرض) </w:t>
      </w:r>
      <w:r w:rsidR="00246A4F" w:rsidRPr="003E6133">
        <w:rPr>
          <w:rFonts w:hint="cs"/>
          <w:spacing w:val="4"/>
          <w:rtl/>
        </w:rPr>
        <w:t>ل</w:t>
      </w:r>
      <w:r w:rsidR="00B25626" w:rsidRPr="003E6133">
        <w:rPr>
          <w:rFonts w:hint="cs"/>
          <w:spacing w:val="4"/>
          <w:rtl/>
        </w:rPr>
        <w:t xml:space="preserve">تداخل غير مقبول لشبكات السواتل المستقرة بالنسبة إلى الأرض في الخدمة الثابتة الساتلية </w:t>
      </w:r>
      <w:r w:rsidR="00246A4F" w:rsidRPr="003E6133">
        <w:rPr>
          <w:rFonts w:hint="cs"/>
          <w:spacing w:val="4"/>
          <w:rtl/>
        </w:rPr>
        <w:t>عند تشغيلها</w:t>
      </w:r>
      <w:r w:rsidR="00B25626" w:rsidRPr="003E6133">
        <w:rPr>
          <w:rFonts w:hint="cs"/>
          <w:spacing w:val="4"/>
          <w:rtl/>
        </w:rPr>
        <w:t xml:space="preserve"> في نطاق التردد</w:t>
      </w:r>
      <w:r w:rsidR="003E6133">
        <w:rPr>
          <w:rFonts w:hint="eastAsia"/>
          <w:spacing w:val="4"/>
          <w:rtl/>
        </w:rPr>
        <w:t> </w:t>
      </w:r>
      <w:r w:rsidR="00B25626" w:rsidRPr="003E6133">
        <w:rPr>
          <w:spacing w:val="4"/>
        </w:rPr>
        <w:t>GHz 18,8-18,6</w:t>
      </w:r>
      <w:r w:rsidR="00B25626" w:rsidRPr="003E6133">
        <w:rPr>
          <w:rFonts w:hint="cs"/>
          <w:spacing w:val="4"/>
          <w:rtl/>
        </w:rPr>
        <w:t>؛</w:t>
      </w:r>
    </w:p>
    <w:p w14:paraId="042A4137" w14:textId="0EE9CA63" w:rsidR="004A4B77" w:rsidRPr="00CB7135" w:rsidRDefault="004A4B77" w:rsidP="004A4B77">
      <w:pPr>
        <w:rPr>
          <w:spacing w:val="4"/>
          <w:rtl/>
        </w:rPr>
      </w:pPr>
      <w:r w:rsidRPr="00CB7135">
        <w:rPr>
          <w:spacing w:val="4"/>
          <w:lang w:bidi="ar-EG"/>
        </w:rPr>
        <w:t>3</w:t>
      </w:r>
      <w:r w:rsidRPr="00CB7135">
        <w:rPr>
          <w:spacing w:val="4"/>
          <w:rtl/>
          <w:lang w:bidi="ar-EG"/>
        </w:rPr>
        <w:tab/>
      </w:r>
      <w:r w:rsidR="001D78C5" w:rsidRPr="00CB7135">
        <w:rPr>
          <w:rFonts w:hint="cs"/>
          <w:spacing w:val="4"/>
          <w:rtl/>
          <w:lang w:bidi="ar-EG"/>
        </w:rPr>
        <w:t xml:space="preserve">إلى </w:t>
      </w:r>
      <w:r w:rsidR="004648AB" w:rsidRPr="00CB7135">
        <w:rPr>
          <w:rFonts w:hint="cs"/>
          <w:spacing w:val="4"/>
          <w:rtl/>
          <w:lang w:bidi="ar-EG"/>
        </w:rPr>
        <w:t xml:space="preserve">إعداد أحكام تقنية وتنظيمية لمحطات غير مستقرة بالنسبة إلى الأرض تعمل في الخدمة الثابتة الساتلية (فضاء-أرض) بمدار يساوي أوجه أو يقل عن </w:t>
      </w:r>
      <w:r w:rsidR="004648AB" w:rsidRPr="00CB7135">
        <w:rPr>
          <w:spacing w:val="4"/>
          <w:lang w:bidi="ar-EG"/>
        </w:rPr>
        <w:t>20 000</w:t>
      </w:r>
      <w:r w:rsidR="004648AB" w:rsidRPr="00CB7135">
        <w:rPr>
          <w:rFonts w:hint="cs"/>
          <w:spacing w:val="4"/>
          <w:rtl/>
        </w:rPr>
        <w:t xml:space="preserve"> كلم</w:t>
      </w:r>
      <w:r w:rsidR="008225FE" w:rsidRPr="00CB7135">
        <w:rPr>
          <w:rFonts w:hint="cs"/>
          <w:spacing w:val="4"/>
          <w:rtl/>
        </w:rPr>
        <w:t xml:space="preserve"> في نطاق التردد </w:t>
      </w:r>
      <w:r w:rsidR="008225FE" w:rsidRPr="00CB7135">
        <w:rPr>
          <w:spacing w:val="4"/>
        </w:rPr>
        <w:t>GHz 18,8-18,6</w:t>
      </w:r>
      <w:r w:rsidR="008225FE" w:rsidRPr="00CB7135">
        <w:rPr>
          <w:rFonts w:hint="cs"/>
          <w:spacing w:val="4"/>
          <w:rtl/>
        </w:rPr>
        <w:t>، مع ضمان حدود كثافة تدفق القدرة المنصوص عليها في الجد</w:t>
      </w:r>
      <w:r w:rsidR="007C2707" w:rsidRPr="00CB7135">
        <w:rPr>
          <w:rFonts w:hint="cs"/>
          <w:spacing w:val="4"/>
          <w:rtl/>
        </w:rPr>
        <w:t>و</w:t>
      </w:r>
      <w:r w:rsidR="008225FE" w:rsidRPr="00CB7135">
        <w:rPr>
          <w:rFonts w:hint="cs"/>
          <w:spacing w:val="4"/>
          <w:rtl/>
        </w:rPr>
        <w:t xml:space="preserve">ل </w:t>
      </w:r>
      <w:r w:rsidR="008225FE" w:rsidRPr="00CB7135">
        <w:rPr>
          <w:b/>
          <w:bCs/>
          <w:spacing w:val="4"/>
        </w:rPr>
        <w:t>4-21</w:t>
      </w:r>
      <w:r w:rsidR="001A5451" w:rsidRPr="00CB7135">
        <w:rPr>
          <w:rFonts w:hint="cs"/>
          <w:spacing w:val="4"/>
          <w:rtl/>
        </w:rPr>
        <w:t xml:space="preserve"> من المادة </w:t>
      </w:r>
      <w:r w:rsidR="001A5451" w:rsidRPr="00CB7135">
        <w:rPr>
          <w:b/>
          <w:bCs/>
          <w:spacing w:val="4"/>
        </w:rPr>
        <w:t>21</w:t>
      </w:r>
      <w:r w:rsidR="001A5451" w:rsidRPr="00CB7135">
        <w:rPr>
          <w:rFonts w:hint="cs"/>
          <w:spacing w:val="4"/>
          <w:rtl/>
        </w:rPr>
        <w:t>،</w:t>
      </w:r>
      <w:r w:rsidR="008225FE" w:rsidRPr="00CB7135">
        <w:rPr>
          <w:rFonts w:hint="cs"/>
          <w:spacing w:val="4"/>
          <w:rtl/>
        </w:rPr>
        <w:t xml:space="preserve"> التي يُقصد بها حماية الخدمتين الثابتة والمتنقلة في نطاق التردد هذا،</w:t>
      </w:r>
    </w:p>
    <w:p w14:paraId="108D50A7" w14:textId="5AC669D3" w:rsidR="004A4B77" w:rsidRDefault="004A4B77" w:rsidP="001E1073">
      <w:pPr>
        <w:pStyle w:val="Call"/>
        <w:rPr>
          <w:rtl/>
          <w:lang w:bidi="ar-EG"/>
        </w:rPr>
      </w:pPr>
      <w:r w:rsidRPr="00F73200">
        <w:rPr>
          <w:rFonts w:hint="cs"/>
          <w:rtl/>
          <w:lang w:bidi="ar-EG"/>
        </w:rPr>
        <w:t>يقرر كذلك</w:t>
      </w:r>
    </w:p>
    <w:p w14:paraId="08D6AA62" w14:textId="321ED7CB" w:rsidR="004A4B77" w:rsidRPr="003E6133" w:rsidRDefault="004A4B77" w:rsidP="00135805">
      <w:pPr>
        <w:rPr>
          <w:spacing w:val="6"/>
          <w:rtl/>
          <w:lang w:bidi="ar-EG"/>
        </w:rPr>
      </w:pPr>
      <w:r w:rsidRPr="003E6133">
        <w:rPr>
          <w:spacing w:val="6"/>
          <w:lang w:bidi="ar-EG"/>
        </w:rPr>
        <w:t>1</w:t>
      </w:r>
      <w:r w:rsidRPr="003E6133">
        <w:rPr>
          <w:spacing w:val="6"/>
          <w:rtl/>
          <w:lang w:bidi="ar-EG"/>
        </w:rPr>
        <w:tab/>
      </w:r>
      <w:r w:rsidR="00F73200" w:rsidRPr="003E6133">
        <w:rPr>
          <w:rFonts w:hint="cs"/>
          <w:spacing w:val="6"/>
          <w:rtl/>
          <w:lang w:bidi="ar-EG"/>
        </w:rPr>
        <w:t xml:space="preserve">أن يضمن الامتثال لحدود </w:t>
      </w:r>
      <w:r w:rsidR="00F73200" w:rsidRPr="003E6133">
        <w:rPr>
          <w:rFonts w:hint="cs"/>
          <w:spacing w:val="6"/>
          <w:rtl/>
        </w:rPr>
        <w:t xml:space="preserve">كثافة تدفق القدرة </w:t>
      </w:r>
      <w:r w:rsidR="009704C7" w:rsidRPr="003E6133">
        <w:rPr>
          <w:rFonts w:hint="cs"/>
          <w:spacing w:val="6"/>
          <w:rtl/>
          <w:lang w:bidi="ar-EG"/>
        </w:rPr>
        <w:t xml:space="preserve">المكافئة </w:t>
      </w:r>
      <w:r w:rsidR="00F73200" w:rsidRPr="003E6133">
        <w:rPr>
          <w:rFonts w:hint="cs"/>
          <w:spacing w:val="6"/>
          <w:rtl/>
        </w:rPr>
        <w:t>المنصوص عليها في الجدول</w:t>
      </w:r>
      <w:r w:rsidR="00135805" w:rsidRPr="003E6133">
        <w:rPr>
          <w:rFonts w:hint="cs"/>
          <w:spacing w:val="6"/>
          <w:rtl/>
          <w:lang w:val="en-GB"/>
        </w:rPr>
        <w:t xml:space="preserve"> </w:t>
      </w:r>
      <w:r w:rsidR="00135805" w:rsidRPr="003E6133">
        <w:rPr>
          <w:b/>
          <w:bCs/>
          <w:spacing w:val="6"/>
        </w:rPr>
        <w:t>1B-22</w:t>
      </w:r>
      <w:r w:rsidR="00F73200" w:rsidRPr="003E6133">
        <w:rPr>
          <w:rFonts w:hint="cs"/>
          <w:b/>
          <w:bCs/>
          <w:spacing w:val="6"/>
          <w:rtl/>
        </w:rPr>
        <w:t xml:space="preserve"> </w:t>
      </w:r>
      <w:r w:rsidR="00F73200" w:rsidRPr="003E6133">
        <w:rPr>
          <w:rFonts w:hint="cs"/>
          <w:spacing w:val="6"/>
          <w:rtl/>
        </w:rPr>
        <w:t xml:space="preserve">الحماية لشبكات الأنظمة المستقرة بالنسبة إلى الأرض في الخدمة الثابتة الساتلية العاملة في نطاق التردد </w:t>
      </w:r>
      <w:r w:rsidR="00F73200" w:rsidRPr="003E6133">
        <w:rPr>
          <w:spacing w:val="6"/>
        </w:rPr>
        <w:t>GHz 18,8-18,6</w:t>
      </w:r>
      <w:r w:rsidR="00F73200" w:rsidRPr="003E6133">
        <w:rPr>
          <w:rFonts w:hint="cs"/>
          <w:spacing w:val="6"/>
          <w:rtl/>
          <w:lang w:bidi="ar-EG"/>
        </w:rPr>
        <w:t xml:space="preserve"> من أي تداخلات غير</w:t>
      </w:r>
      <w:r w:rsidR="003E6133">
        <w:rPr>
          <w:rFonts w:hint="eastAsia"/>
          <w:spacing w:val="6"/>
          <w:rtl/>
          <w:lang w:bidi="ar-EG"/>
        </w:rPr>
        <w:t> </w:t>
      </w:r>
      <w:r w:rsidR="00F73200" w:rsidRPr="003E6133">
        <w:rPr>
          <w:rFonts w:hint="cs"/>
          <w:spacing w:val="6"/>
          <w:rtl/>
          <w:lang w:bidi="ar-EG"/>
        </w:rPr>
        <w:t>مقبولة؛</w:t>
      </w:r>
    </w:p>
    <w:p w14:paraId="3861A2A7" w14:textId="2A9F8E15" w:rsidR="004A4B77" w:rsidRDefault="004A4B77" w:rsidP="004A4B77">
      <w:pPr>
        <w:rPr>
          <w:rtl/>
        </w:rPr>
      </w:pPr>
      <w:r>
        <w:rPr>
          <w:lang w:bidi="ar-EG"/>
        </w:rPr>
        <w:t>2</w:t>
      </w:r>
      <w:r>
        <w:rPr>
          <w:rtl/>
          <w:lang w:bidi="ar-EG"/>
        </w:rPr>
        <w:tab/>
      </w:r>
      <w:r w:rsidR="00025A51">
        <w:rPr>
          <w:rFonts w:hint="cs"/>
          <w:rtl/>
          <w:lang w:bidi="ar-EG"/>
        </w:rPr>
        <w:t xml:space="preserve">أن تضمن الأحكام التقنية والتنظيمية التي ينبغي إعدادها ألا </w:t>
      </w:r>
      <w:r w:rsidR="001D78C5">
        <w:rPr>
          <w:rFonts w:hint="cs"/>
          <w:rtl/>
          <w:lang w:bidi="ar-EG"/>
        </w:rPr>
        <w:t>يحدث</w:t>
      </w:r>
      <w:r w:rsidR="00025A51">
        <w:rPr>
          <w:rFonts w:hint="cs"/>
          <w:rtl/>
          <w:lang w:bidi="ar-EG"/>
        </w:rPr>
        <w:t xml:space="preserve"> في النطاق </w:t>
      </w:r>
      <w:r w:rsidR="00025A51">
        <w:t>GHz 18,8-18,6</w:t>
      </w:r>
      <w:r w:rsidR="00025A51">
        <w:rPr>
          <w:rFonts w:hint="cs"/>
          <w:rtl/>
          <w:lang w:bidi="ar-EG"/>
        </w:rPr>
        <w:t xml:space="preserve"> أي تغيير للحدود المشار إليها في الأرقام </w:t>
      </w:r>
      <w:r w:rsidR="00025A51" w:rsidRPr="001D78C5">
        <w:rPr>
          <w:b/>
          <w:bCs/>
          <w:lang w:bidi="ar-EG"/>
        </w:rPr>
        <w:t>5.21</w:t>
      </w:r>
      <w:r w:rsidR="00025A51" w:rsidRPr="001D78C5">
        <w:rPr>
          <w:rFonts w:hint="cs"/>
          <w:b/>
          <w:bCs/>
          <w:rtl/>
        </w:rPr>
        <w:t xml:space="preserve"> </w:t>
      </w:r>
      <w:r w:rsidR="00025A51">
        <w:rPr>
          <w:rFonts w:hint="cs"/>
          <w:rtl/>
        </w:rPr>
        <w:t>و</w:t>
      </w:r>
      <w:r w:rsidR="00025A51" w:rsidRPr="001D78C5">
        <w:rPr>
          <w:b/>
          <w:bCs/>
        </w:rPr>
        <w:t>5A.21</w:t>
      </w:r>
      <w:r w:rsidR="00025A51">
        <w:rPr>
          <w:rFonts w:hint="cs"/>
          <w:rtl/>
        </w:rPr>
        <w:t xml:space="preserve"> و</w:t>
      </w:r>
      <w:r w:rsidR="00025A51" w:rsidRPr="001D78C5">
        <w:rPr>
          <w:b/>
          <w:bCs/>
        </w:rPr>
        <w:t>2.16.21</w:t>
      </w:r>
      <w:r w:rsidR="00025A51">
        <w:rPr>
          <w:rFonts w:hint="cs"/>
          <w:rtl/>
        </w:rPr>
        <w:t xml:space="preserve"> المنطبقة على الخدمة الثابتة والخدمة المتنقلة وعلى محطات الأنظمة الساتلية المستقرة وغير المستقرة بالنسبة إلى الأرض العاملة في الخدمة الثابتة الساتلية بمدار </w:t>
      </w:r>
      <w:r w:rsidR="001D78C5">
        <w:rPr>
          <w:rFonts w:hint="cs"/>
          <w:rtl/>
        </w:rPr>
        <w:t>يفوق</w:t>
      </w:r>
      <w:r w:rsidR="00025A51">
        <w:rPr>
          <w:rFonts w:hint="cs"/>
          <w:rtl/>
        </w:rPr>
        <w:t xml:space="preserve"> أوجه </w:t>
      </w:r>
      <w:r w:rsidR="00025A51">
        <w:t>20 000</w:t>
      </w:r>
      <w:r w:rsidR="00025A51">
        <w:rPr>
          <w:rFonts w:hint="cs"/>
          <w:rtl/>
        </w:rPr>
        <w:t xml:space="preserve"> كلم،</w:t>
      </w:r>
    </w:p>
    <w:p w14:paraId="7CEE3217" w14:textId="22EED1B2" w:rsidR="004A4B77" w:rsidRDefault="004A4B77" w:rsidP="003E6133">
      <w:pPr>
        <w:pStyle w:val="Call"/>
      </w:pPr>
      <w:r w:rsidRPr="00025A51">
        <w:rPr>
          <w:rFonts w:hint="cs"/>
          <w:rtl/>
          <w:lang w:bidi="ar-EG"/>
        </w:rPr>
        <w:lastRenderedPageBreak/>
        <w:t xml:space="preserve">يدعو </w:t>
      </w:r>
      <w:r w:rsidR="001E1073" w:rsidRPr="00025A51">
        <w:rPr>
          <w:rFonts w:hint="cs"/>
          <w:rtl/>
        </w:rPr>
        <w:t xml:space="preserve">المؤتمر العالمي للاتصالات الراديوية لعام </w:t>
      </w:r>
      <w:r w:rsidR="001E1073" w:rsidRPr="00025A51">
        <w:t>2023</w:t>
      </w:r>
    </w:p>
    <w:p w14:paraId="578CE01C" w14:textId="2A64C4EB" w:rsidR="001E1073" w:rsidRPr="001E1073" w:rsidRDefault="001D78C5" w:rsidP="003E6133">
      <w:pPr>
        <w:keepNext/>
        <w:keepLines/>
        <w:rPr>
          <w:rtl/>
          <w:lang w:bidi="ar-EG"/>
        </w:rPr>
      </w:pPr>
      <w:r>
        <w:rPr>
          <w:rFonts w:hint="cs"/>
          <w:rtl/>
        </w:rPr>
        <w:t xml:space="preserve">إلى </w:t>
      </w:r>
      <w:r w:rsidR="00025A51">
        <w:rPr>
          <w:rFonts w:hint="cs"/>
          <w:rtl/>
          <w:lang w:bidi="ar-EG"/>
        </w:rPr>
        <w:t>النظر في نتائج الدراسات المقترحة واتخاذ الإجراءات المناسبة،</w:t>
      </w:r>
    </w:p>
    <w:p w14:paraId="4480A462" w14:textId="3EEF5E13" w:rsidR="004A4B77" w:rsidRPr="004763BC" w:rsidRDefault="004A4B77" w:rsidP="004A4B77">
      <w:pPr>
        <w:pStyle w:val="Call"/>
        <w:rPr>
          <w:rtl/>
        </w:rPr>
      </w:pPr>
      <w:r w:rsidRPr="004763BC">
        <w:rPr>
          <w:rFonts w:hint="cs"/>
          <w:rtl/>
        </w:rPr>
        <w:t>يدعو الإدارات</w:t>
      </w:r>
      <w:bookmarkStart w:id="3" w:name="_GoBack"/>
      <w:bookmarkEnd w:id="3"/>
    </w:p>
    <w:p w14:paraId="162F2C81" w14:textId="2F00C889" w:rsidR="004A4B77" w:rsidRPr="009704C7" w:rsidRDefault="004A4B77" w:rsidP="004A4B77">
      <w:r w:rsidRPr="009704C7">
        <w:rPr>
          <w:rFonts w:hint="cs"/>
          <w:rtl/>
        </w:rPr>
        <w:t xml:space="preserve">إلى المشاركة </w:t>
      </w:r>
      <w:r w:rsidR="00025A51" w:rsidRPr="009704C7">
        <w:rPr>
          <w:rFonts w:hint="cs"/>
          <w:rtl/>
        </w:rPr>
        <w:t>بفعالية</w:t>
      </w:r>
      <w:r w:rsidRPr="009704C7">
        <w:rPr>
          <w:rFonts w:hint="cs"/>
          <w:rtl/>
        </w:rPr>
        <w:t xml:space="preserve"> في هذه الدراسات و</w:t>
      </w:r>
      <w:r w:rsidR="00025A51" w:rsidRPr="009704C7">
        <w:rPr>
          <w:rFonts w:hint="cs"/>
          <w:rtl/>
        </w:rPr>
        <w:t xml:space="preserve">المساعدة في </w:t>
      </w:r>
      <w:r w:rsidRPr="009704C7">
        <w:rPr>
          <w:rFonts w:hint="cs"/>
          <w:rtl/>
        </w:rPr>
        <w:t xml:space="preserve">توفير الخصائص التقنية والتشغيلية للأنظمة المعنية </w:t>
      </w:r>
      <w:r w:rsidR="00025A51" w:rsidRPr="009704C7">
        <w:rPr>
          <w:rFonts w:hint="cs"/>
          <w:rtl/>
        </w:rPr>
        <w:t xml:space="preserve">من خلال </w:t>
      </w:r>
      <w:r w:rsidRPr="009704C7">
        <w:rPr>
          <w:rFonts w:hint="cs"/>
          <w:rtl/>
        </w:rPr>
        <w:t>تقديم مساهمات إلى</w:t>
      </w:r>
      <w:r w:rsidRPr="009704C7">
        <w:rPr>
          <w:rFonts w:hint="eastAsia"/>
          <w:rtl/>
        </w:rPr>
        <w:t> </w:t>
      </w:r>
      <w:r w:rsidRPr="009704C7">
        <w:rPr>
          <w:rFonts w:hint="cs"/>
          <w:rtl/>
        </w:rPr>
        <w:t>قطاع الاتصالات الراديوية</w:t>
      </w:r>
      <w:r w:rsidR="00773A75">
        <w:rPr>
          <w:rFonts w:hint="cs"/>
          <w:rtl/>
        </w:rPr>
        <w:t>.</w:t>
      </w:r>
    </w:p>
    <w:p w14:paraId="4B9F976A" w14:textId="4907CA85" w:rsidR="004A4B77" w:rsidRDefault="004A4B77" w:rsidP="001E1073">
      <w:pPr>
        <w:pStyle w:val="Reasons"/>
        <w:rPr>
          <w:rtl/>
          <w:lang w:bidi="ar-EG"/>
        </w:rPr>
      </w:pPr>
    </w:p>
    <w:p w14:paraId="4AF137CB" w14:textId="4FEF1C88" w:rsidR="001E1073" w:rsidRPr="001E1073" w:rsidRDefault="00773A75" w:rsidP="001E1073">
      <w:pPr>
        <w:spacing w:before="480"/>
        <w:jc w:val="center"/>
        <w:rPr>
          <w:rtl/>
          <w:lang w:bidi="ar-EG"/>
        </w:rPr>
      </w:pPr>
      <w:r>
        <w:rPr>
          <w:rFonts w:hint="cs"/>
          <w:rtl/>
          <w:lang w:bidi="ar-EG"/>
        </w:rPr>
        <w:t>___________</w:t>
      </w:r>
    </w:p>
    <w:sectPr w:rsidR="001E1073" w:rsidRPr="001E1073"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19377" w14:textId="77777777" w:rsidR="00EA5D25" w:rsidRDefault="00EA5D25" w:rsidP="002919E1">
      <w:r>
        <w:separator/>
      </w:r>
    </w:p>
    <w:p w14:paraId="74E33C21" w14:textId="77777777" w:rsidR="00EA5D25" w:rsidRDefault="00EA5D25" w:rsidP="002919E1"/>
    <w:p w14:paraId="4C86C096" w14:textId="77777777" w:rsidR="00EA5D25" w:rsidRDefault="00EA5D25" w:rsidP="002919E1"/>
    <w:p w14:paraId="68972B68" w14:textId="77777777" w:rsidR="00EA5D25" w:rsidRDefault="00EA5D25"/>
  </w:endnote>
  <w:endnote w:type="continuationSeparator" w:id="0">
    <w:p w14:paraId="7F98AAEF" w14:textId="77777777" w:rsidR="00EA5D25" w:rsidRDefault="00EA5D25" w:rsidP="002919E1">
      <w:r>
        <w:continuationSeparator/>
      </w:r>
    </w:p>
    <w:p w14:paraId="1EE287B7" w14:textId="77777777" w:rsidR="00EA5D25" w:rsidRDefault="00EA5D25" w:rsidP="002919E1"/>
    <w:p w14:paraId="737D38BD" w14:textId="77777777" w:rsidR="00EA5D25" w:rsidRDefault="00EA5D25" w:rsidP="002919E1"/>
    <w:p w14:paraId="25F6B2E2"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17A0" w14:textId="330DBF4F"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5B18AA">
      <w:rPr>
        <w:noProof/>
      </w:rPr>
      <w:t>P:\ARA\ITU-R\CONF-R\CMR19\000\011ADD24ADD06A.docx</w:t>
    </w:r>
    <w:r>
      <w:fldChar w:fldCharType="end"/>
    </w:r>
    <w:proofErr w:type="gramStart"/>
    <w:r w:rsidRPr="00A809E8">
      <w:t xml:space="preserve">   (</w:t>
    </w:r>
    <w:proofErr w:type="gramEnd"/>
    <w:r w:rsidR="004A4B77">
      <w:t>460767</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E8B40" w14:textId="571088F2" w:rsidR="00281F5F" w:rsidRPr="00E8363C" w:rsidRDefault="00CD129D" w:rsidP="00CD129D">
    <w:pPr>
      <w:pStyle w:val="Footer"/>
      <w:tabs>
        <w:tab w:val="clear" w:pos="1134"/>
        <w:tab w:val="clear" w:pos="1871"/>
        <w:tab w:val="clear" w:pos="2268"/>
        <w:tab w:val="clear" w:pos="5812"/>
        <w:tab w:val="center" w:pos="5387"/>
      </w:tabs>
    </w:pPr>
    <w:fldSimple w:instr=" FILENAME \p \* MERGEFORMAT ">
      <w:r w:rsidR="005B18AA">
        <w:rPr>
          <w:noProof/>
        </w:rPr>
        <w:t>P:\ARA\ITU-R\CONF-R\CMR19\000\011ADD24ADD06A.docx</w:t>
      </w:r>
    </w:fldSimple>
    <w:proofErr w:type="gramStart"/>
    <w:r w:rsidRPr="00E8363C">
      <w:t xml:space="preserve">   (</w:t>
    </w:r>
    <w:proofErr w:type="gramEnd"/>
    <w:r w:rsidR="004A4B77" w:rsidRPr="00E8363C">
      <w:t>460767</w:t>
    </w:r>
    <w:r w:rsidRPr="00E8363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E93DC" w14:textId="77777777" w:rsidR="00EA5D25" w:rsidRDefault="00EA5D25" w:rsidP="002919E1">
      <w:r>
        <w:t>___________________</w:t>
      </w:r>
    </w:p>
  </w:footnote>
  <w:footnote w:type="continuationSeparator" w:id="0">
    <w:p w14:paraId="70D19968" w14:textId="77777777" w:rsidR="00EA5D25" w:rsidRDefault="00EA5D25" w:rsidP="002919E1">
      <w:r>
        <w:continuationSeparator/>
      </w:r>
    </w:p>
    <w:p w14:paraId="33F72AE9" w14:textId="77777777" w:rsidR="00EA5D25" w:rsidRDefault="00EA5D25" w:rsidP="002919E1"/>
    <w:p w14:paraId="2C35F780" w14:textId="77777777" w:rsidR="00EA5D25" w:rsidRDefault="00EA5D25" w:rsidP="002919E1"/>
    <w:p w14:paraId="2D64AE96"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CDF70" w14:textId="77777777" w:rsidR="00281F5F" w:rsidRDefault="00281F5F" w:rsidP="002919E1"/>
  <w:p w14:paraId="37149365" w14:textId="77777777" w:rsidR="00281F5F" w:rsidRDefault="00281F5F" w:rsidP="002919E1"/>
  <w:p w14:paraId="2B675D0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71E2B"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11(Add.24)(Add.6)-</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108C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7432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6FD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ACCD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5A37"/>
    <w:rsid w:val="00011021"/>
    <w:rsid w:val="000114EC"/>
    <w:rsid w:val="00011F8C"/>
    <w:rsid w:val="00022B74"/>
    <w:rsid w:val="0002327C"/>
    <w:rsid w:val="00025A51"/>
    <w:rsid w:val="00034B65"/>
    <w:rsid w:val="00040C94"/>
    <w:rsid w:val="000425FC"/>
    <w:rsid w:val="00044D43"/>
    <w:rsid w:val="00045819"/>
    <w:rsid w:val="00046844"/>
    <w:rsid w:val="00046984"/>
    <w:rsid w:val="00051907"/>
    <w:rsid w:val="00074A64"/>
    <w:rsid w:val="00075A3F"/>
    <w:rsid w:val="000A1B16"/>
    <w:rsid w:val="000B3896"/>
    <w:rsid w:val="000B4518"/>
    <w:rsid w:val="000B5404"/>
    <w:rsid w:val="000C5145"/>
    <w:rsid w:val="000D06EB"/>
    <w:rsid w:val="000D1708"/>
    <w:rsid w:val="000E2AFC"/>
    <w:rsid w:val="000E4894"/>
    <w:rsid w:val="000E6D30"/>
    <w:rsid w:val="000F05F5"/>
    <w:rsid w:val="000F518F"/>
    <w:rsid w:val="0010081C"/>
    <w:rsid w:val="001013E3"/>
    <w:rsid w:val="0010363F"/>
    <w:rsid w:val="00111497"/>
    <w:rsid w:val="00122D64"/>
    <w:rsid w:val="00123AA6"/>
    <w:rsid w:val="00123B85"/>
    <w:rsid w:val="0012545F"/>
    <w:rsid w:val="00135644"/>
    <w:rsid w:val="00135805"/>
    <w:rsid w:val="00136B82"/>
    <w:rsid w:val="001464F2"/>
    <w:rsid w:val="00167364"/>
    <w:rsid w:val="001903B2"/>
    <w:rsid w:val="001A5451"/>
    <w:rsid w:val="001B0F78"/>
    <w:rsid w:val="001B5953"/>
    <w:rsid w:val="001C2D3F"/>
    <w:rsid w:val="001D746E"/>
    <w:rsid w:val="001D78C5"/>
    <w:rsid w:val="001E1073"/>
    <w:rsid w:val="001E190C"/>
    <w:rsid w:val="001E51EE"/>
    <w:rsid w:val="001E54F6"/>
    <w:rsid w:val="001E5A8C"/>
    <w:rsid w:val="00201A0A"/>
    <w:rsid w:val="0020641D"/>
    <w:rsid w:val="002075D4"/>
    <w:rsid w:val="00211B2A"/>
    <w:rsid w:val="00223C6C"/>
    <w:rsid w:val="002333A0"/>
    <w:rsid w:val="00246A4F"/>
    <w:rsid w:val="002543CF"/>
    <w:rsid w:val="00257683"/>
    <w:rsid w:val="0026062E"/>
    <w:rsid w:val="00260F50"/>
    <w:rsid w:val="00261EF7"/>
    <w:rsid w:val="00263F83"/>
    <w:rsid w:val="0027069F"/>
    <w:rsid w:val="00280E04"/>
    <w:rsid w:val="00281F5F"/>
    <w:rsid w:val="002843E4"/>
    <w:rsid w:val="002919E1"/>
    <w:rsid w:val="00295917"/>
    <w:rsid w:val="00296071"/>
    <w:rsid w:val="002A3426"/>
    <w:rsid w:val="002A4572"/>
    <w:rsid w:val="002A7E2E"/>
    <w:rsid w:val="002B12C5"/>
    <w:rsid w:val="002B16D8"/>
    <w:rsid w:val="002D5F64"/>
    <w:rsid w:val="002D6BB4"/>
    <w:rsid w:val="002D6FBF"/>
    <w:rsid w:val="002E48BF"/>
    <w:rsid w:val="002E61C2"/>
    <w:rsid w:val="002F0322"/>
    <w:rsid w:val="002F0D3A"/>
    <w:rsid w:val="002F1A7C"/>
    <w:rsid w:val="002F3E46"/>
    <w:rsid w:val="00306DF9"/>
    <w:rsid w:val="00311E3F"/>
    <w:rsid w:val="00314B1E"/>
    <w:rsid w:val="00323A02"/>
    <w:rsid w:val="0033737F"/>
    <w:rsid w:val="00347556"/>
    <w:rsid w:val="00353652"/>
    <w:rsid w:val="003569E1"/>
    <w:rsid w:val="00380823"/>
    <w:rsid w:val="003815E2"/>
    <w:rsid w:val="00381FAD"/>
    <w:rsid w:val="00382A66"/>
    <w:rsid w:val="003923B1"/>
    <w:rsid w:val="003965FE"/>
    <w:rsid w:val="003A672E"/>
    <w:rsid w:val="003B27AD"/>
    <w:rsid w:val="003B4F23"/>
    <w:rsid w:val="003C12F6"/>
    <w:rsid w:val="003C3A13"/>
    <w:rsid w:val="003E02EF"/>
    <w:rsid w:val="003E1D90"/>
    <w:rsid w:val="003E6133"/>
    <w:rsid w:val="00400CD4"/>
    <w:rsid w:val="004147B9"/>
    <w:rsid w:val="00422C04"/>
    <w:rsid w:val="00422F6D"/>
    <w:rsid w:val="00423A40"/>
    <w:rsid w:val="00426144"/>
    <w:rsid w:val="00431CD9"/>
    <w:rsid w:val="0045418C"/>
    <w:rsid w:val="004636E2"/>
    <w:rsid w:val="004648AB"/>
    <w:rsid w:val="00470CBD"/>
    <w:rsid w:val="0047407D"/>
    <w:rsid w:val="004909DD"/>
    <w:rsid w:val="004A05E6"/>
    <w:rsid w:val="004A4B77"/>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2FDA"/>
    <w:rsid w:val="00553411"/>
    <w:rsid w:val="00554AE7"/>
    <w:rsid w:val="0056076C"/>
    <w:rsid w:val="00561B40"/>
    <w:rsid w:val="00564746"/>
    <w:rsid w:val="0056512C"/>
    <w:rsid w:val="00576D0A"/>
    <w:rsid w:val="00576FCC"/>
    <w:rsid w:val="00581FEA"/>
    <w:rsid w:val="00582889"/>
    <w:rsid w:val="00584333"/>
    <w:rsid w:val="00587591"/>
    <w:rsid w:val="005953EC"/>
    <w:rsid w:val="005B00A1"/>
    <w:rsid w:val="005B18AA"/>
    <w:rsid w:val="005C29C8"/>
    <w:rsid w:val="005C5D25"/>
    <w:rsid w:val="005D2606"/>
    <w:rsid w:val="005D42F5"/>
    <w:rsid w:val="005D5FDE"/>
    <w:rsid w:val="005D6D48"/>
    <w:rsid w:val="005D72A4"/>
    <w:rsid w:val="005E06AD"/>
    <w:rsid w:val="005F05CC"/>
    <w:rsid w:val="005F65DE"/>
    <w:rsid w:val="00613492"/>
    <w:rsid w:val="00630905"/>
    <w:rsid w:val="006315B5"/>
    <w:rsid w:val="0065562F"/>
    <w:rsid w:val="006569F9"/>
    <w:rsid w:val="00666697"/>
    <w:rsid w:val="0067513E"/>
    <w:rsid w:val="006779A4"/>
    <w:rsid w:val="00680A66"/>
    <w:rsid w:val="00681391"/>
    <w:rsid w:val="00694690"/>
    <w:rsid w:val="0069526C"/>
    <w:rsid w:val="006A12AC"/>
    <w:rsid w:val="006A1C2C"/>
    <w:rsid w:val="006A2162"/>
    <w:rsid w:val="006B4B90"/>
    <w:rsid w:val="006B658C"/>
    <w:rsid w:val="006C00B7"/>
    <w:rsid w:val="006C0960"/>
    <w:rsid w:val="006D2674"/>
    <w:rsid w:val="006E38D0"/>
    <w:rsid w:val="006E465B"/>
    <w:rsid w:val="006F70BF"/>
    <w:rsid w:val="00715285"/>
    <w:rsid w:val="00716B1D"/>
    <w:rsid w:val="00720D7C"/>
    <w:rsid w:val="0072193A"/>
    <w:rsid w:val="007229C8"/>
    <w:rsid w:val="007248EC"/>
    <w:rsid w:val="00726744"/>
    <w:rsid w:val="00731150"/>
    <w:rsid w:val="00734E41"/>
    <w:rsid w:val="00736DCC"/>
    <w:rsid w:val="00741855"/>
    <w:rsid w:val="00742B73"/>
    <w:rsid w:val="00751251"/>
    <w:rsid w:val="007610E7"/>
    <w:rsid w:val="00764079"/>
    <w:rsid w:val="00770AA0"/>
    <w:rsid w:val="00771F7E"/>
    <w:rsid w:val="00773A75"/>
    <w:rsid w:val="00773E9C"/>
    <w:rsid w:val="007760BF"/>
    <w:rsid w:val="00776F6B"/>
    <w:rsid w:val="00777694"/>
    <w:rsid w:val="0078694E"/>
    <w:rsid w:val="00786A7E"/>
    <w:rsid w:val="00794B15"/>
    <w:rsid w:val="007A0802"/>
    <w:rsid w:val="007B1FCA"/>
    <w:rsid w:val="007B2507"/>
    <w:rsid w:val="007C2707"/>
    <w:rsid w:val="007C2C12"/>
    <w:rsid w:val="007C3CFA"/>
    <w:rsid w:val="007C7603"/>
    <w:rsid w:val="007D0C20"/>
    <w:rsid w:val="007E0E8B"/>
    <w:rsid w:val="007E6847"/>
    <w:rsid w:val="007E6B0A"/>
    <w:rsid w:val="007F08CA"/>
    <w:rsid w:val="007F7FC3"/>
    <w:rsid w:val="00810482"/>
    <w:rsid w:val="00817568"/>
    <w:rsid w:val="008204AC"/>
    <w:rsid w:val="008225FE"/>
    <w:rsid w:val="008261C2"/>
    <w:rsid w:val="00830D96"/>
    <w:rsid w:val="00844DE0"/>
    <w:rsid w:val="0085569D"/>
    <w:rsid w:val="00855B59"/>
    <w:rsid w:val="0085774F"/>
    <w:rsid w:val="008614B8"/>
    <w:rsid w:val="008657CB"/>
    <w:rsid w:val="00873A6F"/>
    <w:rsid w:val="008769BC"/>
    <w:rsid w:val="0088384B"/>
    <w:rsid w:val="008927F5"/>
    <w:rsid w:val="00893E53"/>
    <w:rsid w:val="00897988"/>
    <w:rsid w:val="008A1137"/>
    <w:rsid w:val="008A1788"/>
    <w:rsid w:val="008A3E57"/>
    <w:rsid w:val="008A4185"/>
    <w:rsid w:val="008A6552"/>
    <w:rsid w:val="008B2328"/>
    <w:rsid w:val="008B4E93"/>
    <w:rsid w:val="008B52B7"/>
    <w:rsid w:val="008C2D8F"/>
    <w:rsid w:val="008C3818"/>
    <w:rsid w:val="008D6ACC"/>
    <w:rsid w:val="008D7AF0"/>
    <w:rsid w:val="008E2CBE"/>
    <w:rsid w:val="008E32DD"/>
    <w:rsid w:val="008E53C5"/>
    <w:rsid w:val="008F4626"/>
    <w:rsid w:val="009004DF"/>
    <w:rsid w:val="00904AA5"/>
    <w:rsid w:val="0090704F"/>
    <w:rsid w:val="00934E50"/>
    <w:rsid w:val="00951718"/>
    <w:rsid w:val="00960962"/>
    <w:rsid w:val="009704C7"/>
    <w:rsid w:val="00972CE0"/>
    <w:rsid w:val="00977D73"/>
    <w:rsid w:val="009948DC"/>
    <w:rsid w:val="009A3D30"/>
    <w:rsid w:val="009B2336"/>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73C0D"/>
    <w:rsid w:val="00A809E8"/>
    <w:rsid w:val="00A870AD"/>
    <w:rsid w:val="00A90843"/>
    <w:rsid w:val="00A9645C"/>
    <w:rsid w:val="00AB2A33"/>
    <w:rsid w:val="00AC1275"/>
    <w:rsid w:val="00AC7395"/>
    <w:rsid w:val="00AD162B"/>
    <w:rsid w:val="00AD690F"/>
    <w:rsid w:val="00AD69DD"/>
    <w:rsid w:val="00AE6B26"/>
    <w:rsid w:val="00AF3EFA"/>
    <w:rsid w:val="00AF3FB4"/>
    <w:rsid w:val="00AF41D1"/>
    <w:rsid w:val="00B01623"/>
    <w:rsid w:val="00B033DF"/>
    <w:rsid w:val="00B039AD"/>
    <w:rsid w:val="00B07CEE"/>
    <w:rsid w:val="00B12661"/>
    <w:rsid w:val="00B16045"/>
    <w:rsid w:val="00B1714C"/>
    <w:rsid w:val="00B25626"/>
    <w:rsid w:val="00B310EC"/>
    <w:rsid w:val="00B357E9"/>
    <w:rsid w:val="00B4164D"/>
    <w:rsid w:val="00B425C1"/>
    <w:rsid w:val="00B606BA"/>
    <w:rsid w:val="00B66817"/>
    <w:rsid w:val="00B71E3B"/>
    <w:rsid w:val="00B721D5"/>
    <w:rsid w:val="00B80A2C"/>
    <w:rsid w:val="00B81CB5"/>
    <w:rsid w:val="00B8351F"/>
    <w:rsid w:val="00B86C44"/>
    <w:rsid w:val="00B9727C"/>
    <w:rsid w:val="00BA7D44"/>
    <w:rsid w:val="00BC0F64"/>
    <w:rsid w:val="00BD46EB"/>
    <w:rsid w:val="00BD6291"/>
    <w:rsid w:val="00BD6EF3"/>
    <w:rsid w:val="00BE69C3"/>
    <w:rsid w:val="00BF485E"/>
    <w:rsid w:val="00C06B0C"/>
    <w:rsid w:val="00C1165E"/>
    <w:rsid w:val="00C17A00"/>
    <w:rsid w:val="00C22074"/>
    <w:rsid w:val="00C2377B"/>
    <w:rsid w:val="00C3693C"/>
    <w:rsid w:val="00C4367C"/>
    <w:rsid w:val="00C53F6F"/>
    <w:rsid w:val="00C5489D"/>
    <w:rsid w:val="00C71759"/>
    <w:rsid w:val="00C8199C"/>
    <w:rsid w:val="00C84112"/>
    <w:rsid w:val="00C841EB"/>
    <w:rsid w:val="00C8665F"/>
    <w:rsid w:val="00C917B5"/>
    <w:rsid w:val="00C94DFA"/>
    <w:rsid w:val="00CA298C"/>
    <w:rsid w:val="00CB2BF9"/>
    <w:rsid w:val="00CB4300"/>
    <w:rsid w:val="00CB454E"/>
    <w:rsid w:val="00CB7135"/>
    <w:rsid w:val="00CC030E"/>
    <w:rsid w:val="00CC68C4"/>
    <w:rsid w:val="00CC79A4"/>
    <w:rsid w:val="00CD0FDE"/>
    <w:rsid w:val="00CD129D"/>
    <w:rsid w:val="00CE0E68"/>
    <w:rsid w:val="00CE5BA4"/>
    <w:rsid w:val="00D25120"/>
    <w:rsid w:val="00D419CB"/>
    <w:rsid w:val="00D44350"/>
    <w:rsid w:val="00D44E3F"/>
    <w:rsid w:val="00D51BB8"/>
    <w:rsid w:val="00D525F5"/>
    <w:rsid w:val="00D535D0"/>
    <w:rsid w:val="00D577D8"/>
    <w:rsid w:val="00D62C78"/>
    <w:rsid w:val="00D73516"/>
    <w:rsid w:val="00D81703"/>
    <w:rsid w:val="00D82929"/>
    <w:rsid w:val="00D832BB"/>
    <w:rsid w:val="00D84214"/>
    <w:rsid w:val="00D84E95"/>
    <w:rsid w:val="00D943E5"/>
    <w:rsid w:val="00DA1AE0"/>
    <w:rsid w:val="00DB4CC9"/>
    <w:rsid w:val="00DB728F"/>
    <w:rsid w:val="00DC29DD"/>
    <w:rsid w:val="00DC32BB"/>
    <w:rsid w:val="00DC7C0E"/>
    <w:rsid w:val="00DE7387"/>
    <w:rsid w:val="00DF2A6A"/>
    <w:rsid w:val="00DF3B72"/>
    <w:rsid w:val="00E05ECF"/>
    <w:rsid w:val="00E10821"/>
    <w:rsid w:val="00E22E78"/>
    <w:rsid w:val="00E2476B"/>
    <w:rsid w:val="00E2489D"/>
    <w:rsid w:val="00E26520"/>
    <w:rsid w:val="00E319C0"/>
    <w:rsid w:val="00E343A3"/>
    <w:rsid w:val="00E51BFA"/>
    <w:rsid w:val="00E611F1"/>
    <w:rsid w:val="00E621A3"/>
    <w:rsid w:val="00E833BC"/>
    <w:rsid w:val="00E8363C"/>
    <w:rsid w:val="00E8580E"/>
    <w:rsid w:val="00E97E21"/>
    <w:rsid w:val="00EA1B76"/>
    <w:rsid w:val="00EA4745"/>
    <w:rsid w:val="00EA5D25"/>
    <w:rsid w:val="00EA77D7"/>
    <w:rsid w:val="00EC09B9"/>
    <w:rsid w:val="00ED048C"/>
    <w:rsid w:val="00EE60E9"/>
    <w:rsid w:val="00EE7E3D"/>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73200"/>
    <w:rsid w:val="00F83092"/>
    <w:rsid w:val="00F84613"/>
    <w:rsid w:val="00F8654D"/>
    <w:rsid w:val="00F900C9"/>
    <w:rsid w:val="00F92C96"/>
    <w:rsid w:val="00F92D22"/>
    <w:rsid w:val="00F97D1C"/>
    <w:rsid w:val="00FA0D4E"/>
    <w:rsid w:val="00FB0753"/>
    <w:rsid w:val="00FB5CC8"/>
    <w:rsid w:val="00FC23B1"/>
    <w:rsid w:val="00FC2CD0"/>
    <w:rsid w:val="00FD0594"/>
    <w:rsid w:val="00FE505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0DA6B67"/>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B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qFormat/>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R16-WRC19-C-0011!A24-A6!MSW-A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E8882-CDB4-47D1-9F2B-248F61937406}">
  <ds:schemaRefs>
    <ds:schemaRef ds:uri="http://schemas.openxmlformats.org/package/2006/metadata/core-properties"/>
    <ds:schemaRef ds:uri="http://purl.org/dc/dcmitype/"/>
    <ds:schemaRef ds:uri="http://purl.org/dc/terms/"/>
    <ds:schemaRef ds:uri="996b2e75-67fd-4955-a3b0-5ab9934cb50b"/>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32a1a8c5-2265-4ebc-b7a0-2071e2c5c9bb"/>
    <ds:schemaRef ds:uri="http://purl.org/dc/elements/1.1/"/>
  </ds:schemaRefs>
</ds:datastoreItem>
</file>

<file path=customXml/itemProps2.xml><?xml version="1.0" encoding="utf-8"?>
<ds:datastoreItem xmlns:ds="http://schemas.openxmlformats.org/officeDocument/2006/customXml" ds:itemID="{2FAAEB7F-B6EC-4EB7-A5F4-B9AFC68E6AE6}">
  <ds:schemaRefs>
    <ds:schemaRef ds:uri="http://schemas.microsoft.com/sharepoint/events"/>
  </ds:schemaRefs>
</ds:datastoreItem>
</file>

<file path=customXml/itemProps3.xml><?xml version="1.0" encoding="utf-8"?>
<ds:datastoreItem xmlns:ds="http://schemas.openxmlformats.org/officeDocument/2006/customXml" ds:itemID="{5EDAC7E5-99C9-4C5C-9BC9-4F1E4E396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C9388C-9087-46D1-A6B2-02A201259053}">
  <ds:schemaRefs>
    <ds:schemaRef ds:uri="http://schemas.microsoft.com/sharepoint/v3/contenttype/forms"/>
  </ds:schemaRefs>
</ds:datastoreItem>
</file>

<file path=customXml/itemProps5.xml><?xml version="1.0" encoding="utf-8"?>
<ds:datastoreItem xmlns:ds="http://schemas.openxmlformats.org/officeDocument/2006/customXml" ds:itemID="{E96E3829-8A1C-469C-990D-59918037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1198</Words>
  <Characters>6201</Characters>
  <Application>Microsoft Office Word</Application>
  <DocSecurity>0</DocSecurity>
  <Lines>112</Lines>
  <Paragraphs>54</Paragraphs>
  <ScaleCrop>false</ScaleCrop>
  <HeadingPairs>
    <vt:vector size="2" baseType="variant">
      <vt:variant>
        <vt:lpstr>Title</vt:lpstr>
      </vt:variant>
      <vt:variant>
        <vt:i4>1</vt:i4>
      </vt:variant>
    </vt:vector>
  </HeadingPairs>
  <TitlesOfParts>
    <vt:vector size="1" baseType="lpstr">
      <vt:lpstr>R16-WRC19-C-0011!A24-A6!MSW-A</vt:lpstr>
    </vt:vector>
  </TitlesOfParts>
  <Manager>General Secretariat - Pool</Manager>
  <Company>International Telecommunication Union (ITU)</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R16-WRC19-C-0011!A24-A6!MSW-A</dc:title>
  <dc:creator>Documents Proposals Manager (DPM)</dc:creator>
  <cp:keywords>DPM_v2019.9.18.2_prod</cp:keywords>
  <cp:lastModifiedBy>Awad, Samy</cp:lastModifiedBy>
  <cp:revision>32</cp:revision>
  <cp:lastPrinted>2019-10-01T10:23:00Z</cp:lastPrinted>
  <dcterms:created xsi:type="dcterms:W3CDTF">2019-09-30T14:58:00Z</dcterms:created>
  <dcterms:modified xsi:type="dcterms:W3CDTF">2019-10-01T10:24:00Z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